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33" w:rsidRPr="002A3ACE" w:rsidRDefault="00EF70FF">
      <w:pPr>
        <w:pStyle w:val="SpecHead1"/>
        <w:rPr>
          <w:sz w:val="28"/>
          <w:szCs w:val="28"/>
        </w:rPr>
      </w:pPr>
      <w:r>
        <w:rPr>
          <w:sz w:val="28"/>
          <w:szCs w:val="28"/>
        </w:rPr>
        <w:t>M.16.08</w:t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:rsidR="001B3933" w:rsidRDefault="001B3933">
      <w:pPr>
        <w:pStyle w:val="SpecHead2"/>
      </w:pPr>
      <w:r>
        <w:t>Article M16.08 - Pedestrian Push Button:</w:t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ab/>
        <w:t>Delete the entire section and replace with the following:</w:t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A. General</w:t>
      </w:r>
    </w:p>
    <w:p w:rsidR="001B3933" w:rsidRDefault="001B3933">
      <w:pPr>
        <w:numPr>
          <w:ilvl w:val="0"/>
          <w:numId w:val="10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 xml:space="preserve">Size and force compliant with </w:t>
      </w:r>
      <w:smartTag w:uri="urn:schemas-microsoft-com:office:smarttags" w:element="City">
        <w:smartTag w:uri="urn:schemas-microsoft-com:office:smarttags" w:element="place">
          <w:r>
            <w:rPr>
              <w:spacing w:val="-2"/>
            </w:rPr>
            <w:t>ADA</w:t>
          </w:r>
        </w:smartTag>
      </w:smartTag>
      <w:r>
        <w:rPr>
          <w:spacing w:val="-2"/>
        </w:rPr>
        <w:t>, Section 14.2.5, Crossing Controls.</w:t>
      </w:r>
    </w:p>
    <w:p w:rsidR="001B3933" w:rsidRDefault="001B3933">
      <w:pPr>
        <w:numPr>
          <w:ilvl w:val="0"/>
          <w:numId w:val="10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Tamper-proof, and Vandal-proof, Weatherproof, Freeze-proof, Impact-resistant design and construction.</w:t>
      </w:r>
    </w:p>
    <w:p w:rsidR="001B3933" w:rsidRDefault="001B3933">
      <w:pPr>
        <w:numPr>
          <w:ilvl w:val="0"/>
          <w:numId w:val="10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Completely insulated to preclude electrical shock under any weather conditions.</w:t>
      </w:r>
    </w:p>
    <w:p w:rsidR="001B3933" w:rsidRDefault="001B3933">
      <w:pPr>
        <w:numPr>
          <w:ilvl w:val="0"/>
          <w:numId w:val="10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Wire entrance through the rear.</w:t>
      </w:r>
    </w:p>
    <w:p w:rsidR="001B3933" w:rsidRDefault="001B3933">
      <w:pPr>
        <w:numPr>
          <w:ilvl w:val="0"/>
          <w:numId w:val="10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Stainless steel mounting hardware.</w:t>
      </w:r>
    </w:p>
    <w:p w:rsidR="001B3933" w:rsidRDefault="009A57CF" w:rsidP="009A57CF">
      <w:pPr>
        <w:tabs>
          <w:tab w:val="left" w:pos="-288"/>
          <w:tab w:val="left" w:pos="6925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ab/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B. Actuation</w:t>
      </w:r>
    </w:p>
    <w:p w:rsidR="001B3933" w:rsidRDefault="001B3933">
      <w:pPr>
        <w:numPr>
          <w:ilvl w:val="0"/>
          <w:numId w:val="12"/>
        </w:numPr>
        <w:tabs>
          <w:tab w:val="clear" w:pos="810"/>
          <w:tab w:val="left" w:pos="-288"/>
          <w:tab w:val="left" w:pos="432"/>
          <w:tab w:val="num" w:pos="795"/>
          <w:tab w:val="left" w:pos="1152"/>
        </w:tabs>
        <w:suppressAutoHyphens/>
        <w:spacing w:line="240" w:lineRule="exact"/>
        <w:ind w:left="795"/>
        <w:rPr>
          <w:spacing w:val="-2"/>
        </w:rPr>
      </w:pPr>
      <w:r>
        <w:rPr>
          <w:spacing w:val="-2"/>
        </w:rPr>
        <w:t>Mechanical:</w:t>
      </w:r>
    </w:p>
    <w:p w:rsidR="001B3933" w:rsidRDefault="001B3933">
      <w:pPr>
        <w:numPr>
          <w:ilvl w:val="0"/>
          <w:numId w:val="14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Single momentary contact switch with tactile feedback.</w:t>
      </w:r>
    </w:p>
    <w:p w:rsidR="001B3933" w:rsidRDefault="001B3933">
      <w:pPr>
        <w:numPr>
          <w:ilvl w:val="0"/>
          <w:numId w:val="14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Rated at 10 amps, 125 volts.</w:t>
      </w:r>
    </w:p>
    <w:p w:rsidR="001B3933" w:rsidRDefault="001B3933">
      <w:pPr>
        <w:numPr>
          <w:ilvl w:val="0"/>
          <w:numId w:val="14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bookmarkStart w:id="0" w:name="_GoBack"/>
      <w:bookmarkEnd w:id="0"/>
      <w:r>
        <w:rPr>
          <w:spacing w:val="-2"/>
        </w:rPr>
        <w:t>Normally open, closed when actuated.</w:t>
      </w:r>
    </w:p>
    <w:p w:rsidR="001B3933" w:rsidRDefault="001B3933">
      <w:pPr>
        <w:numPr>
          <w:ilvl w:val="0"/>
          <w:numId w:val="12"/>
        </w:numPr>
        <w:tabs>
          <w:tab w:val="clear" w:pos="810"/>
          <w:tab w:val="left" w:pos="-288"/>
          <w:tab w:val="left" w:pos="432"/>
          <w:tab w:val="num" w:pos="795"/>
          <w:tab w:val="left" w:pos="1152"/>
        </w:tabs>
        <w:suppressAutoHyphens/>
        <w:spacing w:line="240" w:lineRule="exact"/>
        <w:ind w:left="795"/>
        <w:rPr>
          <w:spacing w:val="-2"/>
        </w:rPr>
      </w:pPr>
      <w:r>
        <w:rPr>
          <w:spacing w:val="-2"/>
        </w:rPr>
        <w:t>Piezo:</w:t>
      </w:r>
    </w:p>
    <w:p w:rsidR="001B3933" w:rsidRDefault="001B3933">
      <w:pPr>
        <w:numPr>
          <w:ilvl w:val="0"/>
          <w:numId w:val="15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Either non-movable or minimal movement (&lt; 1/16” (1.6)) pressure activation.</w:t>
      </w:r>
    </w:p>
    <w:p w:rsidR="001B3933" w:rsidRDefault="001B3933">
      <w:pPr>
        <w:numPr>
          <w:ilvl w:val="0"/>
          <w:numId w:val="15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Audible confirmation beep to correspond with circuit closure.</w:t>
      </w:r>
    </w:p>
    <w:p w:rsidR="001B3933" w:rsidRDefault="001B3933">
      <w:pPr>
        <w:numPr>
          <w:ilvl w:val="0"/>
          <w:numId w:val="15"/>
        </w:numPr>
        <w:tabs>
          <w:tab w:val="clear" w:pos="360"/>
          <w:tab w:val="left" w:pos="-288"/>
          <w:tab w:val="left" w:pos="720"/>
          <w:tab w:val="left" w:pos="1080"/>
          <w:tab w:val="num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Minimum 100,000,000 actuations.</w:t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C. Housing</w:t>
      </w:r>
    </w:p>
    <w:p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Die cast aluminum meeting requirements of ASTM B85.</w:t>
      </w:r>
    </w:p>
    <w:p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Designed to attach 9" x 12" (230 x 300) four-hole advisory sign.</w:t>
      </w:r>
    </w:p>
    <w:p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Flat back to facilitate surface mount.</w:t>
      </w:r>
    </w:p>
    <w:p w:rsidR="001B3933" w:rsidRDefault="001B3933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Available hardware to either pedestal top-mount or pole side-mount on diameter range of 3½" (89) to 15" (380).</w:t>
      </w:r>
    </w:p>
    <w:p w:rsidR="00667631" w:rsidRPr="00AA0BFA" w:rsidRDefault="00667631" w:rsidP="00667631">
      <w:pPr>
        <w:numPr>
          <w:ilvl w:val="0"/>
          <w:numId w:val="16"/>
        </w:numPr>
        <w:tabs>
          <w:tab w:val="clear" w:pos="360"/>
          <w:tab w:val="left" w:pos="-288"/>
          <w:tab w:val="left" w:pos="720"/>
        </w:tabs>
        <w:suppressAutoHyphens/>
        <w:spacing w:line="240" w:lineRule="exact"/>
        <w:ind w:left="720"/>
        <w:rPr>
          <w:spacing w:val="-2"/>
        </w:rPr>
      </w:pPr>
      <w:r w:rsidRPr="00AA0BFA">
        <w:rPr>
          <w:spacing w:val="-2"/>
        </w:rPr>
        <w:t>Available extension bracket of a size indicated on the plan – 18” maximum.</w:t>
      </w: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</w:p>
    <w:p w:rsidR="001B3933" w:rsidRDefault="001B3933">
      <w:pPr>
        <w:tabs>
          <w:tab w:val="left" w:pos="-288"/>
          <w:tab w:val="left" w:pos="432"/>
          <w:tab w:val="left" w:pos="1152"/>
        </w:tabs>
        <w:suppressAutoHyphens/>
        <w:spacing w:line="240" w:lineRule="exact"/>
        <w:rPr>
          <w:spacing w:val="-2"/>
        </w:rPr>
      </w:pPr>
      <w:r>
        <w:rPr>
          <w:spacing w:val="-2"/>
        </w:rPr>
        <w:t>D. Finish</w:t>
      </w:r>
    </w:p>
    <w:p w:rsidR="001B3933" w:rsidRDefault="001B3933">
      <w:pPr>
        <w:numPr>
          <w:ilvl w:val="0"/>
          <w:numId w:val="17"/>
        </w:numPr>
        <w:tabs>
          <w:tab w:val="clear" w:pos="360"/>
          <w:tab w:val="left" w:pos="-288"/>
          <w:tab w:val="num" w:pos="720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Method: Either</w:t>
      </w:r>
    </w:p>
    <w:p w:rsidR="001B3933" w:rsidRDefault="001B3933">
      <w:pPr>
        <w:tabs>
          <w:tab w:val="left" w:pos="-288"/>
          <w:tab w:val="left" w:pos="720"/>
          <w:tab w:val="left" w:pos="1152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1. Painted with 3 coats of infrared oven-baked paint before assembly.</w:t>
      </w:r>
    </w:p>
    <w:p w:rsidR="001B3933" w:rsidRDefault="001B3933">
      <w:pPr>
        <w:numPr>
          <w:ilvl w:val="0"/>
          <w:numId w:val="18"/>
        </w:numPr>
        <w:tabs>
          <w:tab w:val="clear" w:pos="360"/>
          <w:tab w:val="left" w:pos="-288"/>
          <w:tab w:val="left" w:pos="720"/>
          <w:tab w:val="num" w:pos="1080"/>
          <w:tab w:val="left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Primer: Baked iron oxide which meets or exceeds FS TT-P-636.</w:t>
      </w:r>
    </w:p>
    <w:p w:rsidR="001B3933" w:rsidRDefault="001B3933">
      <w:pPr>
        <w:numPr>
          <w:ilvl w:val="0"/>
          <w:numId w:val="18"/>
        </w:numPr>
        <w:tabs>
          <w:tab w:val="clear" w:pos="360"/>
          <w:tab w:val="left" w:pos="-288"/>
          <w:tab w:val="left" w:pos="720"/>
          <w:tab w:val="num" w:pos="1080"/>
          <w:tab w:val="left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Second coat: Exterior-baking enamel, light gray, which meets or exceeds FS TT-E-527.</w:t>
      </w:r>
    </w:p>
    <w:p w:rsidR="001B3933" w:rsidRDefault="001B3933">
      <w:pPr>
        <w:numPr>
          <w:ilvl w:val="0"/>
          <w:numId w:val="18"/>
        </w:numPr>
        <w:tabs>
          <w:tab w:val="clear" w:pos="360"/>
          <w:tab w:val="left" w:pos="-288"/>
          <w:tab w:val="left" w:pos="720"/>
          <w:tab w:val="num" w:pos="1080"/>
          <w:tab w:val="left" w:pos="1440"/>
        </w:tabs>
        <w:suppressAutoHyphens/>
        <w:spacing w:line="240" w:lineRule="exact"/>
        <w:ind w:left="1440"/>
        <w:rPr>
          <w:spacing w:val="-2"/>
        </w:rPr>
      </w:pPr>
      <w:r>
        <w:rPr>
          <w:spacing w:val="-2"/>
        </w:rPr>
        <w:t>Third coat: Exterior-baking enamel, which meets or exceeds FS TT-E-489.</w:t>
      </w:r>
    </w:p>
    <w:p w:rsidR="001B3933" w:rsidRDefault="001B3933">
      <w:pPr>
        <w:tabs>
          <w:tab w:val="left" w:pos="-288"/>
          <w:tab w:val="left" w:pos="720"/>
          <w:tab w:val="left" w:pos="1152"/>
        </w:tabs>
        <w:suppressAutoHyphens/>
        <w:spacing w:line="240" w:lineRule="exact"/>
        <w:ind w:left="720"/>
        <w:rPr>
          <w:spacing w:val="-2"/>
        </w:rPr>
      </w:pPr>
      <w:r>
        <w:rPr>
          <w:spacing w:val="-2"/>
        </w:rPr>
        <w:t>2. Electrostatic powder coated after chemically cleaned.</w:t>
      </w:r>
    </w:p>
    <w:p w:rsidR="00677F98" w:rsidRDefault="00677F98" w:rsidP="00677F98">
      <w:pPr>
        <w:tabs>
          <w:tab w:val="left" w:pos="-288"/>
          <w:tab w:val="left" w:pos="720"/>
          <w:tab w:val="left" w:pos="1152"/>
        </w:tabs>
        <w:suppressAutoHyphens/>
        <w:spacing w:line="240" w:lineRule="exact"/>
        <w:rPr>
          <w:spacing w:val="-2"/>
        </w:rPr>
      </w:pPr>
    </w:p>
    <w:p w:rsidR="00677F98" w:rsidRPr="009A1EA1" w:rsidRDefault="00677F98" w:rsidP="00677F98">
      <w:r w:rsidRPr="009A1EA1">
        <w:t>Article M.16.08 Painting:</w:t>
      </w:r>
    </w:p>
    <w:p w:rsidR="00677F98" w:rsidRPr="009A1EA1" w:rsidRDefault="00677F98" w:rsidP="00677F98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jc w:val="left"/>
        <w:rPr>
          <w:rFonts w:eastAsia="Calibri"/>
          <w:spacing w:val="-3"/>
          <w:szCs w:val="24"/>
        </w:rPr>
      </w:pPr>
      <w:r w:rsidRPr="009A1EA1">
        <w:rPr>
          <w:rFonts w:eastAsia="Calibri"/>
          <w:b/>
          <w:spacing w:val="-3"/>
          <w:szCs w:val="24"/>
        </w:rPr>
        <w:tab/>
      </w:r>
      <w:r w:rsidRPr="009A1EA1">
        <w:rPr>
          <w:rFonts w:eastAsia="Calibri"/>
          <w:b/>
          <w:spacing w:val="-3"/>
          <w:szCs w:val="24"/>
        </w:rPr>
        <w:tab/>
        <w:t>Third coat:</w:t>
      </w:r>
      <w:r w:rsidRPr="009A1EA1">
        <w:rPr>
          <w:rFonts w:eastAsia="Calibri"/>
          <w:spacing w:val="-3"/>
          <w:szCs w:val="24"/>
        </w:rPr>
        <w:t xml:space="preserve"> Replace with the following:</w:t>
      </w:r>
    </w:p>
    <w:p w:rsidR="00677F98" w:rsidRPr="009A1EA1" w:rsidRDefault="00677F98" w:rsidP="00677F98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jc w:val="left"/>
        <w:rPr>
          <w:rFonts w:eastAsia="Calibri"/>
          <w:spacing w:val="-3"/>
          <w:szCs w:val="24"/>
        </w:rPr>
      </w:pPr>
    </w:p>
    <w:p w:rsidR="00677F98" w:rsidRPr="009A1EA1" w:rsidRDefault="00677F98" w:rsidP="00677F98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jc w:val="left"/>
        <w:rPr>
          <w:rFonts w:eastAsia="Calibri"/>
          <w:b/>
          <w:spacing w:val="-3"/>
          <w:szCs w:val="24"/>
        </w:rPr>
      </w:pPr>
      <w:r w:rsidRPr="009A1EA1">
        <w:rPr>
          <w:rFonts w:eastAsia="Calibri"/>
          <w:spacing w:val="-3"/>
          <w:szCs w:val="24"/>
        </w:rPr>
        <w:tab/>
        <w:t>All brackets and hardware shall be painted yellow by the manufacturer. The color shall be No. 13538, Federal Standard No. 595.</w:t>
      </w:r>
    </w:p>
    <w:p w:rsidR="00677F98" w:rsidRPr="009A1EA1" w:rsidRDefault="00677F98" w:rsidP="00677F98">
      <w:pPr>
        <w:tabs>
          <w:tab w:val="left" w:pos="0"/>
          <w:tab w:val="left" w:pos="2160"/>
        </w:tabs>
        <w:suppressAutoHyphens/>
        <w:spacing w:line="240" w:lineRule="exact"/>
        <w:jc w:val="left"/>
        <w:rPr>
          <w:rFonts w:eastAsia="Calibri"/>
          <w:spacing w:val="-3"/>
          <w:szCs w:val="24"/>
        </w:rPr>
      </w:pPr>
      <w:r w:rsidRPr="009A1EA1">
        <w:rPr>
          <w:rFonts w:eastAsia="Calibri"/>
          <w:spacing w:val="-3"/>
          <w:szCs w:val="24"/>
        </w:rPr>
        <w:tab/>
      </w:r>
    </w:p>
    <w:p w:rsidR="00677F98" w:rsidRDefault="00677F98" w:rsidP="00677F98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jc w:val="left"/>
        <w:rPr>
          <w:spacing w:val="-2"/>
        </w:rPr>
      </w:pPr>
      <w:r w:rsidRPr="009A1EA1">
        <w:rPr>
          <w:rFonts w:eastAsia="Calibri"/>
          <w:spacing w:val="-3"/>
          <w:szCs w:val="24"/>
        </w:rPr>
        <w:tab/>
      </w:r>
      <w:commentRangeStart w:id="1"/>
      <w:r w:rsidRPr="009A1EA1">
        <w:rPr>
          <w:rFonts w:eastAsia="Calibri"/>
          <w:spacing w:val="-3"/>
          <w:szCs w:val="24"/>
        </w:rPr>
        <w:t>At intersections at Merritt Parkway interchanges, all brackets and hardware shall be painted dark green by the manufacturer. The color shall be No. 14056, Federal Standard No. 595.</w:t>
      </w:r>
      <w:commentRangeEnd w:id="1"/>
      <w:r w:rsidR="00C15377">
        <w:rPr>
          <w:rStyle w:val="CommentReference"/>
        </w:rPr>
        <w:commentReference w:id="1"/>
      </w:r>
    </w:p>
    <w:sectPr w:rsidR="00677F98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Santi, Cory A." w:date="2018-06-05T07:43:00Z" w:initials="DCA">
    <w:p w:rsidR="00C15377" w:rsidRDefault="00C15377">
      <w:pPr>
        <w:pStyle w:val="CommentText"/>
      </w:pPr>
      <w:r>
        <w:rPr>
          <w:rStyle w:val="CommentReference"/>
        </w:rPr>
        <w:annotationRef/>
      </w:r>
      <w:r>
        <w:t>Remove when not applicable.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44" w:rsidRDefault="00A93544">
      <w:r>
        <w:separator/>
      </w:r>
    </w:p>
  </w:endnote>
  <w:endnote w:type="continuationSeparator" w:id="0">
    <w:p w:rsidR="00A93544" w:rsidRDefault="00A9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33" w:rsidRDefault="001B3933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#1107007A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44" w:rsidRDefault="00A93544">
      <w:r>
        <w:separator/>
      </w:r>
    </w:p>
  </w:footnote>
  <w:footnote w:type="continuationSeparator" w:id="0">
    <w:p w:rsidR="00A93544" w:rsidRDefault="00A9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33" w:rsidRDefault="001B3933">
    <w:pPr>
      <w:pStyle w:val="Header"/>
      <w:jc w:val="right"/>
    </w:pPr>
    <w:r>
      <w:t>R</w:t>
    </w:r>
    <w:r w:rsidR="00677F98">
      <w:t xml:space="preserve">ev. Date </w:t>
    </w:r>
    <w:r w:rsidR="00C15377">
      <w:t>06</w:t>
    </w:r>
    <w:r w:rsidR="00677F98">
      <w:t>-</w:t>
    </w:r>
    <w:r w:rsidR="00317DD9">
      <w:t>2</w:t>
    </w:r>
    <w:r w:rsidR="008A25A8">
      <w:t>2</w:t>
    </w:r>
    <w:r w:rsidR="00A82A63">
      <w:t>-</w:t>
    </w:r>
    <w:r w:rsidR="00677F98">
      <w:t>1</w:t>
    </w:r>
    <w:r w:rsidR="00A82A63">
      <w:t>8</w:t>
    </w:r>
  </w:p>
  <w:p w:rsidR="00A82A63" w:rsidRDefault="00BB366D" w:rsidP="00A82A63">
    <w:pPr>
      <w:pStyle w:val="Header"/>
      <w:jc w:val="right"/>
    </w:pPr>
    <w:r>
      <w:t>Rectangular Rapid</w:t>
    </w:r>
    <w:r w:rsidR="00A82A63">
      <w:t xml:space="preserve"> Flashing Beacon</w:t>
    </w:r>
  </w:p>
  <w:p w:rsidR="002F69FA" w:rsidRPr="002F69FA" w:rsidRDefault="002F69FA">
    <w:pPr>
      <w:pStyle w:val="Header"/>
      <w:jc w:val="right"/>
      <w:rPr>
        <w:sz w:val="14"/>
        <w:szCs w:val="14"/>
      </w:rPr>
    </w:pPr>
    <w:r w:rsidRPr="002F69FA">
      <w:rPr>
        <w:rStyle w:val="PageNumber"/>
        <w:sz w:val="14"/>
        <w:szCs w:val="14"/>
      </w:rPr>
      <w:fldChar w:fldCharType="begin"/>
    </w:r>
    <w:r w:rsidRPr="002F69FA">
      <w:rPr>
        <w:rStyle w:val="PageNumber"/>
        <w:sz w:val="14"/>
        <w:szCs w:val="14"/>
      </w:rPr>
      <w:instrText xml:space="preserve"> PAGE </w:instrText>
    </w:r>
    <w:r w:rsidRPr="002F69FA">
      <w:rPr>
        <w:rStyle w:val="PageNumber"/>
        <w:sz w:val="14"/>
        <w:szCs w:val="14"/>
      </w:rPr>
      <w:fldChar w:fldCharType="separate"/>
    </w:r>
    <w:r w:rsidR="00256100">
      <w:rPr>
        <w:rStyle w:val="PageNumber"/>
        <w:noProof/>
        <w:sz w:val="14"/>
        <w:szCs w:val="14"/>
      </w:rPr>
      <w:t>1</w:t>
    </w:r>
    <w:r w:rsidRPr="002F69FA">
      <w:rPr>
        <w:rStyle w:val="PageNumber"/>
        <w:sz w:val="14"/>
        <w:szCs w:val="14"/>
      </w:rPr>
      <w:fldChar w:fldCharType="end"/>
    </w:r>
    <w:r w:rsidRPr="002F69FA">
      <w:rPr>
        <w:rStyle w:val="PageNumber"/>
        <w:sz w:val="14"/>
        <w:szCs w:val="14"/>
      </w:rPr>
      <w:t xml:space="preserve"> of </w:t>
    </w:r>
    <w:r w:rsidRPr="002F69FA">
      <w:rPr>
        <w:rStyle w:val="PageNumber"/>
        <w:sz w:val="14"/>
        <w:szCs w:val="14"/>
      </w:rPr>
      <w:fldChar w:fldCharType="begin"/>
    </w:r>
    <w:r w:rsidRPr="002F69FA">
      <w:rPr>
        <w:rStyle w:val="PageNumber"/>
        <w:sz w:val="14"/>
        <w:szCs w:val="14"/>
      </w:rPr>
      <w:instrText xml:space="preserve"> NUMPAGES </w:instrText>
    </w:r>
    <w:r w:rsidRPr="002F69FA">
      <w:rPr>
        <w:rStyle w:val="PageNumber"/>
        <w:sz w:val="14"/>
        <w:szCs w:val="14"/>
      </w:rPr>
      <w:fldChar w:fldCharType="separate"/>
    </w:r>
    <w:r w:rsidR="00256100">
      <w:rPr>
        <w:rStyle w:val="PageNumber"/>
        <w:noProof/>
        <w:sz w:val="14"/>
        <w:szCs w:val="14"/>
      </w:rPr>
      <w:t>1</w:t>
    </w:r>
    <w:r w:rsidRPr="002F69FA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E1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B454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B03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350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8037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4B2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1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396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3">
    <w:nsid w:val="4BCB64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2A24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AB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18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FA"/>
    <w:rsid w:val="00081219"/>
    <w:rsid w:val="00081CB8"/>
    <w:rsid w:val="0011041F"/>
    <w:rsid w:val="001B3933"/>
    <w:rsid w:val="001E047A"/>
    <w:rsid w:val="00256100"/>
    <w:rsid w:val="002A3ACE"/>
    <w:rsid w:val="002F69FA"/>
    <w:rsid w:val="00317DD9"/>
    <w:rsid w:val="0045213B"/>
    <w:rsid w:val="00456CE8"/>
    <w:rsid w:val="004B3CB5"/>
    <w:rsid w:val="004F0DDD"/>
    <w:rsid w:val="00580661"/>
    <w:rsid w:val="00667631"/>
    <w:rsid w:val="00677F98"/>
    <w:rsid w:val="0079416C"/>
    <w:rsid w:val="00846E6E"/>
    <w:rsid w:val="008A25A8"/>
    <w:rsid w:val="00953C1E"/>
    <w:rsid w:val="00957E98"/>
    <w:rsid w:val="009A1EA1"/>
    <w:rsid w:val="009A57CF"/>
    <w:rsid w:val="00A52205"/>
    <w:rsid w:val="00A82A63"/>
    <w:rsid w:val="00A93544"/>
    <w:rsid w:val="00AA0BFA"/>
    <w:rsid w:val="00B45578"/>
    <w:rsid w:val="00BB366D"/>
    <w:rsid w:val="00C15377"/>
    <w:rsid w:val="00CC40E2"/>
    <w:rsid w:val="00D8251E"/>
    <w:rsid w:val="00ED6A5C"/>
    <w:rsid w:val="00EF70FF"/>
    <w:rsid w:val="00F75E56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link w:val="Header"/>
    <w:rsid w:val="00A82A63"/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basedOn w:val="DefaultParagraphFont"/>
    <w:rsid w:val="00C15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5377"/>
  </w:style>
  <w:style w:type="paragraph" w:styleId="CommentSubject">
    <w:name w:val="annotation subject"/>
    <w:basedOn w:val="CommentText"/>
    <w:next w:val="CommentText"/>
    <w:link w:val="CommentSubjectChar"/>
    <w:rsid w:val="00C1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5377"/>
    <w:rPr>
      <w:b/>
      <w:bCs/>
    </w:rPr>
  </w:style>
  <w:style w:type="paragraph" w:styleId="BalloonText">
    <w:name w:val="Balloon Text"/>
    <w:basedOn w:val="Normal"/>
    <w:link w:val="BalloonTextChar"/>
    <w:rsid w:val="00C1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9360"/>
      </w:tabs>
    </w:pPr>
    <w:rPr>
      <w:sz w:val="20"/>
    </w:rPr>
  </w:style>
  <w:style w:type="character" w:customStyle="1" w:styleId="HeaderChar">
    <w:name w:val="Header Char"/>
    <w:link w:val="Header"/>
    <w:rsid w:val="00A82A63"/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basedOn w:val="DefaultParagraphFont"/>
    <w:rsid w:val="00C15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5377"/>
  </w:style>
  <w:style w:type="paragraph" w:styleId="CommentSubject">
    <w:name w:val="annotation subject"/>
    <w:basedOn w:val="CommentText"/>
    <w:next w:val="CommentText"/>
    <w:link w:val="CommentSubjectChar"/>
    <w:rsid w:val="00C1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5377"/>
    <w:rPr>
      <w:b/>
      <w:bCs/>
    </w:rPr>
  </w:style>
  <w:style w:type="paragraph" w:styleId="BalloonText">
    <w:name w:val="Balloon Text"/>
    <w:basedOn w:val="Normal"/>
    <w:link w:val="BalloonTextChar"/>
    <w:rsid w:val="00C1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6C19-2A53-4FC2-802F-1186C93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ETHICS</vt:lpstr>
    </vt:vector>
  </TitlesOfParts>
  <Company>State of Connecticut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</dc:title>
  <dc:creator>swinburnedk</dc:creator>
  <cp:lastModifiedBy>DeSanti, Cory A.</cp:lastModifiedBy>
  <cp:revision>3</cp:revision>
  <cp:lastPrinted>2006-03-02T15:24:00Z</cp:lastPrinted>
  <dcterms:created xsi:type="dcterms:W3CDTF">2018-09-21T11:23:00Z</dcterms:created>
  <dcterms:modified xsi:type="dcterms:W3CDTF">2018-09-21T11:29:00Z</dcterms:modified>
  <cp:category>ContractChecked_02/07/2006</cp:category>
</cp:coreProperties>
</file>