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80" w:rsidRDefault="00CE2980" w:rsidP="00CE2980">
      <w:pPr>
        <w:pStyle w:val="BlockText"/>
        <w:ind w:left="0" w:right="0"/>
        <w:jc w:val="left"/>
        <w:rPr>
          <w:rFonts w:ascii="Calibri" w:hAnsi="Calibri"/>
          <w:b/>
          <w:bCs/>
          <w:sz w:val="32"/>
          <w:szCs w:val="32"/>
        </w:rPr>
      </w:pPr>
      <w:r w:rsidRPr="00DE4694">
        <w:rPr>
          <w:rFonts w:ascii="Times New Roman" w:hAnsi="Times New Roman"/>
          <w:b/>
          <w:noProof/>
        </w:rPr>
        <w:drawing>
          <wp:inline distT="0" distB="0" distL="0" distR="0" wp14:anchorId="5E7088EF" wp14:editId="1E42216D">
            <wp:extent cx="1310640" cy="1310640"/>
            <wp:effectExtent l="0" t="0" r="3810" b="3810"/>
            <wp:docPr id="2" name="Picture 2" descr="cid:image002.jpg@01D15756.C3E12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2.jpg@01D15756.C3E120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043" cy="130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sz w:val="32"/>
          <w:szCs w:val="32"/>
        </w:rPr>
        <w:tab/>
      </w:r>
      <w:r>
        <w:rPr>
          <w:rFonts w:ascii="Calibri" w:hAnsi="Calibri"/>
          <w:b/>
          <w:bCs/>
          <w:sz w:val="32"/>
          <w:szCs w:val="32"/>
        </w:rPr>
        <w:tab/>
      </w:r>
      <w:r>
        <w:rPr>
          <w:rFonts w:ascii="Calibri" w:hAnsi="Calibri"/>
          <w:b/>
          <w:bCs/>
          <w:sz w:val="32"/>
          <w:szCs w:val="32"/>
        </w:rPr>
        <w:tab/>
        <w:t xml:space="preserve">                  </w:t>
      </w:r>
      <w:r>
        <w:rPr>
          <w:noProof/>
        </w:rPr>
        <w:drawing>
          <wp:inline distT="0" distB="0" distL="0" distR="0">
            <wp:extent cx="2571714" cy="754273"/>
            <wp:effectExtent l="0" t="0" r="635" b="8255"/>
            <wp:docPr id="1" name="Picture 1" descr="Inline 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line imag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269" cy="784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15" w:rsidRDefault="00411215" w:rsidP="00CE2980">
      <w:pPr>
        <w:pStyle w:val="Heading6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2980" w:rsidRPr="00DE4694" w:rsidRDefault="00CE2980" w:rsidP="00CE2980">
      <w:pPr>
        <w:pStyle w:val="Heading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DE4694">
        <w:rPr>
          <w:rFonts w:ascii="Times New Roman" w:hAnsi="Times New Roman"/>
          <w:b/>
          <w:noProof/>
          <w:sz w:val="24"/>
          <w:szCs w:val="24"/>
        </w:rPr>
        <w:t>NEWS RELEASE</w:t>
      </w:r>
    </w:p>
    <w:p w:rsidR="00CE2980" w:rsidRPr="00DE4694" w:rsidRDefault="00CE2980" w:rsidP="00CE2980">
      <w:pPr>
        <w:pStyle w:val="Heading6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E2980" w:rsidRPr="00CE2980" w:rsidRDefault="00CE2980" w:rsidP="00CE2980">
      <w:pPr>
        <w:pStyle w:val="Heading6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CE2980">
        <w:rPr>
          <w:rFonts w:ascii="Times New Roman" w:hAnsi="Times New Roman"/>
          <w:b/>
          <w:noProof/>
          <w:sz w:val="24"/>
          <w:szCs w:val="24"/>
        </w:rPr>
        <w:t>Consumer Counsel Elin Swanson Kat</w:t>
      </w:r>
      <w:r>
        <w:rPr>
          <w:rFonts w:ascii="Times New Roman" w:hAnsi="Times New Roman"/>
          <w:b/>
          <w:noProof/>
          <w:sz w:val="24"/>
          <w:szCs w:val="24"/>
        </w:rPr>
        <w:t xml:space="preserve">z </w:t>
      </w:r>
      <w:r>
        <w:rPr>
          <w:rFonts w:ascii="Times New Roman" w:hAnsi="Times New Roman"/>
          <w:b/>
          <w:sz w:val="24"/>
          <w:szCs w:val="24"/>
        </w:rPr>
        <w:t>a</w:t>
      </w:r>
      <w:r w:rsidRPr="00CE2980">
        <w:rPr>
          <w:rFonts w:ascii="Times New Roman" w:hAnsi="Times New Roman"/>
          <w:b/>
          <w:sz w:val="24"/>
          <w:szCs w:val="24"/>
        </w:rPr>
        <w:t>nd</w:t>
      </w:r>
    </w:p>
    <w:p w:rsidR="00CE2980" w:rsidRPr="00CE2980" w:rsidRDefault="00CE2980" w:rsidP="00CE2980">
      <w:pPr>
        <w:jc w:val="center"/>
        <w:rPr>
          <w:rFonts w:ascii="Times New Roman" w:hAnsi="Times New Roman"/>
          <w:b/>
          <w:sz w:val="24"/>
          <w:szCs w:val="24"/>
        </w:rPr>
      </w:pPr>
      <w:r w:rsidRPr="00CE2980">
        <w:rPr>
          <w:rFonts w:ascii="Times New Roman" w:hAnsi="Times New Roman"/>
          <w:b/>
          <w:sz w:val="24"/>
          <w:szCs w:val="24"/>
        </w:rPr>
        <w:t>Strategic Outreach Services</w:t>
      </w:r>
    </w:p>
    <w:p w:rsidR="00CE2980" w:rsidRPr="00CE2980" w:rsidRDefault="00CE2980" w:rsidP="00CE2980">
      <w:r>
        <w:t>_____________________________________________________________________________________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644"/>
      </w:tblGrid>
      <w:tr w:rsidR="00CE2980" w:rsidRPr="00956940" w:rsidTr="00CE2980">
        <w:tc>
          <w:tcPr>
            <w:tcW w:w="4716" w:type="dxa"/>
          </w:tcPr>
          <w:p w:rsidR="00CE2980" w:rsidRPr="00956940" w:rsidRDefault="00CE2980" w:rsidP="0085766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6B5A20" w:rsidRDefault="00CE2980" w:rsidP="0085766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95694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FOR IMMEDIATE RELEASE</w:t>
            </w:r>
          </w:p>
          <w:p w:rsidR="006B5A20" w:rsidRDefault="006B5A20" w:rsidP="008576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July 12, 2017</w:t>
            </w:r>
          </w:p>
          <w:p w:rsidR="00CE2980" w:rsidRPr="00956940" w:rsidRDefault="00CE2980" w:rsidP="00857660">
            <w:pPr>
              <w:rPr>
                <w:rFonts w:ascii="Times New Roman" w:hAnsi="Times New Roman"/>
                <w:sz w:val="24"/>
                <w:szCs w:val="24"/>
              </w:rPr>
            </w:pPr>
            <w:r w:rsidRPr="00956940"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</w:t>
            </w:r>
            <w:r w:rsidRPr="00956940">
              <w:rPr>
                <w:rFonts w:ascii="Times New Roman" w:hAnsi="Times New Roman"/>
                <w:sz w:val="24"/>
                <w:szCs w:val="24"/>
              </w:rPr>
              <w:tab/>
            </w:r>
            <w:r w:rsidRPr="00956940">
              <w:rPr>
                <w:rFonts w:ascii="Times New Roman" w:hAnsi="Times New Roman"/>
                <w:sz w:val="24"/>
                <w:szCs w:val="24"/>
              </w:rPr>
              <w:tab/>
              <w:t xml:space="preserve">      </w:t>
            </w:r>
          </w:p>
          <w:p w:rsidR="00CE2980" w:rsidRPr="00956940" w:rsidRDefault="00CE2980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956940">
              <w:rPr>
                <w:rFonts w:ascii="Times New Roman" w:hAnsi="Times New Roman"/>
                <w:sz w:val="24"/>
                <w:szCs w:val="24"/>
              </w:rPr>
              <w:t xml:space="preserve">Contact:  </w:t>
            </w:r>
            <w:r>
              <w:rPr>
                <w:rFonts w:ascii="Times New Roman" w:hAnsi="Times New Roman"/>
                <w:sz w:val="24"/>
                <w:szCs w:val="24"/>
              </w:rPr>
              <w:t>Elin Swanson Katz</w:t>
            </w:r>
          </w:p>
          <w:p w:rsidR="00CE2980" w:rsidRPr="00956940" w:rsidRDefault="00CE2980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Office: (860) 827-2901</w:t>
            </w:r>
          </w:p>
          <w:p w:rsidR="00CE2980" w:rsidRDefault="00CE2980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 w:rsidRPr="00956940">
              <w:rPr>
                <w:rFonts w:ascii="Times New Roman" w:hAnsi="Times New Roman"/>
                <w:sz w:val="24"/>
                <w:szCs w:val="24"/>
              </w:rPr>
              <w:t xml:space="preserve">Email: </w:t>
            </w:r>
            <w:hyperlink r:id="rId12" w:history="1">
              <w:r w:rsidRPr="00042AE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Elin.Katz@ct.gov</w:t>
              </w:r>
            </w:hyperlink>
          </w:p>
          <w:p w:rsidR="00CE2980" w:rsidRDefault="00CE2980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CE2980" w:rsidRDefault="00CE2980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Janice Flemming-Butler</w:t>
            </w:r>
          </w:p>
          <w:p w:rsidR="00CE2980" w:rsidRDefault="007C4E37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860-597-8881</w:t>
            </w:r>
          </w:p>
          <w:p w:rsidR="00CE2980" w:rsidRPr="00956940" w:rsidRDefault="00CE2980" w:rsidP="00857660">
            <w:pPr>
              <w:tabs>
                <w:tab w:val="right" w:pos="8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Email:  </w:t>
            </w:r>
            <w:hyperlink r:id="rId13" w:history="1">
              <w:r w:rsidRPr="00042AE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j.flemming@vowoc.org</w:t>
              </w:r>
            </w:hyperlink>
          </w:p>
        </w:tc>
        <w:tc>
          <w:tcPr>
            <w:tcW w:w="4644" w:type="dxa"/>
          </w:tcPr>
          <w:p w:rsidR="00CE2980" w:rsidRPr="00956940" w:rsidRDefault="00CE2980" w:rsidP="0085766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E2980" w:rsidRPr="00956940" w:rsidRDefault="00CE2980" w:rsidP="0085766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CE2980" w:rsidRPr="00956940" w:rsidRDefault="00CE2980" w:rsidP="00857660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</w:tbl>
    <w:p w:rsidR="00CE2980" w:rsidRDefault="00CE2980" w:rsidP="00064F00">
      <w:pPr>
        <w:pStyle w:val="BlockText"/>
        <w:ind w:left="0" w:right="0"/>
        <w:jc w:val="center"/>
        <w:rPr>
          <w:rFonts w:ascii="Calibri" w:hAnsi="Calibri"/>
          <w:b/>
          <w:bCs/>
          <w:sz w:val="32"/>
          <w:szCs w:val="32"/>
        </w:rPr>
      </w:pPr>
    </w:p>
    <w:p w:rsidR="007C4E37" w:rsidRDefault="007C4E37" w:rsidP="00064F00">
      <w:pPr>
        <w:pStyle w:val="BlockText"/>
        <w:ind w:left="0" w:right="0"/>
        <w:jc w:val="center"/>
        <w:rPr>
          <w:rFonts w:ascii="Garamond" w:hAnsi="Garamond" w:cs="GaramondPremrPro-Bd"/>
          <w:b/>
          <w:bCs/>
          <w:sz w:val="44"/>
          <w:szCs w:val="44"/>
        </w:rPr>
      </w:pPr>
      <w:r w:rsidRPr="00DF35E2">
        <w:rPr>
          <w:rFonts w:ascii="Garamond" w:hAnsi="Garamond" w:cs="GaramondPremrPro-Bd"/>
          <w:b/>
          <w:bCs/>
          <w:sz w:val="44"/>
          <w:szCs w:val="44"/>
        </w:rPr>
        <w:t>***PRESS ADVISORY***</w:t>
      </w:r>
    </w:p>
    <w:p w:rsidR="007C4E37" w:rsidRDefault="007C4E37" w:rsidP="00064F00">
      <w:pPr>
        <w:pStyle w:val="BlockText"/>
        <w:ind w:left="0" w:right="0"/>
        <w:jc w:val="center"/>
        <w:rPr>
          <w:rFonts w:ascii="Calibri" w:hAnsi="Calibri"/>
          <w:b/>
          <w:bCs/>
          <w:sz w:val="32"/>
          <w:szCs w:val="32"/>
        </w:rPr>
      </w:pPr>
    </w:p>
    <w:p w:rsidR="00955829" w:rsidRDefault="00064F00" w:rsidP="006B5A20">
      <w:pPr>
        <w:pStyle w:val="BlockText"/>
        <w:ind w:left="0" w:right="0"/>
        <w:jc w:val="center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STRATEGIC OUTREACH </w:t>
      </w:r>
      <w:r w:rsidR="008A1316">
        <w:rPr>
          <w:rFonts w:ascii="Calibri" w:hAnsi="Calibri"/>
          <w:b/>
          <w:bCs/>
          <w:sz w:val="32"/>
          <w:szCs w:val="32"/>
        </w:rPr>
        <w:t>SERVICES</w:t>
      </w:r>
      <w:r>
        <w:rPr>
          <w:rFonts w:ascii="Calibri" w:hAnsi="Calibri"/>
          <w:b/>
          <w:bCs/>
          <w:sz w:val="32"/>
          <w:szCs w:val="32"/>
        </w:rPr>
        <w:t xml:space="preserve"> AND OFFICE OF STATE BROADBAND </w:t>
      </w:r>
      <w:r w:rsidR="007C4E37">
        <w:rPr>
          <w:rFonts w:ascii="Calibri" w:hAnsi="Calibri"/>
          <w:b/>
          <w:bCs/>
          <w:sz w:val="32"/>
          <w:szCs w:val="32"/>
        </w:rPr>
        <w:t xml:space="preserve">TO </w:t>
      </w:r>
      <w:r>
        <w:rPr>
          <w:rFonts w:ascii="Calibri" w:hAnsi="Calibri"/>
          <w:b/>
          <w:bCs/>
          <w:sz w:val="32"/>
          <w:szCs w:val="32"/>
        </w:rPr>
        <w:t xml:space="preserve">RELEASE REPORT </w:t>
      </w:r>
      <w:r w:rsidR="006B5A20">
        <w:rPr>
          <w:rFonts w:ascii="Calibri" w:hAnsi="Calibri"/>
          <w:b/>
          <w:bCs/>
          <w:sz w:val="32"/>
          <w:szCs w:val="32"/>
        </w:rPr>
        <w:t>ON BROADBAND INTERNET “HOMEWORK GAP” IN HARTFORD’S NORTH END</w:t>
      </w:r>
    </w:p>
    <w:p w:rsidR="00955829" w:rsidRDefault="00955829" w:rsidP="00955829">
      <w:pPr>
        <w:pStyle w:val="BlockText"/>
        <w:ind w:left="0" w:right="0"/>
        <w:jc w:val="center"/>
        <w:rPr>
          <w:rFonts w:ascii="Calibri" w:hAnsi="Calibri"/>
          <w:sz w:val="22"/>
          <w:szCs w:val="22"/>
        </w:rPr>
      </w:pPr>
    </w:p>
    <w:p w:rsidR="00955829" w:rsidRDefault="00955829" w:rsidP="00955829">
      <w:pPr>
        <w:jc w:val="both"/>
        <w:rPr>
          <w:sz w:val="24"/>
          <w:szCs w:val="24"/>
        </w:rPr>
      </w:pPr>
      <w:r w:rsidRPr="008A1316">
        <w:rPr>
          <w:b/>
          <w:sz w:val="24"/>
          <w:szCs w:val="24"/>
        </w:rPr>
        <w:t>(HARTFORD, CT)</w:t>
      </w:r>
      <w:r>
        <w:rPr>
          <w:sz w:val="24"/>
          <w:szCs w:val="24"/>
        </w:rPr>
        <w:t xml:space="preserve"> – </w:t>
      </w:r>
      <w:r w:rsidR="006B5A20">
        <w:rPr>
          <w:sz w:val="24"/>
          <w:szCs w:val="24"/>
        </w:rPr>
        <w:t xml:space="preserve">At </w:t>
      </w:r>
      <w:r w:rsidR="006B5A20" w:rsidRPr="006B5A20">
        <w:rPr>
          <w:b/>
          <w:sz w:val="24"/>
          <w:szCs w:val="24"/>
        </w:rPr>
        <w:t>2:15 pm on Thursday, July 13 at the Collin Bennett Building, 1229 Albany Avenue, Hartford</w:t>
      </w:r>
      <w:r w:rsidR="006B5A20">
        <w:rPr>
          <w:sz w:val="24"/>
          <w:szCs w:val="24"/>
        </w:rPr>
        <w:t xml:space="preserve">, </w:t>
      </w:r>
      <w:r w:rsidR="00064F00">
        <w:rPr>
          <w:sz w:val="24"/>
          <w:szCs w:val="24"/>
        </w:rPr>
        <w:t xml:space="preserve">Strategic Outreach </w:t>
      </w:r>
      <w:r w:rsidR="008A1316">
        <w:rPr>
          <w:sz w:val="24"/>
          <w:szCs w:val="24"/>
        </w:rPr>
        <w:t>Services (SOS)</w:t>
      </w:r>
      <w:r w:rsidR="00064F00">
        <w:rPr>
          <w:sz w:val="24"/>
          <w:szCs w:val="24"/>
        </w:rPr>
        <w:t xml:space="preserve">, a strategic communications firm led by Janice </w:t>
      </w:r>
      <w:r w:rsidR="00BE43E1">
        <w:rPr>
          <w:sz w:val="24"/>
          <w:szCs w:val="24"/>
        </w:rPr>
        <w:t>Flemming-Butler</w:t>
      </w:r>
      <w:r w:rsidR="00064F00">
        <w:rPr>
          <w:sz w:val="24"/>
          <w:szCs w:val="24"/>
        </w:rPr>
        <w:t>, and the Office of State Broadband</w:t>
      </w:r>
      <w:r w:rsidR="00DE4892">
        <w:rPr>
          <w:sz w:val="24"/>
          <w:szCs w:val="24"/>
        </w:rPr>
        <w:t xml:space="preserve"> (Broadband Office)</w:t>
      </w:r>
      <w:r w:rsidR="00064F00">
        <w:rPr>
          <w:sz w:val="24"/>
          <w:szCs w:val="24"/>
        </w:rPr>
        <w:t xml:space="preserve">, which is part of the State of Connecticut’s Office of Consumer Counsel led by Elin Swanson Katz, </w:t>
      </w:r>
      <w:r w:rsidR="006B5A20">
        <w:rPr>
          <w:sz w:val="24"/>
          <w:szCs w:val="24"/>
        </w:rPr>
        <w:t>will  release</w:t>
      </w:r>
      <w:r w:rsidR="00180DC6">
        <w:rPr>
          <w:sz w:val="24"/>
          <w:szCs w:val="24"/>
        </w:rPr>
        <w:t xml:space="preserve"> a report, </w:t>
      </w:r>
      <w:r w:rsidR="00180DC6" w:rsidRPr="00180DC6">
        <w:rPr>
          <w:i/>
          <w:sz w:val="24"/>
          <w:szCs w:val="24"/>
        </w:rPr>
        <w:t>Assessment of the Broadband “Homework Gap” In Hartford</w:t>
      </w:r>
      <w:r w:rsidR="00180DC6">
        <w:rPr>
          <w:sz w:val="24"/>
          <w:szCs w:val="24"/>
        </w:rPr>
        <w:t>,</w:t>
      </w:r>
      <w:r w:rsidR="00064F00">
        <w:rPr>
          <w:sz w:val="24"/>
          <w:szCs w:val="24"/>
        </w:rPr>
        <w:t xml:space="preserve"> detailing the barriers to high-speed internet access faced by students in the North End of Hartford.  </w:t>
      </w:r>
    </w:p>
    <w:p w:rsidR="00064F00" w:rsidRDefault="00064F00" w:rsidP="00955829">
      <w:pPr>
        <w:jc w:val="both"/>
        <w:rPr>
          <w:sz w:val="24"/>
          <w:szCs w:val="24"/>
        </w:rPr>
      </w:pPr>
    </w:p>
    <w:p w:rsidR="00F0182B" w:rsidRDefault="00064F00" w:rsidP="001F0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Specifically, </w:t>
      </w:r>
      <w:r w:rsidR="001A03BE">
        <w:rPr>
          <w:sz w:val="24"/>
          <w:szCs w:val="24"/>
        </w:rPr>
        <w:t xml:space="preserve">the </w:t>
      </w:r>
      <w:r w:rsidR="001A03BE">
        <w:rPr>
          <w:i/>
          <w:sz w:val="24"/>
          <w:szCs w:val="24"/>
        </w:rPr>
        <w:t xml:space="preserve">Assessment </w:t>
      </w:r>
      <w:r w:rsidR="001A03BE">
        <w:rPr>
          <w:sz w:val="24"/>
          <w:szCs w:val="24"/>
        </w:rPr>
        <w:t xml:space="preserve">details </w:t>
      </w:r>
      <w:r>
        <w:rPr>
          <w:sz w:val="24"/>
          <w:szCs w:val="24"/>
        </w:rPr>
        <w:t>outreach efforts by M</w:t>
      </w:r>
      <w:r w:rsidR="00F0247C">
        <w:rPr>
          <w:sz w:val="24"/>
          <w:szCs w:val="24"/>
        </w:rPr>
        <w:t>r</w:t>
      </w:r>
      <w:r>
        <w:rPr>
          <w:sz w:val="24"/>
          <w:szCs w:val="24"/>
        </w:rPr>
        <w:t xml:space="preserve">s. </w:t>
      </w:r>
      <w:r w:rsidR="00BE43E1">
        <w:rPr>
          <w:sz w:val="24"/>
          <w:szCs w:val="24"/>
        </w:rPr>
        <w:t>Flemming-Butler</w:t>
      </w:r>
      <w:r>
        <w:rPr>
          <w:sz w:val="24"/>
          <w:szCs w:val="24"/>
        </w:rPr>
        <w:t xml:space="preserve"> and Consumer Counsel Katz </w:t>
      </w:r>
      <w:r w:rsidR="001A03BE">
        <w:rPr>
          <w:sz w:val="24"/>
          <w:szCs w:val="24"/>
        </w:rPr>
        <w:t>that revealed</w:t>
      </w:r>
      <w:r>
        <w:rPr>
          <w:sz w:val="24"/>
          <w:szCs w:val="24"/>
        </w:rPr>
        <w:t xml:space="preserve"> a gap between the availability of high-speed internet for student research and completion of homework in the suburbs and the lack of such availability in </w:t>
      </w:r>
      <w:r w:rsidR="008A1316">
        <w:rPr>
          <w:sz w:val="24"/>
          <w:szCs w:val="24"/>
        </w:rPr>
        <w:t xml:space="preserve">many </w:t>
      </w:r>
      <w:r>
        <w:rPr>
          <w:sz w:val="24"/>
          <w:szCs w:val="24"/>
        </w:rPr>
        <w:t>homes in the North End</w:t>
      </w:r>
      <w:r w:rsidR="008A1316">
        <w:rPr>
          <w:sz w:val="24"/>
          <w:szCs w:val="24"/>
        </w:rPr>
        <w:t xml:space="preserve"> of Hartford</w:t>
      </w:r>
      <w:r>
        <w:rPr>
          <w:sz w:val="24"/>
          <w:szCs w:val="24"/>
        </w:rPr>
        <w:t>.  This troubling situation, dubbed the “Homework Gap,” negatively impacts the educational oppo</w:t>
      </w:r>
      <w:bookmarkStart w:id="0" w:name="_GoBack"/>
      <w:bookmarkEnd w:id="0"/>
      <w:r>
        <w:rPr>
          <w:sz w:val="24"/>
          <w:szCs w:val="24"/>
        </w:rPr>
        <w:t>rtunities of North End students</w:t>
      </w:r>
      <w:r w:rsidR="001F0F89">
        <w:rPr>
          <w:sz w:val="24"/>
          <w:szCs w:val="24"/>
        </w:rPr>
        <w:t>.</w:t>
      </w:r>
      <w:r w:rsidR="00E6329A">
        <w:rPr>
          <w:sz w:val="24"/>
          <w:szCs w:val="24"/>
        </w:rPr>
        <w:t xml:space="preserve"> </w:t>
      </w:r>
    </w:p>
    <w:p w:rsidR="001A03BE" w:rsidRDefault="001A03BE" w:rsidP="00955829">
      <w:pPr>
        <w:jc w:val="both"/>
        <w:rPr>
          <w:sz w:val="24"/>
          <w:szCs w:val="24"/>
        </w:rPr>
      </w:pPr>
    </w:p>
    <w:p w:rsidR="001A03BE" w:rsidRDefault="001A03BE" w:rsidP="0095582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WHO</w:t>
      </w:r>
    </w:p>
    <w:p w:rsidR="001A03BE" w:rsidRDefault="001A03BE" w:rsidP="00955829">
      <w:pPr>
        <w:jc w:val="both"/>
        <w:rPr>
          <w:b/>
          <w:sz w:val="24"/>
          <w:szCs w:val="24"/>
        </w:rPr>
      </w:pPr>
    </w:p>
    <w:p w:rsidR="001A03BE" w:rsidRPr="00B25ED4" w:rsidRDefault="001A03BE" w:rsidP="00B25ED4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Janice Flemming-Butler, Voices of Women of Color and Strategic Outreach Services</w:t>
      </w:r>
    </w:p>
    <w:p w:rsidR="001A03BE" w:rsidRDefault="001A03BE" w:rsidP="001A03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Hartford Mayor Luke Bronin </w:t>
      </w:r>
    </w:p>
    <w:p w:rsidR="001A03BE" w:rsidRDefault="001A03BE" w:rsidP="001A03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Connecticut Comptroller Kevin Lembo</w:t>
      </w:r>
    </w:p>
    <w:p w:rsidR="001A03BE" w:rsidRDefault="001A03BE" w:rsidP="001A03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Hartford Council President T.J. Clarke</w:t>
      </w:r>
    </w:p>
    <w:p w:rsidR="001A03BE" w:rsidRDefault="001A03BE" w:rsidP="001A03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Craig Stallings, Hartford Board of Education Chair</w:t>
      </w:r>
    </w:p>
    <w:p w:rsidR="001A03BE" w:rsidRDefault="001A03BE" w:rsidP="001A03BE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Milly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Arciniegas</w:t>
      </w:r>
      <w:proofErr w:type="spellEnd"/>
      <w:r>
        <w:rPr>
          <w:sz w:val="24"/>
          <w:szCs w:val="24"/>
        </w:rPr>
        <w:t>, Executive Director, Hartford Parent University</w:t>
      </w:r>
    </w:p>
    <w:p w:rsidR="001A03BE" w:rsidRDefault="001A03BE" w:rsidP="001A03B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1A03BE">
        <w:rPr>
          <w:b/>
          <w:sz w:val="24"/>
          <w:szCs w:val="24"/>
        </w:rPr>
        <w:t>Hartford High School Student</w:t>
      </w:r>
    </w:p>
    <w:p w:rsidR="001A03BE" w:rsidRPr="001F0F89" w:rsidRDefault="001F0F89" w:rsidP="001A03BE">
      <w:pPr>
        <w:pStyle w:val="ListParagraph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Denise Best, Chair, Upper Albany Neighborhood Revitalization Zone</w:t>
      </w:r>
    </w:p>
    <w:p w:rsidR="001F0F89" w:rsidRDefault="001F0F89" w:rsidP="001F0F89">
      <w:pPr>
        <w:jc w:val="both"/>
        <w:rPr>
          <w:b/>
          <w:sz w:val="24"/>
          <w:szCs w:val="24"/>
        </w:rPr>
      </w:pPr>
    </w:p>
    <w:p w:rsidR="001F0F89" w:rsidRDefault="001F0F89" w:rsidP="001F0F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WHERE</w:t>
      </w:r>
    </w:p>
    <w:p w:rsidR="001F0F89" w:rsidRDefault="001F0F89" w:rsidP="001F0F89">
      <w:pPr>
        <w:jc w:val="both"/>
        <w:rPr>
          <w:b/>
          <w:sz w:val="24"/>
          <w:szCs w:val="24"/>
        </w:rPr>
      </w:pPr>
    </w:p>
    <w:p w:rsidR="001F0F89" w:rsidRDefault="001F0F89" w:rsidP="001F0F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Collin Bennett Building, </w:t>
      </w:r>
      <w:r w:rsidRPr="001F0F89">
        <w:rPr>
          <w:sz w:val="24"/>
          <w:szCs w:val="24"/>
        </w:rPr>
        <w:t>1229 Albany Avenue, Hartford</w:t>
      </w:r>
      <w:r>
        <w:rPr>
          <w:sz w:val="24"/>
          <w:szCs w:val="24"/>
        </w:rPr>
        <w:t>, Connecticut</w:t>
      </w:r>
    </w:p>
    <w:p w:rsidR="001F0F89" w:rsidRDefault="001F0F89" w:rsidP="001F0F89">
      <w:pPr>
        <w:jc w:val="both"/>
        <w:rPr>
          <w:sz w:val="24"/>
          <w:szCs w:val="24"/>
        </w:rPr>
      </w:pPr>
    </w:p>
    <w:p w:rsidR="001F0F89" w:rsidRDefault="001F0F89" w:rsidP="001F0F8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WHEN</w:t>
      </w:r>
    </w:p>
    <w:p w:rsidR="001F0F89" w:rsidRDefault="001F0F89" w:rsidP="001F0F89">
      <w:pPr>
        <w:jc w:val="both"/>
        <w:rPr>
          <w:b/>
          <w:sz w:val="24"/>
          <w:szCs w:val="24"/>
        </w:rPr>
      </w:pPr>
    </w:p>
    <w:p w:rsidR="001F0F89" w:rsidRPr="001F0F89" w:rsidRDefault="001F0F89" w:rsidP="001F0F89">
      <w:pPr>
        <w:jc w:val="both"/>
        <w:rPr>
          <w:sz w:val="24"/>
          <w:szCs w:val="24"/>
        </w:rPr>
      </w:pPr>
      <w:r>
        <w:rPr>
          <w:sz w:val="24"/>
          <w:szCs w:val="24"/>
        </w:rPr>
        <w:t>2:15 PM</w:t>
      </w:r>
    </w:p>
    <w:p w:rsidR="008A1316" w:rsidRDefault="008A1316" w:rsidP="00955829">
      <w:pPr>
        <w:jc w:val="both"/>
        <w:rPr>
          <w:sz w:val="24"/>
          <w:szCs w:val="24"/>
        </w:rPr>
      </w:pPr>
    </w:p>
    <w:p w:rsidR="008A1316" w:rsidRDefault="00B25ED4" w:rsidP="00955829">
      <w:pPr>
        <w:jc w:val="both"/>
        <w:rPr>
          <w:sz w:val="24"/>
          <w:szCs w:val="24"/>
        </w:rPr>
      </w:pPr>
      <w:r w:rsidRPr="00180DC6">
        <w:rPr>
          <w:i/>
          <w:sz w:val="24"/>
          <w:szCs w:val="24"/>
        </w:rPr>
        <w:t>Assessment of the Broadband “Homework Gap” In Hartford</w:t>
      </w:r>
      <w:r>
        <w:rPr>
          <w:sz w:val="24"/>
          <w:szCs w:val="24"/>
        </w:rPr>
        <w:t xml:space="preserve"> </w:t>
      </w:r>
      <w:r w:rsidR="001A03BE">
        <w:rPr>
          <w:sz w:val="24"/>
          <w:szCs w:val="24"/>
        </w:rPr>
        <w:t>will be</w:t>
      </w:r>
      <w:r w:rsidR="008A1316">
        <w:rPr>
          <w:sz w:val="24"/>
          <w:szCs w:val="24"/>
        </w:rPr>
        <w:t xml:space="preserve"> available on the Office of Consumer Counsel website at </w:t>
      </w:r>
      <w:hyperlink r:id="rId14" w:history="1">
        <w:r w:rsidR="001A03BE" w:rsidRPr="00A27C9D">
          <w:rPr>
            <w:rStyle w:val="Hyperlink"/>
            <w:sz w:val="24"/>
            <w:szCs w:val="24"/>
          </w:rPr>
          <w:t>www.ct.gov/occ</w:t>
        </w:r>
      </w:hyperlink>
      <w:r w:rsidR="001A03BE">
        <w:rPr>
          <w:sz w:val="24"/>
          <w:szCs w:val="24"/>
        </w:rPr>
        <w:t xml:space="preserve"> after </w:t>
      </w:r>
      <w:r>
        <w:rPr>
          <w:sz w:val="24"/>
          <w:szCs w:val="24"/>
        </w:rPr>
        <w:t>10 am</w:t>
      </w:r>
      <w:r w:rsidR="001A03BE">
        <w:rPr>
          <w:sz w:val="24"/>
          <w:szCs w:val="24"/>
        </w:rPr>
        <w:t xml:space="preserve"> on Thursday, July 13, 2017</w:t>
      </w:r>
      <w:r w:rsidR="008A1316">
        <w:rPr>
          <w:sz w:val="24"/>
          <w:szCs w:val="24"/>
        </w:rPr>
        <w:t>.</w:t>
      </w:r>
    </w:p>
    <w:p w:rsidR="00955829" w:rsidRDefault="00955829" w:rsidP="00955829">
      <w:pPr>
        <w:jc w:val="both"/>
        <w:rPr>
          <w:sz w:val="24"/>
          <w:szCs w:val="24"/>
        </w:rPr>
      </w:pPr>
    </w:p>
    <w:p w:rsidR="0011556A" w:rsidRDefault="0011556A" w:rsidP="00955829">
      <w:pPr>
        <w:jc w:val="both"/>
        <w:rPr>
          <w:sz w:val="24"/>
          <w:szCs w:val="24"/>
        </w:rPr>
      </w:pPr>
    </w:p>
    <w:p w:rsidR="00955829" w:rsidRDefault="00955829" w:rsidP="00955829">
      <w:pPr>
        <w:jc w:val="both"/>
        <w:rPr>
          <w:sz w:val="24"/>
          <w:szCs w:val="24"/>
        </w:rPr>
      </w:pPr>
    </w:p>
    <w:p w:rsidR="00955829" w:rsidRDefault="00955829" w:rsidP="00955829">
      <w:pPr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p w:rsidR="008A1316" w:rsidRDefault="008A1316" w:rsidP="00955829">
      <w:pPr>
        <w:jc w:val="center"/>
        <w:rPr>
          <w:sz w:val="24"/>
          <w:szCs w:val="24"/>
        </w:rPr>
      </w:pPr>
    </w:p>
    <w:p w:rsidR="008A1316" w:rsidRPr="009923C1" w:rsidRDefault="008A1316" w:rsidP="008A1316">
      <w:pPr>
        <w:rPr>
          <w:rFonts w:ascii="Times New Roman" w:hAnsi="Times New Roman"/>
          <w:i/>
          <w:sz w:val="24"/>
        </w:rPr>
      </w:pPr>
      <w:r w:rsidRPr="00956940">
        <w:rPr>
          <w:rFonts w:ascii="Times New Roman" w:hAnsi="Times New Roman"/>
          <w:i/>
          <w:sz w:val="24"/>
          <w:szCs w:val="24"/>
        </w:rPr>
        <w:t xml:space="preserve">The Office of Consumer Counsel (OCC) is the State of Connecticut’s </w:t>
      </w:r>
      <w:r>
        <w:rPr>
          <w:rFonts w:ascii="Times New Roman" w:hAnsi="Times New Roman"/>
          <w:i/>
          <w:sz w:val="24"/>
          <w:szCs w:val="24"/>
        </w:rPr>
        <w:t xml:space="preserve">independent </w:t>
      </w:r>
      <w:r w:rsidRPr="00956940">
        <w:rPr>
          <w:rFonts w:ascii="Times New Roman" w:hAnsi="Times New Roman"/>
          <w:i/>
          <w:sz w:val="24"/>
          <w:szCs w:val="24"/>
        </w:rPr>
        <w:t xml:space="preserve">advocate for consumers on issues relating to electricity, natural gas, water, and telecommunications.  For more information, visit </w:t>
      </w:r>
      <w:hyperlink r:id="rId15" w:history="1">
        <w:r w:rsidRPr="00956940">
          <w:rPr>
            <w:rStyle w:val="Hyperlink"/>
            <w:rFonts w:ascii="Times New Roman" w:hAnsi="Times New Roman"/>
            <w:i/>
            <w:sz w:val="24"/>
            <w:szCs w:val="24"/>
          </w:rPr>
          <w:t>www.ct.gov/occ</w:t>
        </w:r>
      </w:hyperlink>
      <w:r w:rsidRPr="00956940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 xml:space="preserve"> The State Broadband Office (SBO) is part of the Office of Consumer Counsel by statute</w:t>
      </w:r>
      <w:r w:rsidRPr="00BF67B8">
        <w:rPr>
          <w:rFonts w:ascii="Times New Roman" w:hAnsi="Times New Roman"/>
          <w:i/>
          <w:sz w:val="24"/>
          <w:szCs w:val="24"/>
        </w:rPr>
        <w:t xml:space="preserve">, </w:t>
      </w:r>
      <w:r w:rsidRPr="00BF67B8">
        <w:rPr>
          <w:rFonts w:ascii="Times New Roman" w:hAnsi="Times New Roman"/>
          <w:i/>
          <w:sz w:val="24"/>
          <w:szCs w:val="24"/>
          <w:shd w:val="clear" w:color="auto" w:fill="FFFFFF"/>
        </w:rPr>
        <w:t>and works to facilitate the availability of broadband access to every state citizen and to increase access to and the adoption of ultra-high-speed gigabit capable broadband networks.</w:t>
      </w:r>
    </w:p>
    <w:p w:rsidR="008A1316" w:rsidRDefault="008A1316" w:rsidP="00955829">
      <w:pPr>
        <w:jc w:val="center"/>
        <w:rPr>
          <w:sz w:val="24"/>
          <w:szCs w:val="24"/>
        </w:rPr>
      </w:pPr>
    </w:p>
    <w:p w:rsidR="008B34D7" w:rsidRPr="001F0F89" w:rsidRDefault="001F0F89">
      <w:pPr>
        <w:rPr>
          <w:i/>
        </w:rPr>
      </w:pPr>
      <w:r w:rsidRPr="001F0F89">
        <w:rPr>
          <w:rFonts w:ascii="Times New Roman" w:hAnsi="Times New Roman"/>
          <w:i/>
          <w:color w:val="000000"/>
          <w:sz w:val="24"/>
          <w:szCs w:val="24"/>
        </w:rPr>
        <w:t>Strategic Outreach Services (SOS)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 xml:space="preserve"> is 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 xml:space="preserve">a strategic communications enterprise 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>led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 xml:space="preserve"> by Janice Flemming-Butler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>, a longtime community organizer and founder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>of the Voices of Women of Color</w:t>
      </w:r>
      <w:r w:rsidR="00B25ED4">
        <w:rPr>
          <w:rFonts w:ascii="Times New Roman" w:hAnsi="Times New Roman"/>
          <w:i/>
          <w:color w:val="000000"/>
          <w:sz w:val="24"/>
          <w:szCs w:val="24"/>
        </w:rPr>
        <w:t xml:space="preserve"> in Hartford, Connecticut</w:t>
      </w:r>
      <w:r w:rsidRPr="001F0F89">
        <w:rPr>
          <w:rFonts w:ascii="Times New Roman" w:hAnsi="Times New Roman"/>
          <w:i/>
          <w:color w:val="000000"/>
          <w:sz w:val="24"/>
          <w:szCs w:val="24"/>
        </w:rPr>
        <w:t>.</w:t>
      </w:r>
    </w:p>
    <w:sectPr w:rsidR="008B34D7" w:rsidRPr="001F0F89">
      <w:head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AC" w:rsidRDefault="008452AC" w:rsidP="00CE2980">
      <w:r>
        <w:separator/>
      </w:r>
    </w:p>
  </w:endnote>
  <w:endnote w:type="continuationSeparator" w:id="0">
    <w:p w:rsidR="008452AC" w:rsidRDefault="008452AC" w:rsidP="00CE2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PremrPro-Bd">
    <w:altName w:val="Garamond Premr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AC" w:rsidRDefault="008452AC" w:rsidP="00CE2980">
      <w:r>
        <w:separator/>
      </w:r>
    </w:p>
  </w:footnote>
  <w:footnote w:type="continuationSeparator" w:id="0">
    <w:p w:rsidR="008452AC" w:rsidRDefault="008452AC" w:rsidP="00CE2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892" w:rsidRDefault="00DE489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5319B"/>
    <w:multiLevelType w:val="hybridMultilevel"/>
    <w:tmpl w:val="775C6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29"/>
    <w:rsid w:val="00064F00"/>
    <w:rsid w:val="0011556A"/>
    <w:rsid w:val="00180DC6"/>
    <w:rsid w:val="00195FDF"/>
    <w:rsid w:val="001A03BE"/>
    <w:rsid w:val="001A7B7C"/>
    <w:rsid w:val="001F0F89"/>
    <w:rsid w:val="002173C4"/>
    <w:rsid w:val="002C5DB3"/>
    <w:rsid w:val="003846B5"/>
    <w:rsid w:val="00411215"/>
    <w:rsid w:val="006B5A20"/>
    <w:rsid w:val="00760A1F"/>
    <w:rsid w:val="00772729"/>
    <w:rsid w:val="007C4E37"/>
    <w:rsid w:val="00844BA2"/>
    <w:rsid w:val="008452AC"/>
    <w:rsid w:val="008A1316"/>
    <w:rsid w:val="008B34D7"/>
    <w:rsid w:val="00955829"/>
    <w:rsid w:val="009F73BD"/>
    <w:rsid w:val="00B25ED4"/>
    <w:rsid w:val="00BE43E1"/>
    <w:rsid w:val="00CE2980"/>
    <w:rsid w:val="00D953F2"/>
    <w:rsid w:val="00DE4892"/>
    <w:rsid w:val="00E4743C"/>
    <w:rsid w:val="00E6329A"/>
    <w:rsid w:val="00F0182B"/>
    <w:rsid w:val="00F0247C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E57B1AE-D851-4A85-9C78-4A3F1A4A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829"/>
    <w:pPr>
      <w:spacing w:after="0" w:line="240" w:lineRule="auto"/>
    </w:pPr>
    <w:rPr>
      <w:rFonts w:ascii="Calibri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CE2980"/>
    <w:pPr>
      <w:keepNext/>
      <w:spacing w:line="203" w:lineRule="auto"/>
      <w:outlineLvl w:val="5"/>
    </w:pPr>
    <w:rPr>
      <w:rFonts w:ascii="Copperplate Gothic Bold" w:eastAsia="Times New Roman" w:hAnsi="Copperplate Gothic Bold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unhideWhenUsed/>
    <w:rsid w:val="00955829"/>
    <w:pPr>
      <w:ind w:left="720" w:right="720"/>
      <w:jc w:val="both"/>
    </w:pPr>
    <w:rPr>
      <w:rFonts w:ascii="Arial" w:hAnsi="Arial" w:cs="Arial"/>
      <w:spacing w:val="-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A1316"/>
    <w:rPr>
      <w:color w:val="0563C1" w:themeColor="hyperlink"/>
      <w:u w:val="single"/>
    </w:rPr>
  </w:style>
  <w:style w:type="character" w:customStyle="1" w:styleId="Heading6Char">
    <w:name w:val="Heading 6 Char"/>
    <w:basedOn w:val="DefaultParagraphFont"/>
    <w:link w:val="Heading6"/>
    <w:rsid w:val="00CE2980"/>
    <w:rPr>
      <w:rFonts w:ascii="Copperplate Gothic Bold" w:eastAsia="Times New Roman" w:hAnsi="Copperplate Gothic Bold" w:cs="Times New Roman"/>
      <w:sz w:val="30"/>
      <w:szCs w:val="20"/>
    </w:rPr>
  </w:style>
  <w:style w:type="table" w:styleId="TableGrid">
    <w:name w:val="Table Grid"/>
    <w:basedOn w:val="TableNormal"/>
    <w:uiPriority w:val="59"/>
    <w:rsid w:val="00CE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29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98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29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980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A0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j.flemming@vowoc.or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in.Katz@ct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ii_15d32ee92614c8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t.gov/occ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2.jpg@01D15756.C3E12050" TargetMode="External"/><Relationship Id="rId14" Type="http://schemas.openxmlformats.org/officeDocument/2006/relationships/hyperlink" Target="http://www.ct.gov/oc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23ED1-CDA4-405D-9C62-FE03A6999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Connecticut DEEP</Company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Katz</dc:creator>
  <cp:keywords/>
  <dc:description/>
  <cp:lastModifiedBy>Elin Katz</cp:lastModifiedBy>
  <cp:revision>5</cp:revision>
  <cp:lastPrinted>2017-07-11T22:25:00Z</cp:lastPrinted>
  <dcterms:created xsi:type="dcterms:W3CDTF">2017-07-12T14:59:00Z</dcterms:created>
  <dcterms:modified xsi:type="dcterms:W3CDTF">2017-07-12T16:48:00Z</dcterms:modified>
</cp:coreProperties>
</file>