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5E9" w:rsidRDefault="001D55E9" w:rsidP="001D55E9">
      <w:pPr>
        <w:rPr>
          <w:rFonts w:ascii="Verdana" w:hAnsi="Verdana" w:cstheme="minorBidi"/>
          <w:color w:val="1F497D"/>
          <w:szCs w:val="22"/>
        </w:rPr>
      </w:pPr>
      <w:bookmarkStart w:id="0" w:name="_GoBack"/>
      <w:bookmarkEnd w:id="0"/>
    </w:p>
    <w:p w:rsidR="001D55E9" w:rsidRPr="001D55E9" w:rsidRDefault="001D55E9" w:rsidP="001D55E9">
      <w:pPr>
        <w:rPr>
          <w:rFonts w:ascii="Verdana" w:hAnsi="Verdana" w:cstheme="minorBidi"/>
          <w:color w:val="1F497D"/>
          <w:szCs w:val="22"/>
        </w:rPr>
      </w:pPr>
      <w:r w:rsidRPr="001D55E9">
        <w:rPr>
          <w:rFonts w:ascii="Verdana" w:hAnsi="Verdana" w:cstheme="minorBidi"/>
          <w:color w:val="1F497D"/>
          <w:szCs w:val="22"/>
        </w:rPr>
        <w:t>This article is reprinted with permission of Warren Communications News.</w:t>
      </w:r>
    </w:p>
    <w:p w:rsidR="001D55E9" w:rsidRPr="001D55E9" w:rsidRDefault="001D55E9" w:rsidP="001D55E9">
      <w:pPr>
        <w:rPr>
          <w:rFonts w:ascii="Verdana" w:hAnsi="Verdana" w:cstheme="minorBidi"/>
          <w:color w:val="1F497D"/>
          <w:szCs w:val="22"/>
        </w:rPr>
      </w:pPr>
      <w:r w:rsidRPr="001D55E9">
        <w:rPr>
          <w:rFonts w:ascii="Verdana" w:hAnsi="Verdana" w:cstheme="minorBidi"/>
          <w:color w:val="1F497D"/>
          <w:szCs w:val="22"/>
        </w:rPr>
        <w:t>Do not further redistribute without written permission from Warren.</w:t>
      </w:r>
    </w:p>
    <w:p w:rsidR="001D55E9" w:rsidRPr="001D55E9" w:rsidRDefault="001D55E9" w:rsidP="001D55E9">
      <w:pPr>
        <w:rPr>
          <w:rFonts w:ascii="Verdana" w:hAnsi="Verdana" w:cstheme="minorBidi"/>
          <w:color w:val="1F497D"/>
          <w:szCs w:val="22"/>
        </w:rPr>
      </w:pPr>
      <w:r w:rsidRPr="001D55E9">
        <w:rPr>
          <w:rFonts w:ascii="Verdana" w:hAnsi="Verdana" w:cstheme="minorBidi"/>
          <w:color w:val="1F497D"/>
          <w:szCs w:val="22"/>
        </w:rPr>
        <w:t xml:space="preserve">www.communicationsdaily.com </w:t>
      </w:r>
    </w:p>
    <w:p w:rsidR="00FC328F" w:rsidRDefault="001D55E9" w:rsidP="001D55E9">
      <w:pPr>
        <w:rPr>
          <w:rFonts w:ascii="Verdana" w:hAnsi="Verdana" w:cstheme="minorBidi"/>
          <w:color w:val="1F497D"/>
          <w:szCs w:val="22"/>
        </w:rPr>
      </w:pPr>
      <w:r w:rsidRPr="001D55E9">
        <w:rPr>
          <w:rFonts w:ascii="Verdana" w:hAnsi="Verdana" w:cstheme="minorBidi"/>
          <w:color w:val="1F497D"/>
          <w:szCs w:val="22"/>
        </w:rPr>
        <w:t xml:space="preserve">202-872-9200 / </w:t>
      </w:r>
      <w:hyperlink r:id="rId4" w:history="1">
        <w:r w:rsidRPr="00732AEA">
          <w:rPr>
            <w:rStyle w:val="Hyperlink"/>
            <w:rFonts w:ascii="Verdana" w:hAnsi="Verdana" w:cstheme="minorBidi"/>
            <w:szCs w:val="22"/>
          </w:rPr>
          <w:t>sales@warren-news.com</w:t>
        </w:r>
      </w:hyperlink>
    </w:p>
    <w:p w:rsidR="001D55E9" w:rsidRDefault="001D55E9" w:rsidP="001D55E9">
      <w:pPr>
        <w:rPr>
          <w:rFonts w:ascii="Verdana" w:hAnsi="Verdana" w:cstheme="minorBidi"/>
          <w:color w:val="1F497D"/>
          <w:szCs w:val="22"/>
        </w:rPr>
      </w:pPr>
    </w:p>
    <w:p w:rsidR="001D55E9" w:rsidRDefault="001D55E9" w:rsidP="001D55E9">
      <w:pPr>
        <w:rPr>
          <w:rFonts w:ascii="Verdana" w:hAnsi="Verdana" w:cstheme="minorBidi"/>
          <w:color w:val="1F497D"/>
          <w:szCs w:val="22"/>
        </w:rPr>
      </w:pPr>
      <w:hyperlink r:id="rId5" w:history="1">
        <w:r w:rsidRPr="00732AEA">
          <w:rPr>
            <w:rStyle w:val="Hyperlink"/>
            <w:rFonts w:ascii="Verdana" w:hAnsi="Verdana" w:cstheme="minorBidi"/>
            <w:szCs w:val="22"/>
          </w:rPr>
          <w:t>http://www.communicationsdaily.com/free_trial?ref=RC&amp;src=SHARE</w:t>
        </w:r>
      </w:hyperlink>
    </w:p>
    <w:p w:rsidR="00E95911" w:rsidRDefault="00E95911" w:rsidP="00E95911">
      <w:pPr>
        <w:rPr>
          <w:rFonts w:ascii="Verdana" w:hAnsi="Verdana" w:cstheme="minorBidi"/>
          <w:color w:val="1F497D"/>
          <w:szCs w:val="22"/>
        </w:rPr>
      </w:pPr>
    </w:p>
    <w:tbl>
      <w:tblPr>
        <w:tblW w:w="5009" w:type="pct"/>
        <w:tblCellMar>
          <w:left w:w="0" w:type="dxa"/>
          <w:right w:w="0" w:type="dxa"/>
        </w:tblCellMar>
        <w:tblLook w:val="04A0" w:firstRow="1" w:lastRow="0" w:firstColumn="1" w:lastColumn="0" w:noHBand="0" w:noVBand="1"/>
      </w:tblPr>
      <w:tblGrid>
        <w:gridCol w:w="9377"/>
      </w:tblGrid>
      <w:tr w:rsidR="00E95911" w:rsidTr="00E95911">
        <w:trPr>
          <w:trHeight w:val="1170"/>
        </w:trPr>
        <w:tc>
          <w:tcPr>
            <w:tcW w:w="0" w:type="auto"/>
            <w:shd w:val="clear" w:color="auto" w:fill="9FBDE0"/>
            <w:vAlign w:val="center"/>
            <w:hideMark/>
          </w:tcPr>
          <w:p w:rsidR="00E95911" w:rsidRDefault="00E95911">
            <w:pPr>
              <w:spacing w:line="0" w:lineRule="auto"/>
              <w:rPr>
                <w:rFonts w:ascii="Arial" w:hAnsi="Arial" w:cs="Arial"/>
              </w:rPr>
            </w:pPr>
            <w:bookmarkStart w:id="1" w:name="_MailOriginal"/>
            <w:r>
              <w:rPr>
                <w:rFonts w:ascii="Arial" w:hAnsi="Arial" w:cs="Arial"/>
                <w:noProof/>
              </w:rPr>
              <w:drawing>
                <wp:inline distT="0" distB="0" distL="0" distR="0" wp14:anchorId="5A091400" wp14:editId="29512D93">
                  <wp:extent cx="5715000" cy="742950"/>
                  <wp:effectExtent l="0" t="0" r="0" b="0"/>
                  <wp:docPr id="7" name="Picture 7" descr="http://www.communicationsdaily.com/img/email/header-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unicationsdaily.com/img/email/header-cd.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742950"/>
                          </a:xfrm>
                          <a:prstGeom prst="rect">
                            <a:avLst/>
                          </a:prstGeom>
                          <a:noFill/>
                          <a:ln>
                            <a:noFill/>
                          </a:ln>
                        </pic:spPr>
                      </pic:pic>
                    </a:graphicData>
                  </a:graphic>
                </wp:inline>
              </w:drawing>
            </w:r>
          </w:p>
        </w:tc>
      </w:tr>
      <w:tr w:rsidR="00E95911" w:rsidTr="00E95911">
        <w:trPr>
          <w:trHeight w:val="600"/>
        </w:trPr>
        <w:tc>
          <w:tcPr>
            <w:tcW w:w="0" w:type="auto"/>
            <w:shd w:val="clear" w:color="auto" w:fill="4979B1"/>
            <w:vAlign w:val="center"/>
            <w:hideMark/>
          </w:tcPr>
          <w:p w:rsidR="00E95911" w:rsidRDefault="00E95911">
            <w:pPr>
              <w:spacing w:line="0" w:lineRule="auto"/>
              <w:rPr>
                <w:rFonts w:ascii="Arial" w:hAnsi="Arial" w:cs="Arial"/>
              </w:rPr>
            </w:pPr>
            <w:r>
              <w:rPr>
                <w:rFonts w:ascii="Arial" w:hAnsi="Arial" w:cs="Arial"/>
                <w:noProof/>
              </w:rPr>
              <w:drawing>
                <wp:inline distT="0" distB="0" distL="0" distR="0" wp14:anchorId="2A4E379F" wp14:editId="15B892B9">
                  <wp:extent cx="5715000" cy="381000"/>
                  <wp:effectExtent l="0" t="0" r="0" b="0"/>
                  <wp:docPr id="6" name="Picture 6" descr="http://www.communicationsdaily.com/img/email/subheader-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municationsdaily.com/img/email/subheader-cd.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15000" cy="381000"/>
                          </a:xfrm>
                          <a:prstGeom prst="rect">
                            <a:avLst/>
                          </a:prstGeom>
                          <a:noFill/>
                          <a:ln>
                            <a:noFill/>
                          </a:ln>
                        </pic:spPr>
                      </pic:pic>
                    </a:graphicData>
                  </a:graphic>
                </wp:inline>
              </w:drawing>
            </w:r>
          </w:p>
        </w:tc>
      </w:tr>
      <w:tr w:rsidR="00E95911" w:rsidTr="00E95911">
        <w:trPr>
          <w:trHeight w:val="15"/>
        </w:trPr>
        <w:tc>
          <w:tcPr>
            <w:tcW w:w="0" w:type="auto"/>
            <w:shd w:val="clear" w:color="auto" w:fill="9FBDE0"/>
            <w:vAlign w:val="center"/>
            <w:hideMark/>
          </w:tcPr>
          <w:p w:rsidR="00E95911" w:rsidRDefault="00E95911">
            <w:pPr>
              <w:rPr>
                <w:rFonts w:ascii="Arial" w:hAnsi="Arial" w:cs="Arial"/>
              </w:rPr>
            </w:pPr>
          </w:p>
        </w:tc>
      </w:tr>
      <w:tr w:rsidR="00E95911" w:rsidTr="00E95911">
        <w:trPr>
          <w:trHeight w:val="135"/>
        </w:trPr>
        <w:tc>
          <w:tcPr>
            <w:tcW w:w="0" w:type="auto"/>
            <w:shd w:val="clear" w:color="auto" w:fill="D5E0ED"/>
            <w:vAlign w:val="center"/>
            <w:hideMark/>
          </w:tcPr>
          <w:p w:rsidR="00E95911" w:rsidRDefault="00E95911">
            <w:pPr>
              <w:rPr>
                <w:rFonts w:eastAsia="Times New Roman"/>
                <w:sz w:val="20"/>
                <w:szCs w:val="20"/>
              </w:rPr>
            </w:pPr>
          </w:p>
        </w:tc>
      </w:tr>
    </w:tbl>
    <w:p w:rsidR="00E95911" w:rsidRDefault="00E95911" w:rsidP="00E95911">
      <w:pPr>
        <w:rPr>
          <w:rFonts w:ascii="Arial" w:hAnsi="Arial" w:cs="Arial"/>
          <w:vanish/>
          <w:lang w:val="en"/>
        </w:rPr>
      </w:pPr>
    </w:p>
    <w:tbl>
      <w:tblPr>
        <w:tblW w:w="5000" w:type="pct"/>
        <w:shd w:val="clear" w:color="auto" w:fill="E7F0FB"/>
        <w:tblCellMar>
          <w:left w:w="0" w:type="dxa"/>
          <w:right w:w="0" w:type="dxa"/>
        </w:tblCellMar>
        <w:tblLook w:val="04A0" w:firstRow="1" w:lastRow="0" w:firstColumn="1" w:lastColumn="0" w:noHBand="0" w:noVBand="1"/>
      </w:tblPr>
      <w:tblGrid>
        <w:gridCol w:w="300"/>
        <w:gridCol w:w="8760"/>
        <w:gridCol w:w="300"/>
      </w:tblGrid>
      <w:tr w:rsidR="00E95911" w:rsidTr="00E95911">
        <w:trPr>
          <w:hidden/>
        </w:trPr>
        <w:tc>
          <w:tcPr>
            <w:tcW w:w="300" w:type="dxa"/>
            <w:shd w:val="clear" w:color="auto" w:fill="E7F0FB"/>
            <w:tcMar>
              <w:top w:w="15" w:type="dxa"/>
              <w:left w:w="15" w:type="dxa"/>
              <w:bottom w:w="15" w:type="dxa"/>
              <w:right w:w="15" w:type="dxa"/>
            </w:tcMar>
            <w:vAlign w:val="center"/>
            <w:hideMark/>
          </w:tcPr>
          <w:p w:rsidR="00E95911" w:rsidRDefault="00E95911">
            <w:pPr>
              <w:rPr>
                <w:rFonts w:ascii="Arial" w:hAnsi="Arial" w:cs="Arial"/>
                <w:vanish/>
                <w:lang w:val="en"/>
              </w:rPr>
            </w:pPr>
          </w:p>
        </w:tc>
        <w:tc>
          <w:tcPr>
            <w:tcW w:w="0" w:type="auto"/>
            <w:shd w:val="clear" w:color="auto" w:fill="E7F0FB"/>
            <w:tcMar>
              <w:top w:w="90" w:type="dxa"/>
              <w:left w:w="0" w:type="dxa"/>
              <w:bottom w:w="0" w:type="dxa"/>
              <w:right w:w="0" w:type="dxa"/>
            </w:tcMar>
            <w:vAlign w:val="center"/>
            <w:hideMark/>
          </w:tcPr>
          <w:p w:rsidR="00E95911" w:rsidRDefault="00E95911">
            <w:pPr>
              <w:spacing w:line="288" w:lineRule="atLeast"/>
              <w:rPr>
                <w:rFonts w:ascii="Arial" w:hAnsi="Arial" w:cs="Arial"/>
                <w:b/>
                <w:bCs/>
                <w:color w:val="000000"/>
                <w:sz w:val="23"/>
                <w:szCs w:val="23"/>
              </w:rPr>
            </w:pPr>
            <w:r>
              <w:rPr>
                <w:rFonts w:ascii="Arial" w:hAnsi="Arial" w:cs="Arial"/>
                <w:b/>
                <w:bCs/>
                <w:color w:val="000000"/>
                <w:sz w:val="23"/>
                <w:szCs w:val="23"/>
              </w:rPr>
              <w:t>Free 30-Day Trial</w:t>
            </w:r>
          </w:p>
        </w:tc>
        <w:tc>
          <w:tcPr>
            <w:tcW w:w="300" w:type="dxa"/>
            <w:shd w:val="clear" w:color="auto" w:fill="E7F0FB"/>
            <w:tcMar>
              <w:top w:w="15" w:type="dxa"/>
              <w:left w:w="15" w:type="dxa"/>
              <w:bottom w:w="15" w:type="dxa"/>
              <w:right w:w="15" w:type="dxa"/>
            </w:tcMar>
            <w:vAlign w:val="center"/>
            <w:hideMark/>
          </w:tcPr>
          <w:p w:rsidR="00E95911" w:rsidRDefault="00E95911">
            <w:pPr>
              <w:rPr>
                <w:rFonts w:ascii="Arial" w:hAnsi="Arial" w:cs="Arial"/>
                <w:b/>
                <w:bCs/>
                <w:color w:val="000000"/>
                <w:sz w:val="23"/>
                <w:szCs w:val="23"/>
              </w:rPr>
            </w:pPr>
          </w:p>
        </w:tc>
      </w:tr>
      <w:tr w:rsidR="00E95911" w:rsidTr="00E95911">
        <w:tc>
          <w:tcPr>
            <w:tcW w:w="300" w:type="dxa"/>
            <w:shd w:val="clear" w:color="auto" w:fill="E7F0FB"/>
            <w:tcMar>
              <w:top w:w="15" w:type="dxa"/>
              <w:left w:w="15" w:type="dxa"/>
              <w:bottom w:w="15" w:type="dxa"/>
              <w:right w:w="15" w:type="dxa"/>
            </w:tcMar>
            <w:vAlign w:val="center"/>
            <w:hideMark/>
          </w:tcPr>
          <w:p w:rsidR="00E95911" w:rsidRDefault="00E95911">
            <w:pPr>
              <w:rPr>
                <w:rFonts w:eastAsia="Times New Roman"/>
                <w:sz w:val="20"/>
                <w:szCs w:val="20"/>
              </w:rPr>
            </w:pPr>
          </w:p>
        </w:tc>
        <w:tc>
          <w:tcPr>
            <w:tcW w:w="0" w:type="auto"/>
            <w:shd w:val="clear" w:color="auto" w:fill="E7F0FB"/>
            <w:tcMar>
              <w:top w:w="0" w:type="dxa"/>
              <w:left w:w="0" w:type="dxa"/>
              <w:bottom w:w="90" w:type="dxa"/>
              <w:right w:w="0" w:type="dxa"/>
            </w:tcMar>
            <w:vAlign w:val="center"/>
            <w:hideMark/>
          </w:tcPr>
          <w:p w:rsidR="00E95911" w:rsidRDefault="00E95911">
            <w:pPr>
              <w:spacing w:line="288" w:lineRule="atLeast"/>
              <w:rPr>
                <w:rFonts w:ascii="Arial" w:hAnsi="Arial" w:cs="Arial"/>
                <w:color w:val="000000"/>
                <w:sz w:val="20"/>
                <w:szCs w:val="20"/>
              </w:rPr>
            </w:pPr>
            <w:r>
              <w:rPr>
                <w:rStyle w:val="Emphasis1"/>
                <w:rFonts w:ascii="Arial" w:hAnsi="Arial" w:cs="Arial"/>
                <w:color w:val="000000"/>
                <w:sz w:val="20"/>
                <w:szCs w:val="20"/>
              </w:rPr>
              <w:t>Communications Daily</w:t>
            </w:r>
            <w:r>
              <w:rPr>
                <w:rFonts w:ascii="Arial" w:hAnsi="Arial" w:cs="Arial"/>
                <w:color w:val="000000"/>
                <w:sz w:val="20"/>
                <w:szCs w:val="20"/>
              </w:rPr>
              <w:t xml:space="preserve"> is required reading for senior executives at top telecom corporations, law firms, lobbying organizations, associations and government agencies (including the FCC). Join them today! </w:t>
            </w:r>
          </w:p>
        </w:tc>
        <w:tc>
          <w:tcPr>
            <w:tcW w:w="300" w:type="dxa"/>
            <w:shd w:val="clear" w:color="auto" w:fill="E7F0FB"/>
            <w:tcMar>
              <w:top w:w="15" w:type="dxa"/>
              <w:left w:w="15" w:type="dxa"/>
              <w:bottom w:w="15" w:type="dxa"/>
              <w:right w:w="15" w:type="dxa"/>
            </w:tcMar>
            <w:vAlign w:val="center"/>
            <w:hideMark/>
          </w:tcPr>
          <w:p w:rsidR="00E95911" w:rsidRDefault="00E95911">
            <w:pPr>
              <w:rPr>
                <w:rFonts w:ascii="Arial" w:hAnsi="Arial" w:cs="Arial"/>
                <w:color w:val="000000"/>
                <w:sz w:val="20"/>
                <w:szCs w:val="20"/>
              </w:rPr>
            </w:pPr>
          </w:p>
        </w:tc>
      </w:tr>
      <w:tr w:rsidR="00E95911" w:rsidTr="00E95911">
        <w:trPr>
          <w:trHeight w:val="960"/>
        </w:trPr>
        <w:tc>
          <w:tcPr>
            <w:tcW w:w="300" w:type="dxa"/>
            <w:shd w:val="clear" w:color="auto" w:fill="E7F0FB"/>
            <w:tcMar>
              <w:top w:w="15" w:type="dxa"/>
              <w:left w:w="15" w:type="dxa"/>
              <w:bottom w:w="15" w:type="dxa"/>
              <w:right w:w="15" w:type="dxa"/>
            </w:tcMar>
            <w:vAlign w:val="center"/>
            <w:hideMark/>
          </w:tcPr>
          <w:p w:rsidR="00E95911" w:rsidRDefault="00E95911">
            <w:pPr>
              <w:rPr>
                <w:rFonts w:eastAsia="Times New Roman"/>
                <w:sz w:val="20"/>
                <w:szCs w:val="20"/>
              </w:rPr>
            </w:pPr>
          </w:p>
        </w:tc>
        <w:tc>
          <w:tcPr>
            <w:tcW w:w="0" w:type="auto"/>
            <w:shd w:val="clear" w:color="auto" w:fill="E7F0FB"/>
            <w:tcMar>
              <w:top w:w="15" w:type="dxa"/>
              <w:left w:w="15" w:type="dxa"/>
              <w:bottom w:w="15" w:type="dxa"/>
              <w:right w:w="15" w:type="dxa"/>
            </w:tcMar>
            <w:vAlign w:val="center"/>
            <w:hideMark/>
          </w:tcPr>
          <w:p w:rsidR="00E95911" w:rsidRDefault="001D55E9">
            <w:pPr>
              <w:rPr>
                <w:rFonts w:ascii="Arial" w:hAnsi="Arial" w:cs="Arial"/>
              </w:rPr>
            </w:pPr>
            <w:hyperlink r:id="rId10" w:history="1">
              <w:r w:rsidR="00E95911">
                <w:rPr>
                  <w:rStyle w:val="Hyperlink"/>
                  <w:rFonts w:ascii="Arial Narrow" w:hAnsi="Arial Narrow" w:cs="Arial"/>
                  <w:color w:val="FFFFFF"/>
                  <w:sz w:val="32"/>
                  <w:szCs w:val="32"/>
                  <w:bdr w:val="single" w:sz="8" w:space="7" w:color="A5B5CD" w:frame="1"/>
                  <w:shd w:val="clear" w:color="auto" w:fill="EE2E24"/>
                </w:rPr>
                <w:t>Start</w:t>
              </w:r>
              <w:r w:rsidR="00E95911">
                <w:rPr>
                  <w:rStyle w:val="Hyperlink"/>
                  <w:rFonts w:ascii="Arial Narrow" w:hAnsi="Arial Narrow" w:cs="Arial"/>
                  <w:color w:val="FFFFFF"/>
                  <w:sz w:val="32"/>
                  <w:szCs w:val="32"/>
                  <w:bdr w:val="single" w:sz="8" w:space="7" w:color="A5B5CD" w:frame="1"/>
                  <w:shd w:val="clear" w:color="auto" w:fill="EE2E24"/>
                </w:rPr>
                <w:t xml:space="preserve"> </w:t>
              </w:r>
              <w:r w:rsidR="00E95911">
                <w:rPr>
                  <w:rStyle w:val="Hyperlink"/>
                  <w:rFonts w:ascii="Arial Narrow" w:hAnsi="Arial Narrow" w:cs="Arial"/>
                  <w:color w:val="FFFFFF"/>
                  <w:sz w:val="32"/>
                  <w:szCs w:val="32"/>
                  <w:bdr w:val="single" w:sz="8" w:space="7" w:color="A5B5CD" w:frame="1"/>
                  <w:shd w:val="clear" w:color="auto" w:fill="EE2E24"/>
                </w:rPr>
                <w:t>Trial</w:t>
              </w:r>
            </w:hyperlink>
          </w:p>
        </w:tc>
        <w:tc>
          <w:tcPr>
            <w:tcW w:w="300" w:type="dxa"/>
            <w:shd w:val="clear" w:color="auto" w:fill="E7F0FB"/>
            <w:tcMar>
              <w:top w:w="15" w:type="dxa"/>
              <w:left w:w="15" w:type="dxa"/>
              <w:bottom w:w="15" w:type="dxa"/>
              <w:right w:w="15" w:type="dxa"/>
            </w:tcMar>
            <w:vAlign w:val="center"/>
            <w:hideMark/>
          </w:tcPr>
          <w:p w:rsidR="00E95911" w:rsidRDefault="00E95911">
            <w:pPr>
              <w:rPr>
                <w:rFonts w:ascii="Arial" w:hAnsi="Arial" w:cs="Arial"/>
              </w:rPr>
            </w:pPr>
          </w:p>
        </w:tc>
      </w:tr>
    </w:tbl>
    <w:p w:rsidR="00E95911" w:rsidRDefault="00E95911" w:rsidP="00E95911">
      <w:pPr>
        <w:rPr>
          <w:rFonts w:ascii="Arial" w:hAnsi="Arial" w:cs="Arial"/>
          <w:vanish/>
          <w:lang w:val="en"/>
        </w:rPr>
      </w:pPr>
    </w:p>
    <w:tbl>
      <w:tblPr>
        <w:tblW w:w="5000" w:type="pct"/>
        <w:tblCellMar>
          <w:left w:w="0" w:type="dxa"/>
          <w:right w:w="0" w:type="dxa"/>
        </w:tblCellMar>
        <w:tblLook w:val="04A0" w:firstRow="1" w:lastRow="0" w:firstColumn="1" w:lastColumn="0" w:noHBand="0" w:noVBand="1"/>
      </w:tblPr>
      <w:tblGrid>
        <w:gridCol w:w="300"/>
        <w:gridCol w:w="8760"/>
        <w:gridCol w:w="300"/>
      </w:tblGrid>
      <w:tr w:rsidR="00E95911" w:rsidTr="00E95911">
        <w:trPr>
          <w:hidden/>
        </w:trPr>
        <w:tc>
          <w:tcPr>
            <w:tcW w:w="300" w:type="dxa"/>
            <w:tcMar>
              <w:top w:w="15" w:type="dxa"/>
              <w:left w:w="15" w:type="dxa"/>
              <w:bottom w:w="15" w:type="dxa"/>
              <w:right w:w="15" w:type="dxa"/>
            </w:tcMar>
            <w:vAlign w:val="center"/>
            <w:hideMark/>
          </w:tcPr>
          <w:p w:rsidR="00E95911" w:rsidRDefault="00E95911">
            <w:pPr>
              <w:rPr>
                <w:rFonts w:ascii="Arial" w:hAnsi="Arial" w:cs="Arial"/>
                <w:vanish/>
                <w:lang w:val="en"/>
              </w:rPr>
            </w:pPr>
          </w:p>
        </w:tc>
        <w:tc>
          <w:tcPr>
            <w:tcW w:w="0" w:type="auto"/>
            <w:tcMar>
              <w:top w:w="45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760"/>
            </w:tblGrid>
            <w:tr w:rsidR="00E95911">
              <w:tc>
                <w:tcPr>
                  <w:tcW w:w="0" w:type="auto"/>
                  <w:tcMar>
                    <w:top w:w="0" w:type="dxa"/>
                    <w:left w:w="0" w:type="dxa"/>
                    <w:bottom w:w="30" w:type="dxa"/>
                    <w:right w:w="0" w:type="dxa"/>
                  </w:tcMar>
                  <w:vAlign w:val="center"/>
                  <w:hideMark/>
                </w:tcPr>
                <w:p w:rsidR="00E95911" w:rsidRDefault="00E95911">
                  <w:pPr>
                    <w:spacing w:line="264" w:lineRule="atLeast"/>
                    <w:rPr>
                      <w:rFonts w:ascii="Arial" w:hAnsi="Arial" w:cs="Arial"/>
                      <w:b/>
                      <w:bCs/>
                      <w:color w:val="0C2142"/>
                    </w:rPr>
                  </w:pPr>
                  <w:r>
                    <w:rPr>
                      <w:rFonts w:ascii="Arial" w:hAnsi="Arial" w:cs="Arial"/>
                      <w:b/>
                      <w:bCs/>
                      <w:color w:val="0C2142"/>
                    </w:rPr>
                    <w:t>Conn. Ruling on 'Municipal Gain' Could Be Municipal Loss</w:t>
                  </w:r>
                </w:p>
              </w:tc>
            </w:tr>
            <w:tr w:rsidR="00E95911">
              <w:tc>
                <w:tcPr>
                  <w:tcW w:w="0" w:type="auto"/>
                  <w:tcMar>
                    <w:top w:w="0" w:type="dxa"/>
                    <w:left w:w="0" w:type="dxa"/>
                    <w:bottom w:w="300" w:type="dxa"/>
                    <w:right w:w="0" w:type="dxa"/>
                  </w:tcMar>
                  <w:vAlign w:val="center"/>
                  <w:hideMark/>
                </w:tcPr>
                <w:p w:rsidR="00E95911" w:rsidRDefault="00E95911">
                  <w:pPr>
                    <w:spacing w:line="288" w:lineRule="atLeast"/>
                    <w:rPr>
                      <w:rFonts w:ascii="Arial" w:hAnsi="Arial" w:cs="Arial"/>
                      <w:sz w:val="20"/>
                      <w:szCs w:val="20"/>
                    </w:rPr>
                  </w:pPr>
                  <w:r>
                    <w:rPr>
                      <w:rFonts w:ascii="Arial" w:hAnsi="Arial" w:cs="Arial"/>
                      <w:sz w:val="20"/>
                      <w:szCs w:val="20"/>
                    </w:rPr>
                    <w:t>The Connecticut Consumer Counsel is seeking to avoid a possible state commission ruling that could discourage municipal fiber networks, said Office of Consumer Counsel officials in an interview. But telecom companies and workers said it’s about keeping the playing field level. The matter, involving use of a space on utility poles reserved for municipal use, could go to court or the Legislature, the OCC officials said. The FCC is mulling pole attachment issues in broadband infrastructure rulemakings.</w:t>
                  </w:r>
                </w:p>
              </w:tc>
            </w:tr>
            <w:tr w:rsidR="00E95911">
              <w:tc>
                <w:tcPr>
                  <w:tcW w:w="0" w:type="auto"/>
                  <w:tcMar>
                    <w:top w:w="0" w:type="dxa"/>
                    <w:left w:w="0" w:type="dxa"/>
                    <w:bottom w:w="300" w:type="dxa"/>
                    <w:right w:w="0" w:type="dxa"/>
                  </w:tcMar>
                  <w:vAlign w:val="center"/>
                  <w:hideMark/>
                </w:tcPr>
                <w:p w:rsidR="00E95911" w:rsidRDefault="00E95911">
                  <w:pPr>
                    <w:spacing w:line="288" w:lineRule="atLeast"/>
                    <w:rPr>
                      <w:rFonts w:ascii="Arial" w:hAnsi="Arial" w:cs="Arial"/>
                      <w:sz w:val="20"/>
                      <w:szCs w:val="20"/>
                    </w:rPr>
                  </w:pPr>
                  <w:r>
                    <w:rPr>
                      <w:rFonts w:ascii="Arial" w:hAnsi="Arial" w:cs="Arial"/>
                      <w:sz w:val="20"/>
                      <w:szCs w:val="20"/>
                    </w:rPr>
                    <w:t xml:space="preserve">The “municipal gain” statute reserves a space on each pole for municipal use for any purpose without charge. The OCC asked the Public Utilities Regulatory Authority to rule it includes allowing local governments to lease the space to a third party to provide commercial broadband services. But in a June </w:t>
                  </w:r>
                  <w:hyperlink r:id="rId11" w:history="1">
                    <w:r>
                      <w:rPr>
                        <w:rStyle w:val="Hyperlink"/>
                        <w:rFonts w:ascii="Arial" w:hAnsi="Arial" w:cs="Arial"/>
                        <w:sz w:val="20"/>
                        <w:szCs w:val="20"/>
                      </w:rPr>
                      <w:t>draft decision</w:t>
                    </w:r>
                  </w:hyperlink>
                  <w:r>
                    <w:rPr>
                      <w:rFonts w:ascii="Arial" w:hAnsi="Arial" w:cs="Arial"/>
                      <w:sz w:val="20"/>
                      <w:szCs w:val="20"/>
                    </w:rPr>
                    <w:t xml:space="preserve"> in docket 17-02-40, PURA agreed with industry there are limits, with municipal broadband not allowed. The OCC asked to withdraw its petition, a move that could prevent PURA from finalizing the proposal.</w:t>
                  </w:r>
                </w:p>
              </w:tc>
            </w:tr>
            <w:tr w:rsidR="00E95911">
              <w:tc>
                <w:tcPr>
                  <w:tcW w:w="0" w:type="auto"/>
                  <w:tcMar>
                    <w:top w:w="0" w:type="dxa"/>
                    <w:left w:w="0" w:type="dxa"/>
                    <w:bottom w:w="300" w:type="dxa"/>
                    <w:right w:w="0" w:type="dxa"/>
                  </w:tcMar>
                  <w:vAlign w:val="center"/>
                  <w:hideMark/>
                </w:tcPr>
                <w:p w:rsidR="00E95911" w:rsidRDefault="00E95911">
                  <w:pPr>
                    <w:spacing w:line="288" w:lineRule="atLeast"/>
                    <w:rPr>
                      <w:rFonts w:ascii="Arial" w:hAnsi="Arial" w:cs="Arial"/>
                      <w:sz w:val="20"/>
                      <w:szCs w:val="20"/>
                    </w:rPr>
                  </w:pPr>
                  <w:r>
                    <w:rPr>
                      <w:rFonts w:ascii="Arial" w:hAnsi="Arial" w:cs="Arial"/>
                      <w:sz w:val="20"/>
                      <w:szCs w:val="20"/>
                    </w:rPr>
                    <w:lastRenderedPageBreak/>
                    <w:t>PURA staff is drafting a response to OCC’s motion to withdraw, a PURA spokesman said Tuesday. There’s no set date to respond, but it’s likely to be by the end of August, based on experience with similar matters, he said.</w:t>
                  </w:r>
                </w:p>
              </w:tc>
            </w:tr>
            <w:tr w:rsidR="00E95911">
              <w:tc>
                <w:tcPr>
                  <w:tcW w:w="0" w:type="auto"/>
                  <w:tcMar>
                    <w:top w:w="0" w:type="dxa"/>
                    <w:left w:w="0" w:type="dxa"/>
                    <w:bottom w:w="300" w:type="dxa"/>
                    <w:right w:w="0" w:type="dxa"/>
                  </w:tcMar>
                  <w:vAlign w:val="center"/>
                  <w:hideMark/>
                </w:tcPr>
                <w:p w:rsidR="00E95911" w:rsidRDefault="00E95911">
                  <w:pPr>
                    <w:spacing w:line="288" w:lineRule="atLeast"/>
                    <w:rPr>
                      <w:rFonts w:ascii="Arial" w:hAnsi="Arial" w:cs="Arial"/>
                      <w:sz w:val="20"/>
                      <w:szCs w:val="20"/>
                    </w:rPr>
                  </w:pPr>
                  <w:r>
                    <w:rPr>
                      <w:rFonts w:ascii="Arial" w:hAnsi="Arial" w:cs="Arial"/>
                      <w:sz w:val="20"/>
                      <w:szCs w:val="20"/>
                    </w:rPr>
                    <w:t>The OCC asked to withdraw because it disagrees with the draft decision “on many different levels including legally,” said Connecticut Consumer Counsel Elin Swanson Katz said. It’s better “to let the law speak for itself” than publish the “erroneous” PURA interpretation, she said. State administrative law allows and precedent exists for OCC to withdraw, said OCC principal attorney Joseph Rosenthal. “Any purpose” should mean any purpose, he said. But the PURA draft would disallow a municipality using the municipal-gain space to provide broadband to its citizens either on its own or through public-private partnership, he said.</w:t>
                  </w:r>
                </w:p>
              </w:tc>
            </w:tr>
            <w:tr w:rsidR="00E95911">
              <w:tc>
                <w:tcPr>
                  <w:tcW w:w="0" w:type="auto"/>
                  <w:tcMar>
                    <w:top w:w="0" w:type="dxa"/>
                    <w:left w:w="0" w:type="dxa"/>
                    <w:bottom w:w="300" w:type="dxa"/>
                    <w:right w:w="0" w:type="dxa"/>
                  </w:tcMar>
                  <w:vAlign w:val="center"/>
                  <w:hideMark/>
                </w:tcPr>
                <w:p w:rsidR="00E95911" w:rsidRDefault="00E95911">
                  <w:pPr>
                    <w:spacing w:line="288" w:lineRule="atLeast"/>
                    <w:rPr>
                      <w:rFonts w:ascii="Arial" w:hAnsi="Arial" w:cs="Arial"/>
                      <w:sz w:val="20"/>
                      <w:szCs w:val="20"/>
                    </w:rPr>
                  </w:pPr>
                  <w:r>
                    <w:rPr>
                      <w:rFonts w:ascii="Arial" w:hAnsi="Arial" w:cs="Arial"/>
                      <w:sz w:val="20"/>
                      <w:szCs w:val="20"/>
                    </w:rPr>
                    <w:t>Industry debated OCC about the withdrawal request at a PURA oral argument last week. The agency’s Chair Katie Dykes asked how to proceed as she raised concerns about possibly inviting other parties to test PURA positions and “yanking away the football” if they don’t like them. Frontier, the Communications Workers of America and the New England Cable and Telecommunications Association, supporters of the draft, urged PURA to find a way to finalize the ruling on its own. “Any entity, whether a town or a private provider, who is providing competitive broadband services should play by the same rules as all other providers,” a Frontier spokeswoman said Monday.</w:t>
                  </w:r>
                </w:p>
              </w:tc>
            </w:tr>
            <w:tr w:rsidR="00E95911">
              <w:tc>
                <w:tcPr>
                  <w:tcW w:w="0" w:type="auto"/>
                  <w:tcMar>
                    <w:top w:w="0" w:type="dxa"/>
                    <w:left w:w="0" w:type="dxa"/>
                    <w:bottom w:w="300" w:type="dxa"/>
                    <w:right w:w="0" w:type="dxa"/>
                  </w:tcMar>
                  <w:vAlign w:val="center"/>
                  <w:hideMark/>
                </w:tcPr>
                <w:p w:rsidR="00E95911" w:rsidRDefault="00E95911">
                  <w:pPr>
                    <w:spacing w:line="288" w:lineRule="atLeast"/>
                    <w:rPr>
                      <w:rFonts w:ascii="Arial" w:hAnsi="Arial" w:cs="Arial"/>
                      <w:sz w:val="20"/>
                      <w:szCs w:val="20"/>
                    </w:rPr>
                  </w:pPr>
                  <w:r>
                    <w:rPr>
                      <w:rFonts w:ascii="Arial" w:hAnsi="Arial" w:cs="Arial"/>
                      <w:sz w:val="20"/>
                      <w:szCs w:val="20"/>
                    </w:rPr>
                    <w:t>OCC could go to court if PURA issues a final decision, Rosenthal said. “It’s possible” PURA could finalize the decision, “but then they would be taking the risk that we would be able to appeal to the [Connecticut] Superior Court,” the attorney said. Regardless, “the battle may move back to the Legislature … for clarification,” he said.</w:t>
                  </w:r>
                </w:p>
              </w:tc>
            </w:tr>
            <w:tr w:rsidR="00E95911">
              <w:tc>
                <w:tcPr>
                  <w:tcW w:w="0" w:type="auto"/>
                  <w:tcMar>
                    <w:top w:w="0" w:type="dxa"/>
                    <w:left w:w="0" w:type="dxa"/>
                    <w:bottom w:w="300" w:type="dxa"/>
                    <w:right w:w="0" w:type="dxa"/>
                  </w:tcMar>
                  <w:vAlign w:val="center"/>
                  <w:hideMark/>
                </w:tcPr>
                <w:p w:rsidR="00E95911" w:rsidRDefault="00E95911">
                  <w:pPr>
                    <w:spacing w:line="288" w:lineRule="atLeast"/>
                    <w:rPr>
                      <w:rFonts w:ascii="Arial" w:hAnsi="Arial" w:cs="Arial"/>
                      <w:sz w:val="20"/>
                      <w:szCs w:val="20"/>
                    </w:rPr>
                  </w:pPr>
                  <w:r>
                    <w:rPr>
                      <w:rFonts w:ascii="Arial" w:hAnsi="Arial" w:cs="Arial"/>
                      <w:sz w:val="20"/>
                      <w:szCs w:val="20"/>
                    </w:rPr>
                    <w:t>The Legislature and PURA “need to get into a more progressive stance on broadband,” Rosenthal said. “We’re good at having debates and squabbles but meanwhile our neighbors are moving ahead.” PURA’s decision could hold back Manchester, a town that already uses the reserved space for a fiber network, primarily for municipal buildings, said Office of State Broadband Policy Coordinator Bill Vallee. “They’re very anxious in that town to expand their use of it.”</w:t>
                  </w:r>
                </w:p>
              </w:tc>
            </w:tr>
            <w:tr w:rsidR="00E95911">
              <w:tc>
                <w:tcPr>
                  <w:tcW w:w="0" w:type="auto"/>
                  <w:tcMar>
                    <w:top w:w="0" w:type="dxa"/>
                    <w:left w:w="0" w:type="dxa"/>
                    <w:bottom w:w="300" w:type="dxa"/>
                    <w:right w:w="0" w:type="dxa"/>
                  </w:tcMar>
                  <w:vAlign w:val="center"/>
                  <w:hideMark/>
                </w:tcPr>
                <w:p w:rsidR="00E95911" w:rsidRDefault="00E95911">
                  <w:pPr>
                    <w:spacing w:line="288" w:lineRule="atLeast"/>
                    <w:rPr>
                      <w:rFonts w:ascii="Arial" w:hAnsi="Arial" w:cs="Arial"/>
                      <w:sz w:val="20"/>
                      <w:szCs w:val="20"/>
                    </w:rPr>
                  </w:pPr>
                  <w:r>
                    <w:rPr>
                      <w:rFonts w:ascii="Arial" w:hAnsi="Arial" w:cs="Arial"/>
                      <w:sz w:val="20"/>
                      <w:szCs w:val="20"/>
                    </w:rPr>
                    <w:t xml:space="preserve">Manchester sees the municipal gain as a way to get beyond town buildings, said Chief Information Officer Jack McCoy. When Manchester started its fiber project more than 15 years ago, the town relied on the municipal-gain law to string cable between municipal buildings, he emailed. “The industry objected but offered no competing Fiber Optic Connections at the price/performance levels the Town could afford.” Manchester General Manager Scott </w:t>
                  </w:r>
                  <w:proofErr w:type="spellStart"/>
                  <w:r>
                    <w:rPr>
                      <w:rFonts w:ascii="Arial" w:hAnsi="Arial" w:cs="Arial"/>
                      <w:sz w:val="20"/>
                      <w:szCs w:val="20"/>
                    </w:rPr>
                    <w:t>Shanley</w:t>
                  </w:r>
                  <w:proofErr w:type="spellEnd"/>
                  <w:r>
                    <w:rPr>
                      <w:rFonts w:ascii="Arial" w:hAnsi="Arial" w:cs="Arial"/>
                      <w:sz w:val="20"/>
                      <w:szCs w:val="20"/>
                    </w:rPr>
                    <w:t xml:space="preserve"> said: “In a quickly evolving area of the economy and lifestyle, any municipality’s options for use of the gain need to stay open. … Residents and taxpayers deserve the option to provide some services to themselves should they choose to do so, especially those that will be ubiquitous.”</w:t>
                  </w:r>
                </w:p>
              </w:tc>
            </w:tr>
            <w:tr w:rsidR="00E95911">
              <w:tc>
                <w:tcPr>
                  <w:tcW w:w="0" w:type="auto"/>
                  <w:tcMar>
                    <w:top w:w="0" w:type="dxa"/>
                    <w:left w:w="0" w:type="dxa"/>
                    <w:bottom w:w="300" w:type="dxa"/>
                    <w:right w:w="0" w:type="dxa"/>
                  </w:tcMar>
                  <w:vAlign w:val="center"/>
                  <w:hideMark/>
                </w:tcPr>
                <w:p w:rsidR="00E95911" w:rsidRDefault="00E95911">
                  <w:pPr>
                    <w:spacing w:line="288" w:lineRule="atLeast"/>
                    <w:rPr>
                      <w:rFonts w:ascii="Arial" w:hAnsi="Arial" w:cs="Arial"/>
                      <w:sz w:val="20"/>
                      <w:szCs w:val="20"/>
                    </w:rPr>
                  </w:pPr>
                  <w:r>
                    <w:rPr>
                      <w:rFonts w:ascii="Arial" w:hAnsi="Arial" w:cs="Arial"/>
                      <w:sz w:val="20"/>
                      <w:szCs w:val="20"/>
                    </w:rPr>
                    <w:lastRenderedPageBreak/>
                    <w:t>“The biggest barrier to better broadband access is the way the big existing cable and telephone monopolies can block smaller firms from expanding or getting into this business,” said Chris Mitchell, Institute for Local Self-Reliance director-community broadband networks. “Finding ways to lower the cost and uncertainty around getting on poles is very important.”</w:t>
                  </w:r>
                  <w:r>
                    <w:rPr>
                      <w:rFonts w:ascii="Arial" w:hAnsi="Arial" w:cs="Arial"/>
                      <w:color w:val="1F497D"/>
                      <w:sz w:val="20"/>
                      <w:szCs w:val="20"/>
                    </w:rPr>
                    <w:t xml:space="preserve"> – Adam Bender</w:t>
                  </w:r>
                </w:p>
              </w:tc>
            </w:tr>
          </w:tbl>
          <w:p w:rsidR="00E95911" w:rsidRDefault="00E95911">
            <w:pPr>
              <w:rPr>
                <w:rFonts w:eastAsia="Times New Roman"/>
                <w:sz w:val="20"/>
                <w:szCs w:val="20"/>
              </w:rPr>
            </w:pPr>
          </w:p>
        </w:tc>
        <w:tc>
          <w:tcPr>
            <w:tcW w:w="300" w:type="dxa"/>
            <w:tcMar>
              <w:top w:w="15" w:type="dxa"/>
              <w:left w:w="15" w:type="dxa"/>
              <w:bottom w:w="15" w:type="dxa"/>
              <w:right w:w="15" w:type="dxa"/>
            </w:tcMar>
            <w:vAlign w:val="center"/>
            <w:hideMark/>
          </w:tcPr>
          <w:p w:rsidR="00E95911" w:rsidRDefault="00E95911">
            <w:pPr>
              <w:rPr>
                <w:rFonts w:eastAsia="Times New Roman"/>
                <w:sz w:val="20"/>
                <w:szCs w:val="20"/>
              </w:rPr>
            </w:pPr>
          </w:p>
        </w:tc>
      </w:tr>
    </w:tbl>
    <w:p w:rsidR="00E95911" w:rsidRDefault="00E95911" w:rsidP="00E95911">
      <w:pPr>
        <w:rPr>
          <w:rFonts w:ascii="Arial" w:hAnsi="Arial" w:cs="Arial"/>
          <w:vanish/>
          <w:lang w:val="en"/>
        </w:rPr>
      </w:pPr>
    </w:p>
    <w:tbl>
      <w:tblPr>
        <w:tblW w:w="5000" w:type="pct"/>
        <w:shd w:val="clear" w:color="auto" w:fill="E7F0FB"/>
        <w:tblCellMar>
          <w:left w:w="0" w:type="dxa"/>
          <w:right w:w="0" w:type="dxa"/>
        </w:tblCellMar>
        <w:tblLook w:val="04A0" w:firstRow="1" w:lastRow="0" w:firstColumn="1" w:lastColumn="0" w:noHBand="0" w:noVBand="1"/>
      </w:tblPr>
      <w:tblGrid>
        <w:gridCol w:w="9360"/>
      </w:tblGrid>
      <w:tr w:rsidR="00E95911" w:rsidTr="00E95911">
        <w:tc>
          <w:tcPr>
            <w:tcW w:w="0" w:type="auto"/>
            <w:shd w:val="clear" w:color="auto" w:fill="E7F0FB"/>
            <w:tcMar>
              <w:top w:w="375" w:type="dxa"/>
              <w:left w:w="15" w:type="dxa"/>
              <w:bottom w:w="15" w:type="dxa"/>
              <w:right w:w="15" w:type="dxa"/>
            </w:tcMar>
            <w:vAlign w:val="center"/>
            <w:hideMark/>
          </w:tcPr>
          <w:p w:rsidR="00E95911" w:rsidRDefault="00E95911">
            <w:pPr>
              <w:jc w:val="center"/>
              <w:rPr>
                <w:rFonts w:ascii="Arial" w:hAnsi="Arial" w:cs="Arial"/>
                <w:b/>
                <w:bCs/>
                <w:color w:val="29426E"/>
                <w:sz w:val="18"/>
                <w:szCs w:val="18"/>
              </w:rPr>
            </w:pPr>
            <w:r>
              <w:rPr>
                <w:rFonts w:ascii="Arial" w:hAnsi="Arial" w:cs="Arial"/>
                <w:b/>
                <w:bCs/>
                <w:color w:val="29426E"/>
                <w:sz w:val="18"/>
                <w:szCs w:val="18"/>
              </w:rPr>
              <w:t>Contact us to subscribe</w:t>
            </w:r>
            <w:r>
              <w:rPr>
                <w:rFonts w:ascii="Arial" w:hAnsi="Arial" w:cs="Arial"/>
                <w:b/>
                <w:bCs/>
                <w:color w:val="29426E"/>
                <w:sz w:val="18"/>
                <w:szCs w:val="18"/>
              </w:rPr>
              <w:br/>
              <w:t>2115 Ward Court NW, Washington, DC 20037</w:t>
            </w:r>
          </w:p>
        </w:tc>
      </w:tr>
      <w:tr w:rsidR="00E95911" w:rsidTr="00E95911">
        <w:tc>
          <w:tcPr>
            <w:tcW w:w="0" w:type="auto"/>
            <w:shd w:val="clear" w:color="auto" w:fill="E7F0FB"/>
            <w:tcMar>
              <w:top w:w="15" w:type="dxa"/>
              <w:left w:w="15" w:type="dxa"/>
              <w:bottom w:w="15" w:type="dxa"/>
              <w:right w:w="15" w:type="dxa"/>
            </w:tcMar>
            <w:vAlign w:val="center"/>
            <w:hideMark/>
          </w:tcPr>
          <w:p w:rsidR="00E95911" w:rsidRDefault="00E95911">
            <w:pPr>
              <w:jc w:val="center"/>
              <w:rPr>
                <w:rFonts w:ascii="Arial" w:hAnsi="Arial" w:cs="Arial"/>
                <w:b/>
                <w:bCs/>
                <w:color w:val="29426E"/>
                <w:sz w:val="18"/>
                <w:szCs w:val="18"/>
              </w:rPr>
            </w:pPr>
            <w:r>
              <w:rPr>
                <w:rStyle w:val="phone"/>
                <w:rFonts w:ascii="Arial" w:hAnsi="Arial" w:cs="Arial"/>
                <w:b/>
                <w:bCs/>
                <w:color w:val="29426E"/>
                <w:sz w:val="18"/>
                <w:szCs w:val="18"/>
              </w:rPr>
              <w:t>p 800.771.9202</w:t>
            </w:r>
            <w:r>
              <w:rPr>
                <w:rFonts w:ascii="Arial" w:hAnsi="Arial" w:cs="Arial"/>
                <w:b/>
                <w:bCs/>
                <w:color w:val="29426E"/>
                <w:sz w:val="18"/>
                <w:szCs w:val="18"/>
              </w:rPr>
              <w:t xml:space="preserve"> | </w:t>
            </w:r>
            <w:hyperlink r:id="rId12" w:history="1">
              <w:r>
                <w:rPr>
                  <w:rStyle w:val="Hyperlink"/>
                  <w:rFonts w:ascii="Arial" w:hAnsi="Arial" w:cs="Arial"/>
                  <w:sz w:val="18"/>
                  <w:szCs w:val="18"/>
                </w:rPr>
                <w:t>www.communicationsdaily.com</w:t>
              </w:r>
            </w:hyperlink>
            <w:r>
              <w:rPr>
                <w:rFonts w:ascii="Arial" w:hAnsi="Arial" w:cs="Arial"/>
                <w:b/>
                <w:bCs/>
                <w:color w:val="29426E"/>
                <w:sz w:val="18"/>
                <w:szCs w:val="18"/>
              </w:rPr>
              <w:t xml:space="preserve"> | </w:t>
            </w:r>
            <w:hyperlink r:id="rId13" w:history="1">
              <w:r>
                <w:rPr>
                  <w:rStyle w:val="Hyperlink"/>
                  <w:rFonts w:ascii="Arial" w:hAnsi="Arial" w:cs="Arial"/>
                  <w:sz w:val="18"/>
                  <w:szCs w:val="18"/>
                </w:rPr>
                <w:t>sales@warren-news.com</w:t>
              </w:r>
            </w:hyperlink>
          </w:p>
        </w:tc>
      </w:tr>
      <w:tr w:rsidR="00E95911" w:rsidTr="00E95911">
        <w:tc>
          <w:tcPr>
            <w:tcW w:w="0" w:type="auto"/>
            <w:shd w:val="clear" w:color="auto" w:fill="E7F0FB"/>
            <w:tcMar>
              <w:top w:w="150" w:type="dxa"/>
              <w:left w:w="225" w:type="dxa"/>
              <w:bottom w:w="150" w:type="dxa"/>
              <w:right w:w="225" w:type="dxa"/>
            </w:tcMar>
            <w:vAlign w:val="center"/>
            <w:hideMark/>
          </w:tcPr>
          <w:p w:rsidR="00E95911" w:rsidRDefault="00E95911">
            <w:pPr>
              <w:jc w:val="both"/>
              <w:rPr>
                <w:rFonts w:ascii="Arial" w:hAnsi="Arial" w:cs="Arial"/>
                <w:color w:val="29426E"/>
                <w:sz w:val="15"/>
                <w:szCs w:val="15"/>
              </w:rPr>
            </w:pPr>
            <w:r>
              <w:rPr>
                <w:rFonts w:ascii="Arial" w:hAnsi="Arial" w:cs="Arial"/>
                <w:color w:val="29426E"/>
                <w:sz w:val="15"/>
                <w:szCs w:val="15"/>
              </w:rPr>
              <w:t xml:space="preserve">Copyright 2017 by Warren Communications News, Inc. Reproduction or retransmission in any form of this email or the underlying content, without written permission, is a violation of Federal Stature (17 USC101 et seq.). For information about our data collection practices, please see our </w:t>
            </w:r>
            <w:hyperlink r:id="rId14" w:history="1">
              <w:r>
                <w:rPr>
                  <w:rStyle w:val="Hyperlink"/>
                  <w:rFonts w:ascii="Arial" w:hAnsi="Arial" w:cs="Arial"/>
                  <w:sz w:val="15"/>
                  <w:szCs w:val="15"/>
                </w:rPr>
                <w:t>Privacy Policy</w:t>
              </w:r>
            </w:hyperlink>
            <w:r>
              <w:rPr>
                <w:rFonts w:ascii="Arial" w:hAnsi="Arial" w:cs="Arial"/>
                <w:color w:val="29426E"/>
                <w:sz w:val="15"/>
                <w:szCs w:val="15"/>
              </w:rPr>
              <w:t>.</w:t>
            </w:r>
          </w:p>
        </w:tc>
      </w:tr>
      <w:tr w:rsidR="00E95911" w:rsidTr="00E95911">
        <w:tc>
          <w:tcPr>
            <w:tcW w:w="0" w:type="auto"/>
            <w:shd w:val="clear" w:color="auto" w:fill="E7F0FB"/>
            <w:tcMar>
              <w:top w:w="15" w:type="dxa"/>
              <w:left w:w="15" w:type="dxa"/>
              <w:bottom w:w="15" w:type="dxa"/>
              <w:right w:w="15" w:type="dxa"/>
            </w:tcMar>
            <w:vAlign w:val="center"/>
            <w:hideMark/>
          </w:tcPr>
          <w:p w:rsidR="00E95911" w:rsidRDefault="00E95911">
            <w:pPr>
              <w:jc w:val="center"/>
              <w:rPr>
                <w:rFonts w:ascii="Arial" w:hAnsi="Arial" w:cs="Arial"/>
              </w:rPr>
            </w:pPr>
            <w:r>
              <w:rPr>
                <w:rFonts w:ascii="Arial" w:hAnsi="Arial" w:cs="Arial"/>
                <w:b/>
                <w:noProof/>
                <w:color w:val="4979B1"/>
              </w:rPr>
              <w:drawing>
                <wp:inline distT="0" distB="0" distL="0" distR="0" wp14:anchorId="64E19361" wp14:editId="3CDFD7B7">
                  <wp:extent cx="1543050" cy="285750"/>
                  <wp:effectExtent l="0" t="0" r="0" b="0"/>
                  <wp:docPr id="5" name="Picture 5" descr="http://www.communicationsdaily.com/img/email/footer-cd-log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mmunicationsdaily.com/img/email/footer-cd-logo.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43050" cy="285750"/>
                          </a:xfrm>
                          <a:prstGeom prst="rect">
                            <a:avLst/>
                          </a:prstGeom>
                          <a:noFill/>
                          <a:ln>
                            <a:noFill/>
                          </a:ln>
                        </pic:spPr>
                      </pic:pic>
                    </a:graphicData>
                  </a:graphic>
                </wp:inline>
              </w:drawing>
            </w:r>
            <w:r>
              <w:rPr>
                <w:rFonts w:ascii="Arial" w:hAnsi="Arial" w:cs="Arial"/>
                <w:b/>
                <w:noProof/>
                <w:color w:val="4979B1"/>
              </w:rPr>
              <w:drawing>
                <wp:inline distT="0" distB="0" distL="0" distR="0" wp14:anchorId="72635B66" wp14:editId="68B642AD">
                  <wp:extent cx="209550" cy="285750"/>
                  <wp:effectExtent l="0" t="0" r="0" b="0"/>
                  <wp:docPr id="4" name="Picture 4" descr="http://www.communicationsdaily.com/img/email/facebook.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mmunicationsdaily.com/img/email/facebook.pn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09550" cy="285750"/>
                          </a:xfrm>
                          <a:prstGeom prst="rect">
                            <a:avLst/>
                          </a:prstGeom>
                          <a:noFill/>
                          <a:ln>
                            <a:noFill/>
                          </a:ln>
                        </pic:spPr>
                      </pic:pic>
                    </a:graphicData>
                  </a:graphic>
                </wp:inline>
              </w:drawing>
            </w:r>
            <w:r>
              <w:rPr>
                <w:rFonts w:ascii="Arial" w:hAnsi="Arial" w:cs="Arial"/>
                <w:b/>
                <w:noProof/>
                <w:color w:val="4979B1"/>
              </w:rPr>
              <w:drawing>
                <wp:inline distT="0" distB="0" distL="0" distR="0" wp14:anchorId="3328D2F8" wp14:editId="4032520E">
                  <wp:extent cx="209550" cy="285750"/>
                  <wp:effectExtent l="0" t="0" r="0" b="0"/>
                  <wp:docPr id="3" name="Picture 3" descr="http://www.communicationsdaily.com/img/email/twitte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mmunicationsdaily.com/img/email/twitter.pn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09550" cy="285750"/>
                          </a:xfrm>
                          <a:prstGeom prst="rect">
                            <a:avLst/>
                          </a:prstGeom>
                          <a:noFill/>
                          <a:ln>
                            <a:noFill/>
                          </a:ln>
                        </pic:spPr>
                      </pic:pic>
                    </a:graphicData>
                  </a:graphic>
                </wp:inline>
              </w:drawing>
            </w:r>
            <w:r>
              <w:rPr>
                <w:rFonts w:ascii="Arial" w:hAnsi="Arial" w:cs="Arial"/>
                <w:b/>
                <w:noProof/>
                <w:color w:val="4979B1"/>
              </w:rPr>
              <w:drawing>
                <wp:inline distT="0" distB="0" distL="0" distR="0" wp14:anchorId="6582B462" wp14:editId="624EF083">
                  <wp:extent cx="209550" cy="285750"/>
                  <wp:effectExtent l="0" t="0" r="0" b="0"/>
                  <wp:docPr id="2" name="Picture 2" descr="http://www.communicationsdaily.com/img/email/linkedin.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mmunicationsdaily.com/img/email/linkedin.pn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09550" cy="285750"/>
                          </a:xfrm>
                          <a:prstGeom prst="rect">
                            <a:avLst/>
                          </a:prstGeom>
                          <a:noFill/>
                          <a:ln>
                            <a:noFill/>
                          </a:ln>
                        </pic:spPr>
                      </pic:pic>
                    </a:graphicData>
                  </a:graphic>
                </wp:inline>
              </w:drawing>
            </w:r>
          </w:p>
        </w:tc>
      </w:tr>
      <w:tr w:rsidR="00E95911" w:rsidTr="00E95911">
        <w:trPr>
          <w:trHeight w:val="90"/>
        </w:trPr>
        <w:tc>
          <w:tcPr>
            <w:tcW w:w="0" w:type="auto"/>
            <w:shd w:val="clear" w:color="auto" w:fill="C8D4E4"/>
            <w:vAlign w:val="center"/>
            <w:hideMark/>
          </w:tcPr>
          <w:p w:rsidR="00E95911" w:rsidRDefault="00E95911">
            <w:pPr>
              <w:rPr>
                <w:rFonts w:ascii="Arial" w:hAnsi="Arial" w:cs="Arial"/>
              </w:rPr>
            </w:pPr>
          </w:p>
        </w:tc>
      </w:tr>
    </w:tbl>
    <w:p w:rsidR="00E95911" w:rsidRDefault="00E95911" w:rsidP="00E95911">
      <w:pPr>
        <w:rPr>
          <w:rFonts w:ascii="Arial" w:hAnsi="Arial" w:cs="Arial"/>
          <w:lang w:val="en"/>
        </w:rPr>
      </w:pPr>
      <w:r>
        <w:rPr>
          <w:rFonts w:ascii="Arial" w:hAnsi="Arial" w:cs="Arial"/>
          <w:noProof/>
        </w:rPr>
        <w:drawing>
          <wp:inline distT="0" distB="0" distL="0" distR="0" wp14:anchorId="096DB46D" wp14:editId="50AF5D1D">
            <wp:extent cx="9525" cy="9525"/>
            <wp:effectExtent l="0" t="0" r="0" b="0"/>
            <wp:docPr id="1" name="Picture 1" descr="http://email.internationaltradetoday.com/wf/open?upn=kdLjK7BA4-2FCyC66472A9mj-2BdD71NgBq-2B9T8QIARH0Mj5FoavzZucw-2FHlq5Qhz5svSRfDVOOW2tPaJ0p0ufUm5JnDHjBXwahxD8JSp6vnBS-2Fy7Y4p8OBUf9aqrMczyQ-2FQDErzTrLkNe3oqlqt774RLGQS3TvO0eUut0G-2BHp79HdMn-2BdvJrlchVSsgOuG0BCMyVZ-2BUujNbQW-2FIRQ12dUoBYJs40JZ0CV-2FpBEce6lhWr4A-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mail.internationaltradetoday.com/wf/open?upn=kdLjK7BA4-2FCyC66472A9mj-2BdD71NgBq-2B9T8QIARH0Mj5FoavzZucw-2FHlq5Qhz5svSRfDVOOW2tPaJ0p0ufUm5JnDHjBXwahxD8JSp6vnBS-2Fy7Y4p8OBUf9aqrMczyQ-2FQDErzTrLkNe3oqlqt774RLGQS3TvO0eUut0G-2BHp79HdMn-2BdvJrlchVSsgOuG0BCMyVZ-2BUujNbQW-2FIRQ12dUoBYJs40JZ0CV-2FpBEce6lhWr4A-3D"/>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1"/>
    </w:p>
    <w:p w:rsidR="001D55E9" w:rsidRDefault="001D55E9" w:rsidP="001D55E9">
      <w:pPr>
        <w:rPr>
          <w:rFonts w:ascii="Verdana" w:hAnsi="Verdana" w:cstheme="minorBidi"/>
          <w:color w:val="1F497D"/>
          <w:szCs w:val="22"/>
        </w:rPr>
      </w:pPr>
      <w:r>
        <w:rPr>
          <w:rFonts w:ascii="Verdana" w:hAnsi="Verdana" w:cstheme="minorBidi"/>
          <w:color w:val="1F497D"/>
          <w:szCs w:val="22"/>
        </w:rPr>
        <w:fldChar w:fldCharType="begin"/>
      </w:r>
      <w:r>
        <w:rPr>
          <w:rFonts w:ascii="Verdana" w:hAnsi="Verdana" w:cstheme="minorBidi"/>
          <w:color w:val="1F497D"/>
          <w:szCs w:val="22"/>
        </w:rPr>
        <w:instrText xml:space="preserve"> FILENAME  \p  \* MERGEFORMAT </w:instrText>
      </w:r>
      <w:r>
        <w:rPr>
          <w:rFonts w:ascii="Verdana" w:hAnsi="Verdana" w:cstheme="minorBidi"/>
          <w:color w:val="1F497D"/>
          <w:szCs w:val="22"/>
        </w:rPr>
        <w:fldChar w:fldCharType="separate"/>
      </w:r>
      <w:r>
        <w:rPr>
          <w:rFonts w:ascii="Verdana" w:hAnsi="Verdana" w:cstheme="minorBidi"/>
          <w:noProof/>
          <w:color w:val="1F497D"/>
          <w:szCs w:val="22"/>
        </w:rPr>
        <w:t>S:\SHAREDAT\PHONE\2017\17-02-40\2017-0809 Comms Daily PURA ruling Muni Gain is Muni Loss.docx</w:t>
      </w:r>
      <w:r>
        <w:rPr>
          <w:rFonts w:ascii="Verdana" w:hAnsi="Verdana" w:cstheme="minorBidi"/>
          <w:color w:val="1F497D"/>
          <w:szCs w:val="22"/>
        </w:rPr>
        <w:fldChar w:fldCharType="end"/>
      </w:r>
    </w:p>
    <w:p w:rsidR="007D5243" w:rsidRDefault="007D5243"/>
    <w:sectPr w:rsidR="007D5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911"/>
    <w:rsid w:val="001D55E9"/>
    <w:rsid w:val="007D5243"/>
    <w:rsid w:val="00E95911"/>
    <w:rsid w:val="00FC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E2798-5AEE-410B-95FC-00B00704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91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911"/>
    <w:rPr>
      <w:b/>
      <w:bCs/>
      <w:strike w:val="0"/>
      <w:dstrike w:val="0"/>
      <w:color w:val="4979B1"/>
      <w:u w:val="none"/>
      <w:effect w:val="none"/>
    </w:rPr>
  </w:style>
  <w:style w:type="character" w:customStyle="1" w:styleId="Emphasis1">
    <w:name w:val="Emphasis1"/>
    <w:basedOn w:val="DefaultParagraphFont"/>
    <w:rsid w:val="00E95911"/>
    <w:rPr>
      <w:i/>
      <w:iCs/>
    </w:rPr>
  </w:style>
  <w:style w:type="character" w:customStyle="1" w:styleId="phone">
    <w:name w:val="phone"/>
    <w:basedOn w:val="DefaultParagraphFont"/>
    <w:rsid w:val="00E95911"/>
  </w:style>
  <w:style w:type="character" w:styleId="FollowedHyperlink">
    <w:name w:val="FollowedHyperlink"/>
    <w:basedOn w:val="DefaultParagraphFont"/>
    <w:uiPriority w:val="99"/>
    <w:semiHidden/>
    <w:unhideWhenUsed/>
    <w:rsid w:val="001D55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790110">
      <w:bodyDiv w:val="1"/>
      <w:marLeft w:val="0"/>
      <w:marRight w:val="0"/>
      <w:marTop w:val="0"/>
      <w:marBottom w:val="0"/>
      <w:divBdr>
        <w:top w:val="none" w:sz="0" w:space="0" w:color="auto"/>
        <w:left w:val="none" w:sz="0" w:space="0" w:color="auto"/>
        <w:bottom w:val="none" w:sz="0" w:space="0" w:color="auto"/>
        <w:right w:val="none" w:sz="0" w:space="0" w:color="auto"/>
      </w:divBdr>
    </w:div>
    <w:div w:id="136447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ales@warren-news.com" TargetMode="External"/><Relationship Id="rId18" Type="http://schemas.openxmlformats.org/officeDocument/2006/relationships/hyperlink" Target="https://www.facebook.com/WarrenCommunicationsNews" TargetMode="External"/><Relationship Id="rId26" Type="http://schemas.openxmlformats.org/officeDocument/2006/relationships/image" Target="http://www.communicationsdaily.com/img/email/linkedin.png" TargetMode="External"/><Relationship Id="rId3" Type="http://schemas.openxmlformats.org/officeDocument/2006/relationships/webSettings" Target="webSettings.xml"/><Relationship Id="rId21" Type="http://schemas.openxmlformats.org/officeDocument/2006/relationships/hyperlink" Target="https://twitter.com/Comm_Daily" TargetMode="External"/><Relationship Id="rId7" Type="http://schemas.openxmlformats.org/officeDocument/2006/relationships/image" Target="http://www.communicationsdaily.com/img/email/header-cd.png" TargetMode="External"/><Relationship Id="rId12" Type="http://schemas.openxmlformats.org/officeDocument/2006/relationships/hyperlink" Target="http://www.communicationsdaily.com" TargetMode="External"/><Relationship Id="rId17" Type="http://schemas.openxmlformats.org/officeDocument/2006/relationships/image" Target="http://www.communicationsdaily.com/img/email/footer-cd-logo.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www.communicationsdaily.com/img/email/facebook.pn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communicationsdaily.com/free_trial" TargetMode="External"/><Relationship Id="rId24" Type="http://schemas.openxmlformats.org/officeDocument/2006/relationships/hyperlink" Target="https://www.linkedin.com/company/50526?trk=prof-0-ovw-curr_pos" TargetMode="External"/><Relationship Id="rId5" Type="http://schemas.openxmlformats.org/officeDocument/2006/relationships/hyperlink" Target="http://www.communicationsdaily.com/free_trial?ref=RC&amp;src=SHARE" TargetMode="External"/><Relationship Id="rId15" Type="http://schemas.openxmlformats.org/officeDocument/2006/relationships/hyperlink" Target="http://www.communicationsdaily.com/" TargetMode="External"/><Relationship Id="rId23" Type="http://schemas.openxmlformats.org/officeDocument/2006/relationships/image" Target="http://www.communicationsdaily.com/img/email/twitter.png" TargetMode="External"/><Relationship Id="rId28" Type="http://schemas.openxmlformats.org/officeDocument/2006/relationships/image" Target="http://email.internationaltradetoday.com/wf/open?upn=kdLjK7BA4-2FCyC66472A9mj-2BdD71NgBq-2B9T8QIARH0Mj5FoavzZucw-2FHlq5Qhz5svSRfDVOOW2tPaJ0p0ufUm5JnDHjBXwahxD8JSp6vnBS-2Fy7Y4p8OBUf9aqrMczyQ-2FQDErzTrLkNe3oqlqt774RLGQS3TvO0eUut0G-2BHp79HdMn-2BdvJrlchVSsgOu" TargetMode="External"/><Relationship Id="rId10" Type="http://schemas.openxmlformats.org/officeDocument/2006/relationships/hyperlink" Target="http://www.communicationsdaily.com/free_trial?ref=RC&amp;src=SHARE" TargetMode="External"/><Relationship Id="rId19" Type="http://schemas.openxmlformats.org/officeDocument/2006/relationships/image" Target="media/image4.png"/><Relationship Id="rId4" Type="http://schemas.openxmlformats.org/officeDocument/2006/relationships/hyperlink" Target="mailto:sales@warren-news.com" TargetMode="External"/><Relationship Id="rId9" Type="http://schemas.openxmlformats.org/officeDocument/2006/relationships/image" Target="http://www.communicationsdaily.com/img/email/subheader-cd.png" TargetMode="External"/><Relationship Id="rId14" Type="http://schemas.openxmlformats.org/officeDocument/2006/relationships/hyperlink" Target="http://www.communicationsdaily.com/privacy" TargetMode="External"/><Relationship Id="rId22" Type="http://schemas.openxmlformats.org/officeDocument/2006/relationships/image" Target="media/image5.png"/><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903</Words>
  <Characters>5150</Characters>
  <Application>Microsoft Office Word</Application>
  <DocSecurity>0</DocSecurity>
  <Lines>42</Lines>
  <Paragraphs>12</Paragraphs>
  <ScaleCrop>false</ScaleCrop>
  <Company>Connecticut DEEP</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Vallee</dc:creator>
  <cp:keywords/>
  <dc:description/>
  <cp:lastModifiedBy>William Vallee</cp:lastModifiedBy>
  <cp:revision>3</cp:revision>
  <dcterms:created xsi:type="dcterms:W3CDTF">2017-08-14T19:10:00Z</dcterms:created>
  <dcterms:modified xsi:type="dcterms:W3CDTF">2017-08-14T19:21:00Z</dcterms:modified>
</cp:coreProperties>
</file>