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9ED48" w14:textId="13421F0B" w:rsidR="00442672" w:rsidRPr="00DF042F" w:rsidRDefault="00442672" w:rsidP="00F0629D">
      <w:pPr>
        <w:rPr>
          <w:rFonts w:ascii="Times New Roman" w:hAnsi="Times New Roman"/>
          <w:sz w:val="22"/>
          <w:szCs w:val="22"/>
        </w:rPr>
      </w:pPr>
    </w:p>
    <w:p w14:paraId="3F3EC1C4" w14:textId="573A353D" w:rsidR="00861308" w:rsidRDefault="00861308" w:rsidP="00861308">
      <w:pPr>
        <w:contextualSpacing/>
        <w:rPr>
          <w:rFonts w:ascii="Times New Roman" w:eastAsia="Calibri" w:hAnsi="Times New Roman"/>
          <w:szCs w:val="24"/>
        </w:rPr>
      </w:pPr>
      <w:r>
        <w:rPr>
          <w:rFonts w:ascii="Times New Roman" w:eastAsia="Calibri" w:hAnsi="Times New Roman"/>
          <w:szCs w:val="24"/>
        </w:rPr>
        <w:t>June 16, 2020</w:t>
      </w:r>
    </w:p>
    <w:p w14:paraId="38AC4088" w14:textId="77777777" w:rsidR="00861308" w:rsidRDefault="00861308" w:rsidP="00861308">
      <w:pPr>
        <w:contextualSpacing/>
        <w:rPr>
          <w:rFonts w:ascii="Times New Roman" w:eastAsia="Calibri" w:hAnsi="Times New Roman"/>
          <w:szCs w:val="24"/>
        </w:rPr>
      </w:pPr>
    </w:p>
    <w:p w14:paraId="00A15C04" w14:textId="659C4FBF" w:rsidR="00F228AF" w:rsidRDefault="00F228AF" w:rsidP="00861308">
      <w:pPr>
        <w:contextualSpacing/>
        <w:rPr>
          <w:rFonts w:ascii="Times New Roman" w:eastAsia="Calibri" w:hAnsi="Times New Roman"/>
          <w:szCs w:val="24"/>
        </w:rPr>
      </w:pPr>
      <w:r w:rsidRPr="006C3451">
        <w:rPr>
          <w:rFonts w:ascii="Times New Roman" w:eastAsia="Calibri" w:hAnsi="Times New Roman"/>
          <w:szCs w:val="24"/>
        </w:rPr>
        <w:t>Dear DDS Provider,</w:t>
      </w:r>
    </w:p>
    <w:p w14:paraId="3983306E" w14:textId="77777777" w:rsidR="00861308" w:rsidRPr="006C3451" w:rsidRDefault="00861308" w:rsidP="006C3451">
      <w:pPr>
        <w:contextualSpacing/>
        <w:rPr>
          <w:rFonts w:ascii="Times New Roman" w:eastAsia="Calibri" w:hAnsi="Times New Roman"/>
          <w:szCs w:val="24"/>
        </w:rPr>
      </w:pPr>
    </w:p>
    <w:p w14:paraId="4953A79F" w14:textId="78E5B84F" w:rsidR="00F228AF" w:rsidRDefault="00F228AF" w:rsidP="00861308">
      <w:pPr>
        <w:contextualSpacing/>
        <w:rPr>
          <w:rFonts w:ascii="Times New Roman" w:eastAsia="Calibri" w:hAnsi="Times New Roman"/>
          <w:szCs w:val="24"/>
          <w:lang w:val="en"/>
        </w:rPr>
      </w:pPr>
      <w:r w:rsidRPr="006C3451">
        <w:rPr>
          <w:rFonts w:ascii="Times New Roman" w:eastAsia="Calibri" w:hAnsi="Times New Roman"/>
          <w:szCs w:val="24"/>
          <w:lang w:val="en"/>
        </w:rPr>
        <w:t xml:space="preserve">As you know, the Connecticut Department of Developmental Services (DDS) is implementing Electronic Visit Verification (EVV) for services funded by DDS in response to federal requirements set forth in the 21st Century Cures Act (Cures Act). EVV is an electronic system that verifies specific information about the services provided. </w:t>
      </w:r>
    </w:p>
    <w:p w14:paraId="1FDCB26D" w14:textId="77777777" w:rsidR="00861308" w:rsidRPr="006C3451" w:rsidRDefault="00861308" w:rsidP="006C3451">
      <w:pPr>
        <w:contextualSpacing/>
        <w:rPr>
          <w:rFonts w:ascii="Times New Roman" w:eastAsia="Calibri" w:hAnsi="Times New Roman"/>
          <w:szCs w:val="24"/>
          <w:lang w:val="en"/>
        </w:rPr>
      </w:pPr>
    </w:p>
    <w:p w14:paraId="29525203" w14:textId="70B5BFA9" w:rsidR="00F228AF" w:rsidRDefault="00F228AF" w:rsidP="00861308">
      <w:pPr>
        <w:contextualSpacing/>
        <w:rPr>
          <w:rFonts w:ascii="Times New Roman" w:eastAsia="Calibri" w:hAnsi="Times New Roman"/>
          <w:szCs w:val="24"/>
          <w:lang w:val="en"/>
        </w:rPr>
      </w:pPr>
      <w:r w:rsidRPr="006C3451">
        <w:rPr>
          <w:rFonts w:ascii="Times New Roman" w:eastAsia="Calibri" w:hAnsi="Times New Roman"/>
          <w:szCs w:val="24"/>
          <w:lang w:val="en"/>
        </w:rPr>
        <w:t xml:space="preserve">The EVV requirement applies to agency providers and individuals that hire their own staff and is scheduled to be implemented no later than January 1, 2021. To prepare for the implementation of EVV, DDS needs to determine if a provider is new to EVV or is an “Overlap Provider”. </w:t>
      </w:r>
    </w:p>
    <w:p w14:paraId="07869BDA" w14:textId="77777777" w:rsidR="00861308" w:rsidRPr="006C3451" w:rsidRDefault="00861308" w:rsidP="006C3451">
      <w:pPr>
        <w:contextualSpacing/>
        <w:rPr>
          <w:rFonts w:ascii="Times New Roman" w:eastAsia="Calibri" w:hAnsi="Times New Roman"/>
          <w:szCs w:val="24"/>
          <w:lang w:val="en"/>
        </w:rPr>
      </w:pPr>
    </w:p>
    <w:p w14:paraId="5620F476" w14:textId="5215AB93" w:rsidR="00F228AF" w:rsidRDefault="00F228AF" w:rsidP="00861308">
      <w:pPr>
        <w:contextualSpacing/>
        <w:rPr>
          <w:rFonts w:ascii="Times New Roman" w:eastAsia="Calibri" w:hAnsi="Times New Roman"/>
          <w:szCs w:val="24"/>
          <w:lang w:val="en"/>
        </w:rPr>
      </w:pPr>
      <w:r w:rsidRPr="006C3451">
        <w:rPr>
          <w:rFonts w:ascii="Times New Roman" w:eastAsia="Calibri" w:hAnsi="Times New Roman"/>
          <w:szCs w:val="24"/>
          <w:lang w:val="en"/>
        </w:rPr>
        <w:t xml:space="preserve">An Overlap Provider is a DDS provider who is currently doing business with the Department of Social Services (DSS) and has already implemented EVV and currently uses the Santrax (SAM) system to enter data. </w:t>
      </w:r>
    </w:p>
    <w:p w14:paraId="2463F4C8" w14:textId="77777777" w:rsidR="00861308" w:rsidRPr="006C3451" w:rsidRDefault="00861308" w:rsidP="006C3451">
      <w:pPr>
        <w:contextualSpacing/>
        <w:rPr>
          <w:rFonts w:ascii="Times New Roman" w:eastAsia="Calibri" w:hAnsi="Times New Roman"/>
          <w:szCs w:val="24"/>
          <w:lang w:val="en"/>
        </w:rPr>
      </w:pPr>
    </w:p>
    <w:p w14:paraId="494F359F" w14:textId="729896AA" w:rsidR="00F228AF" w:rsidRDefault="00861308" w:rsidP="00861308">
      <w:pPr>
        <w:contextualSpacing/>
        <w:rPr>
          <w:rFonts w:ascii="Times New Roman" w:eastAsia="Calibri" w:hAnsi="Times New Roman"/>
          <w:szCs w:val="24"/>
          <w:lang w:val="en"/>
        </w:rPr>
      </w:pPr>
      <w:r>
        <w:rPr>
          <w:rFonts w:ascii="Times New Roman" w:eastAsia="Calibri" w:hAnsi="Times New Roman"/>
          <w:szCs w:val="24"/>
          <w:lang w:val="en"/>
        </w:rPr>
        <w:t xml:space="preserve">DDS </w:t>
      </w:r>
      <w:r w:rsidR="00F228AF" w:rsidRPr="006C3451">
        <w:rPr>
          <w:rFonts w:ascii="Times New Roman" w:eastAsia="Calibri" w:hAnsi="Times New Roman"/>
          <w:szCs w:val="24"/>
          <w:lang w:val="en"/>
        </w:rPr>
        <w:t>Providers brand new to EVV will use the DDS EVV Portal to enter EVV data. Overlap providers must declare to DDS whether they will use their current SAM system to enter EVV data for both DDS and DSS services or if they will use two separate systems and enter DDS EVV data in the new DDS EVV portal and continue to enter DSS EVV data into SAM.</w:t>
      </w:r>
    </w:p>
    <w:p w14:paraId="38B33A48" w14:textId="77777777" w:rsidR="00861308" w:rsidRPr="006C3451" w:rsidRDefault="00861308" w:rsidP="006C3451">
      <w:pPr>
        <w:contextualSpacing/>
        <w:rPr>
          <w:rFonts w:ascii="Times New Roman" w:eastAsia="Calibri" w:hAnsi="Times New Roman"/>
          <w:szCs w:val="24"/>
          <w:lang w:val="en"/>
        </w:rPr>
      </w:pPr>
    </w:p>
    <w:p w14:paraId="7EC8FE08" w14:textId="0A1A7EB6" w:rsidR="00F228AF" w:rsidRPr="00E96DD7" w:rsidRDefault="00F228AF" w:rsidP="006C3451">
      <w:pPr>
        <w:contextualSpacing/>
        <w:rPr>
          <w:rFonts w:ascii="Times New Roman" w:eastAsia="Calibri" w:hAnsi="Times New Roman"/>
          <w:szCs w:val="24"/>
        </w:rPr>
      </w:pPr>
      <w:r w:rsidRPr="006C3451">
        <w:rPr>
          <w:rFonts w:ascii="Times New Roman" w:eastAsia="Calibri" w:hAnsi="Times New Roman"/>
          <w:szCs w:val="24"/>
        </w:rPr>
        <w:t>It is imperative that DDS receive responses for each provider no later than June 30, 2020. Providers who do not reply by the date due will have their DDS EVV data implemented in the EVV Portal.</w:t>
      </w:r>
      <w:r w:rsidR="00861308">
        <w:rPr>
          <w:rFonts w:ascii="Times New Roman" w:eastAsia="Calibri" w:hAnsi="Times New Roman"/>
          <w:szCs w:val="24"/>
        </w:rPr>
        <w:t xml:space="preserve"> Please utilize the corresponding forms attached to this memo as the formal method to respond.</w:t>
      </w:r>
      <w:r w:rsidRPr="006C3451">
        <w:rPr>
          <w:rFonts w:ascii="Times New Roman" w:eastAsia="Calibri" w:hAnsi="Times New Roman"/>
          <w:szCs w:val="24"/>
        </w:rPr>
        <w:t xml:space="preserve">  If you have any questions, please email </w:t>
      </w:r>
      <w:hyperlink r:id="rId11" w:history="1">
        <w:r w:rsidR="00861308" w:rsidRPr="00E96DD7">
          <w:rPr>
            <w:rStyle w:val="Hyperlink"/>
            <w:rFonts w:ascii="Times New Roman" w:eastAsia="Calibri" w:hAnsi="Times New Roman"/>
            <w:szCs w:val="24"/>
          </w:rPr>
          <w:t>David.David@ct.gov</w:t>
        </w:r>
      </w:hyperlink>
      <w:r w:rsidRPr="00E96DD7">
        <w:rPr>
          <w:rFonts w:ascii="Times New Roman" w:eastAsia="Calibri" w:hAnsi="Times New Roman"/>
          <w:szCs w:val="24"/>
        </w:rPr>
        <w:t xml:space="preserve"> or </w:t>
      </w:r>
      <w:hyperlink r:id="rId12" w:history="1">
        <w:r w:rsidRPr="00E96DD7">
          <w:rPr>
            <w:rFonts w:ascii="Times New Roman" w:eastAsia="Calibri" w:hAnsi="Times New Roman"/>
            <w:color w:val="0563C1"/>
            <w:szCs w:val="24"/>
            <w:u w:val="single"/>
          </w:rPr>
          <w:t>Pat.Dillon@ct.gov</w:t>
        </w:r>
      </w:hyperlink>
      <w:r w:rsidRPr="00E96DD7">
        <w:rPr>
          <w:rFonts w:ascii="Times New Roman" w:eastAsia="Calibri" w:hAnsi="Times New Roman"/>
          <w:szCs w:val="24"/>
        </w:rPr>
        <w:t xml:space="preserve">. </w:t>
      </w:r>
    </w:p>
    <w:p w14:paraId="7FC680F9" w14:textId="4DE7587C" w:rsidR="00F228AF" w:rsidRDefault="00F228AF" w:rsidP="00861308">
      <w:pPr>
        <w:contextualSpacing/>
        <w:rPr>
          <w:rFonts w:ascii="Times New Roman" w:eastAsia="Calibri" w:hAnsi="Times New Roman"/>
          <w:szCs w:val="24"/>
          <w:lang w:val="en"/>
        </w:rPr>
      </w:pPr>
    </w:p>
    <w:p w14:paraId="3F3A702D" w14:textId="1AB96B8F" w:rsidR="00861308" w:rsidRPr="006C3451" w:rsidRDefault="00861308" w:rsidP="006C3451">
      <w:pPr>
        <w:contextualSpacing/>
        <w:rPr>
          <w:rFonts w:ascii="Times New Roman" w:eastAsia="Calibri" w:hAnsi="Times New Roman"/>
          <w:szCs w:val="24"/>
          <w:lang w:val="en"/>
        </w:rPr>
      </w:pPr>
      <w:r>
        <w:rPr>
          <w:rFonts w:ascii="Times New Roman" w:eastAsia="Calibri" w:hAnsi="Times New Roman"/>
          <w:szCs w:val="24"/>
          <w:lang w:val="en"/>
        </w:rPr>
        <w:t xml:space="preserve">Thank you. </w:t>
      </w:r>
    </w:p>
    <w:p w14:paraId="7D4ECB43" w14:textId="77777777" w:rsidR="00F228AF" w:rsidRPr="00F228AF" w:rsidRDefault="00F228AF" w:rsidP="00F228AF">
      <w:pPr>
        <w:spacing w:after="160" w:line="259" w:lineRule="auto"/>
        <w:rPr>
          <w:rFonts w:ascii="Times New Roman" w:eastAsia="Calibri" w:hAnsi="Times New Roman"/>
          <w:sz w:val="22"/>
          <w:szCs w:val="22"/>
          <w:lang w:val="en"/>
        </w:rPr>
      </w:pPr>
      <w:r w:rsidRPr="00F228AF">
        <w:rPr>
          <w:rFonts w:ascii="Times New Roman" w:eastAsia="Calibri" w:hAnsi="Times New Roman"/>
          <w:sz w:val="22"/>
          <w:szCs w:val="22"/>
          <w:lang w:val="en"/>
        </w:rPr>
        <w:br w:type="page"/>
      </w:r>
    </w:p>
    <w:p w14:paraId="52D8BE74" w14:textId="77777777" w:rsidR="00F228AF" w:rsidRPr="00F228AF" w:rsidRDefault="00F228AF" w:rsidP="00F228AF">
      <w:pPr>
        <w:spacing w:after="160" w:line="259" w:lineRule="auto"/>
        <w:rPr>
          <w:rFonts w:ascii="Times New Roman" w:eastAsia="Calibri" w:hAnsi="Times New Roman"/>
          <w:sz w:val="22"/>
          <w:szCs w:val="22"/>
        </w:rPr>
      </w:pPr>
      <w:r w:rsidRPr="00F228AF">
        <w:rPr>
          <w:rFonts w:ascii="Times New Roman" w:eastAsia="Calibri" w:hAnsi="Times New Roman"/>
          <w:b/>
          <w:sz w:val="22"/>
          <w:szCs w:val="22"/>
        </w:rPr>
        <w:lastRenderedPageBreak/>
        <w:t xml:space="preserve">DDS EVV Systems Differences Grid </w:t>
      </w:r>
      <w:r w:rsidRPr="00F228AF">
        <w:rPr>
          <w:rFonts w:ascii="Times New Roman" w:eastAsia="Calibri" w:hAnsi="Times New Roman"/>
          <w:sz w:val="22"/>
          <w:szCs w:val="22"/>
        </w:rPr>
        <w:t>– The grid below describes the functions of the two separate EVV systems; SAM and the DDS EVV Portal. By signing below, the Executive Director states that he/she has read and understands the content in this grid.</w:t>
      </w:r>
    </w:p>
    <w:tbl>
      <w:tblPr>
        <w:tblW w:w="10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5"/>
        <w:gridCol w:w="4765"/>
        <w:gridCol w:w="4590"/>
      </w:tblGrid>
      <w:tr w:rsidR="00F228AF" w:rsidRPr="00F228AF" w14:paraId="299793C5" w14:textId="77777777" w:rsidTr="005461B0">
        <w:trPr>
          <w:trHeight w:val="361"/>
          <w:tblHeader/>
        </w:trPr>
        <w:tc>
          <w:tcPr>
            <w:tcW w:w="1615" w:type="dxa"/>
            <w:tcBorders>
              <w:top w:val="single" w:sz="8" w:space="0" w:color="auto"/>
              <w:left w:val="single" w:sz="8" w:space="0" w:color="auto"/>
              <w:bottom w:val="nil"/>
              <w:right w:val="nil"/>
            </w:tcBorders>
            <w:shd w:val="clear" w:color="auto" w:fill="558B2F"/>
            <w:noWrap/>
            <w:tcMar>
              <w:top w:w="0" w:type="dxa"/>
              <w:left w:w="108" w:type="dxa"/>
              <w:bottom w:w="0" w:type="dxa"/>
              <w:right w:w="108" w:type="dxa"/>
            </w:tcMar>
            <w:hideMark/>
          </w:tcPr>
          <w:p w14:paraId="600F3E62" w14:textId="77777777" w:rsidR="00F228AF" w:rsidRPr="00F228AF" w:rsidRDefault="00F228AF" w:rsidP="00F228AF">
            <w:pPr>
              <w:jc w:val="center"/>
              <w:rPr>
                <w:rFonts w:ascii="Times New Roman" w:eastAsia="Calibri" w:hAnsi="Times New Roman"/>
                <w:sz w:val="22"/>
                <w:szCs w:val="22"/>
              </w:rPr>
            </w:pPr>
            <w:r w:rsidRPr="00F228AF">
              <w:rPr>
                <w:rFonts w:ascii="Times New Roman" w:eastAsia="Calibri" w:hAnsi="Times New Roman"/>
                <w:b/>
                <w:bCs/>
                <w:color w:val="FFFFFF"/>
                <w:sz w:val="22"/>
                <w:szCs w:val="22"/>
              </w:rPr>
              <w:t>Functionality</w:t>
            </w:r>
          </w:p>
        </w:tc>
        <w:tc>
          <w:tcPr>
            <w:tcW w:w="4765" w:type="dxa"/>
            <w:tcBorders>
              <w:top w:val="single" w:sz="8" w:space="0" w:color="auto"/>
              <w:left w:val="single" w:sz="8" w:space="0" w:color="auto"/>
              <w:bottom w:val="single" w:sz="8" w:space="0" w:color="auto"/>
              <w:right w:val="single" w:sz="8" w:space="0" w:color="auto"/>
            </w:tcBorders>
            <w:shd w:val="clear" w:color="auto" w:fill="558B2F"/>
            <w:tcMar>
              <w:top w:w="0" w:type="dxa"/>
              <w:left w:w="108" w:type="dxa"/>
              <w:bottom w:w="0" w:type="dxa"/>
              <w:right w:w="108" w:type="dxa"/>
            </w:tcMar>
            <w:hideMark/>
          </w:tcPr>
          <w:p w14:paraId="43D91210" w14:textId="77777777" w:rsidR="00F228AF" w:rsidRPr="00F228AF" w:rsidRDefault="00F228AF" w:rsidP="00F228AF">
            <w:pPr>
              <w:ind w:left="720"/>
              <w:jc w:val="center"/>
              <w:rPr>
                <w:rFonts w:ascii="Times New Roman" w:eastAsia="Calibri" w:hAnsi="Times New Roman"/>
                <w:sz w:val="22"/>
                <w:szCs w:val="22"/>
              </w:rPr>
            </w:pPr>
            <w:r w:rsidRPr="00F228AF">
              <w:rPr>
                <w:rFonts w:ascii="Times New Roman" w:eastAsia="Calibri" w:hAnsi="Times New Roman"/>
                <w:b/>
                <w:bCs/>
                <w:color w:val="FFFFFF"/>
                <w:sz w:val="22"/>
                <w:szCs w:val="22"/>
              </w:rPr>
              <w:t>Overlap Providers Who Choose to Use Existing Santrax System for DDS Members</w:t>
            </w:r>
          </w:p>
        </w:tc>
        <w:tc>
          <w:tcPr>
            <w:tcW w:w="4590" w:type="dxa"/>
            <w:tcBorders>
              <w:top w:val="single" w:sz="8" w:space="0" w:color="auto"/>
              <w:left w:val="nil"/>
              <w:bottom w:val="single" w:sz="8" w:space="0" w:color="auto"/>
              <w:right w:val="single" w:sz="8" w:space="0" w:color="auto"/>
            </w:tcBorders>
            <w:shd w:val="clear" w:color="auto" w:fill="558B2F"/>
            <w:tcMar>
              <w:top w:w="0" w:type="dxa"/>
              <w:left w:w="108" w:type="dxa"/>
              <w:bottom w:w="0" w:type="dxa"/>
              <w:right w:w="108" w:type="dxa"/>
            </w:tcMar>
            <w:hideMark/>
          </w:tcPr>
          <w:p w14:paraId="7996CF31" w14:textId="77777777" w:rsidR="00F228AF" w:rsidRPr="00F228AF" w:rsidRDefault="00F228AF" w:rsidP="00F228AF">
            <w:pPr>
              <w:jc w:val="center"/>
              <w:rPr>
                <w:rFonts w:ascii="Times New Roman" w:eastAsia="Calibri" w:hAnsi="Times New Roman"/>
                <w:sz w:val="22"/>
                <w:szCs w:val="22"/>
              </w:rPr>
            </w:pPr>
            <w:r w:rsidRPr="00F228AF">
              <w:rPr>
                <w:rFonts w:ascii="Times New Roman" w:eastAsia="Calibri" w:hAnsi="Times New Roman"/>
                <w:b/>
                <w:bCs/>
                <w:color w:val="FFFFFF"/>
                <w:sz w:val="22"/>
                <w:szCs w:val="22"/>
              </w:rPr>
              <w:t>New Providers and Overlap Providers Who Choose to Use EVV Portal for DDS Members</w:t>
            </w:r>
          </w:p>
        </w:tc>
      </w:tr>
      <w:tr w:rsidR="00F228AF" w:rsidRPr="00F228AF" w14:paraId="0E1C9FB1" w14:textId="77777777" w:rsidTr="005461B0">
        <w:trPr>
          <w:trHeight w:val="988"/>
        </w:trPr>
        <w:tc>
          <w:tcPr>
            <w:tcW w:w="1615" w:type="dxa"/>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370CC7E8"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b/>
                <w:bCs/>
                <w:color w:val="000000"/>
                <w:sz w:val="22"/>
                <w:szCs w:val="22"/>
              </w:rPr>
              <w:t>Telephonic Visit Verification</w:t>
            </w:r>
          </w:p>
        </w:tc>
        <w:tc>
          <w:tcPr>
            <w:tcW w:w="47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5DD2DF"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 xml:space="preserve">Caregivers will use the same EVV telephone numbers and IDs they use today for DSS.     The call script will be updated to support entry of service using tasks for DDS visits.   </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A6F6258"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 xml:space="preserve">New EVV Phone numbers will be set up for new or overlap providers.  The call script will include capturing if the call is an in or out call and will support collecting the visit service.   </w:t>
            </w:r>
          </w:p>
        </w:tc>
      </w:tr>
      <w:tr w:rsidR="00F228AF" w:rsidRPr="00F228AF" w14:paraId="01B1F513" w14:textId="77777777" w:rsidTr="005461B0">
        <w:trPr>
          <w:trHeight w:val="900"/>
        </w:trPr>
        <w:tc>
          <w:tcPr>
            <w:tcW w:w="161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7B27035E"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b/>
                <w:bCs/>
                <w:color w:val="000000"/>
                <w:sz w:val="22"/>
                <w:szCs w:val="22"/>
              </w:rPr>
              <w:t>Mobile/GPS Visit Verification</w:t>
            </w:r>
          </w:p>
        </w:tc>
        <w:tc>
          <w:tcPr>
            <w:tcW w:w="47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B92496"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 xml:space="preserve">Caregivers will migrate to the new </w:t>
            </w:r>
            <w:proofErr w:type="spellStart"/>
            <w:r w:rsidRPr="00F228AF">
              <w:rPr>
                <w:rFonts w:ascii="Times New Roman" w:eastAsia="Calibri" w:hAnsi="Times New Roman"/>
                <w:color w:val="000000"/>
                <w:sz w:val="22"/>
                <w:szCs w:val="22"/>
              </w:rPr>
              <w:t>Sandata</w:t>
            </w:r>
            <w:proofErr w:type="spellEnd"/>
            <w:r w:rsidRPr="00F228AF">
              <w:rPr>
                <w:rFonts w:ascii="Times New Roman" w:eastAsia="Calibri" w:hAnsi="Times New Roman"/>
                <w:color w:val="000000"/>
                <w:sz w:val="22"/>
                <w:szCs w:val="22"/>
              </w:rPr>
              <w:t xml:space="preserve"> Mobile Connect application (blue version) and will use the same login for DDS member visits.  The mobile application configuration will be enhanced to support entry of visit service using tasks.</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33BD56A6"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 xml:space="preserve">Caregivers will use the new </w:t>
            </w:r>
            <w:proofErr w:type="spellStart"/>
            <w:r w:rsidRPr="00F228AF">
              <w:rPr>
                <w:rFonts w:ascii="Times New Roman" w:eastAsia="Calibri" w:hAnsi="Times New Roman"/>
                <w:color w:val="000000"/>
                <w:sz w:val="22"/>
                <w:szCs w:val="22"/>
              </w:rPr>
              <w:t>Sandata</w:t>
            </w:r>
            <w:proofErr w:type="spellEnd"/>
            <w:r w:rsidRPr="00F228AF">
              <w:rPr>
                <w:rFonts w:ascii="Times New Roman" w:eastAsia="Calibri" w:hAnsi="Times New Roman"/>
                <w:color w:val="000000"/>
                <w:sz w:val="22"/>
                <w:szCs w:val="22"/>
              </w:rPr>
              <w:t xml:space="preserve"> Mobile Connect application (blue version).  The mobile application will be configured to support collecting visit service.    </w:t>
            </w:r>
          </w:p>
        </w:tc>
      </w:tr>
      <w:tr w:rsidR="00F228AF" w:rsidRPr="00F228AF" w14:paraId="2046C213" w14:textId="77777777" w:rsidTr="005461B0">
        <w:trPr>
          <w:trHeight w:val="600"/>
        </w:trPr>
        <w:tc>
          <w:tcPr>
            <w:tcW w:w="161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23139A6B"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b/>
                <w:bCs/>
                <w:color w:val="000000"/>
                <w:sz w:val="22"/>
                <w:szCs w:val="22"/>
              </w:rPr>
              <w:t>Fixed Visit Verification Device</w:t>
            </w:r>
          </w:p>
        </w:tc>
        <w:tc>
          <w:tcPr>
            <w:tcW w:w="47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17BD69"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 xml:space="preserve">A unique FVV device will be required for DSS and DDS visits.  </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3CA3B04"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Standard</w:t>
            </w:r>
          </w:p>
        </w:tc>
      </w:tr>
      <w:tr w:rsidR="00F228AF" w:rsidRPr="00F228AF" w14:paraId="53F57A42" w14:textId="77777777" w:rsidTr="005461B0">
        <w:trPr>
          <w:trHeight w:val="2402"/>
        </w:trPr>
        <w:tc>
          <w:tcPr>
            <w:tcW w:w="161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55902087"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b/>
                <w:bCs/>
                <w:color w:val="000000"/>
                <w:sz w:val="22"/>
                <w:szCs w:val="22"/>
              </w:rPr>
              <w:t>Provider Agency Login/System Access</w:t>
            </w:r>
          </w:p>
        </w:tc>
        <w:tc>
          <w:tcPr>
            <w:tcW w:w="47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3CBBC7"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 xml:space="preserve">Providers will use the same EVV system for DSS and DDS and will use their same login and access.  </w:t>
            </w:r>
            <w:proofErr w:type="spellStart"/>
            <w:r w:rsidRPr="00F228AF">
              <w:rPr>
                <w:rFonts w:ascii="Times New Roman" w:eastAsia="Calibri" w:hAnsi="Times New Roman"/>
                <w:color w:val="000000"/>
                <w:sz w:val="22"/>
                <w:szCs w:val="22"/>
              </w:rPr>
              <w:t>Sandata</w:t>
            </w:r>
            <w:proofErr w:type="spellEnd"/>
            <w:r w:rsidRPr="00F228AF">
              <w:rPr>
                <w:rFonts w:ascii="Times New Roman" w:eastAsia="Calibri" w:hAnsi="Times New Roman"/>
                <w:color w:val="000000"/>
                <w:sz w:val="22"/>
                <w:szCs w:val="22"/>
              </w:rPr>
              <w:t xml:space="preserve"> will enhance each providers system with DDS specific configuration requirements. </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55FC87E0"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 xml:space="preserve">DDS providers will have a new EVV system and will need to set up all users and caregivers.    The system will only contain DDS members.  </w:t>
            </w:r>
          </w:p>
        </w:tc>
      </w:tr>
      <w:tr w:rsidR="00F228AF" w:rsidRPr="00F228AF" w14:paraId="5E976087" w14:textId="77777777" w:rsidTr="005461B0">
        <w:trPr>
          <w:trHeight w:val="1258"/>
        </w:trPr>
        <w:tc>
          <w:tcPr>
            <w:tcW w:w="161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0B6026AC"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b/>
                <w:bCs/>
                <w:color w:val="000000"/>
                <w:sz w:val="22"/>
                <w:szCs w:val="22"/>
              </w:rPr>
              <w:t xml:space="preserve">Scheduling </w:t>
            </w:r>
          </w:p>
        </w:tc>
        <w:tc>
          <w:tcPr>
            <w:tcW w:w="47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B84F28"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 xml:space="preserve">Scheduling is active in the provider's EVV system to support DSS scheduling. Providers can choose to use scheduling for DDS visits.  If they elect to use the EVV scheduling function, then they will have to schedule all DDS visits.     </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73C16D9F"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Scheduling not available.</w:t>
            </w:r>
          </w:p>
        </w:tc>
      </w:tr>
      <w:tr w:rsidR="00F228AF" w:rsidRPr="00F228AF" w14:paraId="3169EC17" w14:textId="77777777" w:rsidTr="005461B0">
        <w:trPr>
          <w:trHeight w:val="1240"/>
        </w:trPr>
        <w:tc>
          <w:tcPr>
            <w:tcW w:w="161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705EFDDF"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b/>
                <w:bCs/>
                <w:color w:val="000000"/>
                <w:sz w:val="22"/>
                <w:szCs w:val="22"/>
              </w:rPr>
              <w:t xml:space="preserve">Billing </w:t>
            </w:r>
          </w:p>
        </w:tc>
        <w:tc>
          <w:tcPr>
            <w:tcW w:w="47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3E4442"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 xml:space="preserve">Billing will be active in the provider's EVV system to support DSS billing. Billing is not available for DDS EVV and the system will automatically prevent providers from attempting to send a claim to DDS. </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7ACD4F58"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 xml:space="preserve">Billing not available.  </w:t>
            </w:r>
          </w:p>
        </w:tc>
      </w:tr>
      <w:tr w:rsidR="00F228AF" w:rsidRPr="00F228AF" w14:paraId="490A3703" w14:textId="77777777" w:rsidTr="005461B0">
        <w:trPr>
          <w:trHeight w:val="700"/>
        </w:trPr>
        <w:tc>
          <w:tcPr>
            <w:tcW w:w="161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4792F16B"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b/>
                <w:bCs/>
                <w:color w:val="000000"/>
                <w:sz w:val="22"/>
                <w:szCs w:val="22"/>
              </w:rPr>
              <w:t>Visit Maintenance</w:t>
            </w:r>
          </w:p>
        </w:tc>
        <w:tc>
          <w:tcPr>
            <w:tcW w:w="47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445F26"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Providers will be able to conduct visit maintenance for both DDS and DSS in a single screen.</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3903275F"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Standard</w:t>
            </w:r>
          </w:p>
        </w:tc>
      </w:tr>
      <w:tr w:rsidR="00F228AF" w:rsidRPr="00F228AF" w14:paraId="178AC641" w14:textId="77777777" w:rsidTr="005461B0">
        <w:trPr>
          <w:trHeight w:val="1060"/>
        </w:trPr>
        <w:tc>
          <w:tcPr>
            <w:tcW w:w="161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27ED3D37"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b/>
                <w:bCs/>
                <w:color w:val="000000"/>
                <w:sz w:val="22"/>
                <w:szCs w:val="22"/>
              </w:rPr>
              <w:t xml:space="preserve">Exception Reasons </w:t>
            </w:r>
          </w:p>
        </w:tc>
        <w:tc>
          <w:tcPr>
            <w:tcW w:w="47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5239A0"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 xml:space="preserve">The providers systems will be updated to reflect the final DDS exceptions based on final DDS Business rules.  The DDS exceptions can and are expected to be different than the DSS exceptions.  </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14799661"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 xml:space="preserve">The providers systems will be updated to reflect the final DDS exceptions based on final Business rules.  </w:t>
            </w:r>
          </w:p>
        </w:tc>
      </w:tr>
      <w:tr w:rsidR="00F228AF" w:rsidRPr="00F228AF" w14:paraId="00D7EE14" w14:textId="77777777" w:rsidTr="005461B0">
        <w:trPr>
          <w:trHeight w:val="790"/>
        </w:trPr>
        <w:tc>
          <w:tcPr>
            <w:tcW w:w="161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41E47C3D"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b/>
                <w:bCs/>
                <w:color w:val="000000"/>
                <w:sz w:val="22"/>
                <w:szCs w:val="22"/>
              </w:rPr>
              <w:t xml:space="preserve">Training </w:t>
            </w:r>
          </w:p>
        </w:tc>
        <w:tc>
          <w:tcPr>
            <w:tcW w:w="47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7EF4B7" w14:textId="77777777" w:rsidR="00F228AF" w:rsidRPr="00F228AF" w:rsidRDefault="00F228AF" w:rsidP="00F228AF">
            <w:pPr>
              <w:rPr>
                <w:rFonts w:ascii="Times New Roman" w:eastAsia="Calibri" w:hAnsi="Times New Roman"/>
                <w:sz w:val="22"/>
                <w:szCs w:val="22"/>
              </w:rPr>
            </w:pPr>
            <w:proofErr w:type="spellStart"/>
            <w:r w:rsidRPr="00F228AF">
              <w:rPr>
                <w:rFonts w:ascii="Times New Roman" w:eastAsia="Calibri" w:hAnsi="Times New Roman"/>
                <w:color w:val="000000"/>
                <w:sz w:val="22"/>
                <w:szCs w:val="22"/>
              </w:rPr>
              <w:t>Sandata</w:t>
            </w:r>
            <w:proofErr w:type="spellEnd"/>
            <w:r w:rsidRPr="00F228AF">
              <w:rPr>
                <w:rFonts w:ascii="Times New Roman" w:eastAsia="Calibri" w:hAnsi="Times New Roman"/>
                <w:color w:val="000000"/>
                <w:sz w:val="22"/>
                <w:szCs w:val="22"/>
              </w:rPr>
              <w:t xml:space="preserve"> recommends abbreviated webinar trainings for overlap providers to clarify changes in their system due to adding DDS.  </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27F1867" w14:textId="77777777" w:rsidR="00F228AF" w:rsidRPr="00F228AF" w:rsidRDefault="00F228AF" w:rsidP="00F228AF">
            <w:pPr>
              <w:rPr>
                <w:rFonts w:ascii="Times New Roman" w:eastAsia="Calibri" w:hAnsi="Times New Roman"/>
                <w:sz w:val="22"/>
                <w:szCs w:val="22"/>
              </w:rPr>
            </w:pPr>
            <w:r w:rsidRPr="00F228AF">
              <w:rPr>
                <w:rFonts w:ascii="Times New Roman" w:eastAsia="Calibri" w:hAnsi="Times New Roman"/>
                <w:color w:val="000000"/>
                <w:sz w:val="22"/>
                <w:szCs w:val="22"/>
              </w:rPr>
              <w:t xml:space="preserve">Full training required.  </w:t>
            </w:r>
          </w:p>
        </w:tc>
      </w:tr>
    </w:tbl>
    <w:p w14:paraId="76D533C1" w14:textId="77777777" w:rsidR="00F228AF" w:rsidRPr="00F228AF" w:rsidRDefault="00F228AF" w:rsidP="00F228AF">
      <w:pPr>
        <w:spacing w:after="160" w:line="259" w:lineRule="auto"/>
        <w:rPr>
          <w:rFonts w:ascii="Times New Roman" w:eastAsia="Calibri" w:hAnsi="Times New Roman"/>
          <w:sz w:val="22"/>
          <w:szCs w:val="22"/>
          <w:lang w:val="en"/>
        </w:rPr>
      </w:pPr>
    </w:p>
    <w:p w14:paraId="6C2F5FAF" w14:textId="77777777" w:rsidR="00F228AF" w:rsidRPr="00F228AF" w:rsidRDefault="00F228AF" w:rsidP="00F228AF">
      <w:pPr>
        <w:spacing w:after="160" w:line="259" w:lineRule="auto"/>
        <w:rPr>
          <w:rFonts w:ascii="Times New Roman" w:eastAsia="Calibri" w:hAnsi="Times New Roman"/>
          <w:sz w:val="22"/>
          <w:szCs w:val="22"/>
          <w:lang w:val="en"/>
        </w:rPr>
      </w:pPr>
    </w:p>
    <w:p w14:paraId="7076A998" w14:textId="77777777" w:rsidR="00F228AF" w:rsidRPr="00F228AF" w:rsidRDefault="00F228AF" w:rsidP="00F228AF">
      <w:pPr>
        <w:spacing w:after="160" w:line="259" w:lineRule="auto"/>
        <w:rPr>
          <w:rFonts w:ascii="Times New Roman" w:eastAsia="Calibri" w:hAnsi="Times New Roman"/>
          <w:sz w:val="22"/>
          <w:szCs w:val="22"/>
          <w:lang w:val="en"/>
        </w:rPr>
      </w:pPr>
    </w:p>
    <w:p w14:paraId="13551126" w14:textId="77777777" w:rsidR="00F228AF" w:rsidRPr="00F228AF" w:rsidRDefault="00F228AF" w:rsidP="00F228AF">
      <w:pPr>
        <w:spacing w:after="160" w:line="259" w:lineRule="auto"/>
        <w:rPr>
          <w:rFonts w:ascii="Times New Roman" w:eastAsia="Calibri" w:hAnsi="Times New Roman"/>
          <w:sz w:val="22"/>
          <w:szCs w:val="22"/>
          <w:lang w:val="en"/>
        </w:rPr>
      </w:pPr>
    </w:p>
    <w:p w14:paraId="50DA4C6C" w14:textId="77777777" w:rsidR="00DF042F" w:rsidRPr="00DF042F" w:rsidRDefault="00DF042F" w:rsidP="00F228AF">
      <w:pPr>
        <w:spacing w:after="160" w:line="259" w:lineRule="auto"/>
        <w:rPr>
          <w:rFonts w:ascii="Times New Roman" w:eastAsia="Calibri" w:hAnsi="Times New Roman"/>
          <w:sz w:val="22"/>
          <w:szCs w:val="22"/>
          <w:lang w:val="en"/>
        </w:rPr>
      </w:pPr>
    </w:p>
    <w:p w14:paraId="417FAC0E" w14:textId="1CC51C45" w:rsidR="00F228AF" w:rsidRPr="00F228AF" w:rsidRDefault="00F228AF" w:rsidP="00F228AF">
      <w:pPr>
        <w:spacing w:after="160" w:line="259" w:lineRule="auto"/>
        <w:rPr>
          <w:rFonts w:ascii="Times New Roman" w:eastAsia="Calibri" w:hAnsi="Times New Roman"/>
          <w:sz w:val="22"/>
          <w:szCs w:val="22"/>
          <w:lang w:val="en"/>
        </w:rPr>
      </w:pPr>
      <w:r w:rsidRPr="00F228AF">
        <w:rPr>
          <w:rFonts w:ascii="Times New Roman" w:eastAsia="Calibri" w:hAnsi="Times New Roman"/>
          <w:sz w:val="22"/>
          <w:szCs w:val="22"/>
          <w:lang w:val="en"/>
        </w:rPr>
        <w:t xml:space="preserve">Instructions: </w:t>
      </w:r>
    </w:p>
    <w:p w14:paraId="59F87957" w14:textId="77777777" w:rsidR="00F228AF" w:rsidRPr="00F228AF" w:rsidRDefault="00F228AF" w:rsidP="00F228AF">
      <w:pPr>
        <w:numPr>
          <w:ilvl w:val="0"/>
          <w:numId w:val="17"/>
        </w:numPr>
        <w:spacing w:after="160" w:line="259" w:lineRule="auto"/>
        <w:contextualSpacing/>
        <w:rPr>
          <w:rFonts w:ascii="Times New Roman" w:eastAsia="Calibri" w:hAnsi="Times New Roman"/>
          <w:sz w:val="22"/>
          <w:szCs w:val="22"/>
          <w:lang w:val="en"/>
        </w:rPr>
      </w:pPr>
      <w:r w:rsidRPr="00F228AF">
        <w:rPr>
          <w:rFonts w:ascii="Times New Roman" w:eastAsia="Calibri" w:hAnsi="Times New Roman"/>
          <w:sz w:val="22"/>
          <w:szCs w:val="22"/>
          <w:lang w:val="en"/>
        </w:rPr>
        <w:t>Enter applicable text in the light blue shaded boxes</w:t>
      </w:r>
    </w:p>
    <w:p w14:paraId="2C53D9CB" w14:textId="77777777" w:rsidR="00F228AF" w:rsidRPr="00F228AF" w:rsidRDefault="00F228AF" w:rsidP="00F228AF">
      <w:pPr>
        <w:numPr>
          <w:ilvl w:val="0"/>
          <w:numId w:val="17"/>
        </w:numPr>
        <w:spacing w:after="160" w:line="259" w:lineRule="auto"/>
        <w:contextualSpacing/>
        <w:rPr>
          <w:rFonts w:ascii="Times New Roman" w:eastAsia="Calibri" w:hAnsi="Times New Roman"/>
          <w:sz w:val="22"/>
          <w:szCs w:val="22"/>
          <w:lang w:val="en"/>
        </w:rPr>
      </w:pPr>
      <w:r w:rsidRPr="00F228AF">
        <w:rPr>
          <w:rFonts w:ascii="Times New Roman" w:eastAsia="Calibri" w:hAnsi="Times New Roman"/>
          <w:sz w:val="22"/>
          <w:szCs w:val="22"/>
          <w:lang w:val="en"/>
        </w:rPr>
        <w:t>Click applicable check boxes</w:t>
      </w:r>
    </w:p>
    <w:p w14:paraId="27D71CC3" w14:textId="77777777" w:rsidR="00F228AF" w:rsidRPr="00F228AF" w:rsidRDefault="00F228AF" w:rsidP="00F228AF">
      <w:pPr>
        <w:numPr>
          <w:ilvl w:val="0"/>
          <w:numId w:val="17"/>
        </w:numPr>
        <w:spacing w:after="160" w:line="259" w:lineRule="auto"/>
        <w:contextualSpacing/>
        <w:rPr>
          <w:rFonts w:ascii="Times New Roman" w:eastAsia="Calibri" w:hAnsi="Times New Roman"/>
          <w:sz w:val="22"/>
          <w:szCs w:val="22"/>
          <w:lang w:val="en"/>
        </w:rPr>
      </w:pPr>
      <w:r w:rsidRPr="00F228AF">
        <w:rPr>
          <w:rFonts w:ascii="Times New Roman" w:eastAsia="Calibri" w:hAnsi="Times New Roman"/>
          <w:sz w:val="22"/>
          <w:szCs w:val="22"/>
          <w:lang w:val="en"/>
        </w:rPr>
        <w:t>Executive Director reviews the EVV System Differences Grid</w:t>
      </w:r>
    </w:p>
    <w:p w14:paraId="02771A6B" w14:textId="77777777" w:rsidR="00F228AF" w:rsidRPr="00F228AF" w:rsidRDefault="00F228AF" w:rsidP="00F228AF">
      <w:pPr>
        <w:numPr>
          <w:ilvl w:val="0"/>
          <w:numId w:val="17"/>
        </w:numPr>
        <w:spacing w:after="160" w:line="259" w:lineRule="auto"/>
        <w:contextualSpacing/>
        <w:rPr>
          <w:rFonts w:ascii="Times New Roman" w:eastAsia="Calibri" w:hAnsi="Times New Roman"/>
          <w:sz w:val="22"/>
          <w:szCs w:val="22"/>
          <w:lang w:val="en"/>
        </w:rPr>
      </w:pPr>
      <w:r w:rsidRPr="00F228AF">
        <w:rPr>
          <w:rFonts w:ascii="Times New Roman" w:eastAsia="Calibri" w:hAnsi="Times New Roman"/>
          <w:sz w:val="22"/>
          <w:szCs w:val="22"/>
          <w:lang w:val="en"/>
        </w:rPr>
        <w:t>The Executive Director signs and dates the form</w:t>
      </w:r>
    </w:p>
    <w:p w14:paraId="2E3D297A" w14:textId="77777777" w:rsidR="00F228AF" w:rsidRPr="00F228AF" w:rsidRDefault="00F228AF" w:rsidP="00F228AF">
      <w:pPr>
        <w:numPr>
          <w:ilvl w:val="0"/>
          <w:numId w:val="17"/>
        </w:numPr>
        <w:spacing w:after="160" w:line="259" w:lineRule="auto"/>
        <w:contextualSpacing/>
        <w:rPr>
          <w:rFonts w:ascii="Times New Roman" w:eastAsia="Calibri" w:hAnsi="Times New Roman"/>
          <w:sz w:val="22"/>
          <w:szCs w:val="22"/>
          <w:lang w:val="en"/>
        </w:rPr>
      </w:pPr>
      <w:r w:rsidRPr="00F228AF">
        <w:rPr>
          <w:rFonts w:ascii="Times New Roman" w:eastAsia="Calibri" w:hAnsi="Times New Roman"/>
          <w:sz w:val="22"/>
          <w:szCs w:val="22"/>
          <w:lang w:val="en"/>
        </w:rPr>
        <w:t xml:space="preserve">Email the form to the following email address: </w:t>
      </w:r>
      <w:hyperlink r:id="rId13" w:history="1">
        <w:r w:rsidRPr="00F228AF">
          <w:rPr>
            <w:rFonts w:ascii="Times New Roman" w:eastAsia="Calibri" w:hAnsi="Times New Roman"/>
            <w:color w:val="0563C1"/>
            <w:sz w:val="22"/>
            <w:szCs w:val="22"/>
            <w:u w:val="single"/>
          </w:rPr>
          <w:t>ctddsdeclaration@sandata.com</w:t>
        </w:r>
      </w:hyperlink>
      <w:r w:rsidRPr="00F228AF">
        <w:rPr>
          <w:rFonts w:ascii="Times New Roman" w:eastAsia="Calibri" w:hAnsi="Times New Roman"/>
          <w:sz w:val="22"/>
          <w:szCs w:val="22"/>
        </w:rPr>
        <w:t xml:space="preserve"> </w:t>
      </w:r>
    </w:p>
    <w:p w14:paraId="7B6D0669" w14:textId="77777777" w:rsidR="00F228AF" w:rsidRPr="00F228AF" w:rsidRDefault="00F228AF" w:rsidP="00F228AF">
      <w:pPr>
        <w:spacing w:after="160" w:line="259" w:lineRule="auto"/>
        <w:rPr>
          <w:rFonts w:ascii="Times New Roman" w:eastAsia="Calibri" w:hAnsi="Times New Roman"/>
          <w:sz w:val="22"/>
          <w:szCs w:val="22"/>
        </w:rPr>
      </w:pPr>
    </w:p>
    <w:tbl>
      <w:tblPr>
        <w:tblStyle w:val="TableGrid1"/>
        <w:tblpPr w:leftFromText="180" w:rightFromText="180" w:vertAnchor="text" w:horzAnchor="margin" w:tblpXSpec="right" w:tblpY="-27"/>
        <w:tblW w:w="84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7"/>
      </w:tblGrid>
      <w:tr w:rsidR="00F228AF" w:rsidRPr="00F228AF" w14:paraId="1601C689" w14:textId="77777777" w:rsidTr="00DF042F">
        <w:tc>
          <w:tcPr>
            <w:tcW w:w="8437" w:type="dxa"/>
            <w:tcBorders>
              <w:bottom w:val="single" w:sz="4" w:space="0" w:color="auto"/>
            </w:tcBorders>
            <w:shd w:val="clear" w:color="auto" w:fill="DEEAF6"/>
          </w:tcPr>
          <w:p w14:paraId="209BD9DD" w14:textId="77777777" w:rsidR="00F228AF" w:rsidRPr="00F228AF" w:rsidRDefault="00F228AF" w:rsidP="00F228AF">
            <w:pPr>
              <w:tabs>
                <w:tab w:val="left" w:pos="210"/>
                <w:tab w:val="left" w:pos="3300"/>
              </w:tabs>
              <w:rPr>
                <w:rFonts w:ascii="Times New Roman" w:hAnsi="Times New Roman"/>
                <w:b/>
                <w:sz w:val="22"/>
              </w:rPr>
            </w:pPr>
            <w:r w:rsidRPr="00F228AF">
              <w:rPr>
                <w:rFonts w:ascii="Times New Roman" w:hAnsi="Times New Roman"/>
                <w:b/>
                <w:sz w:val="22"/>
              </w:rPr>
              <w:tab/>
            </w:r>
          </w:p>
        </w:tc>
      </w:tr>
    </w:tbl>
    <w:p w14:paraId="5D2A21AD" w14:textId="77777777" w:rsidR="00F228AF" w:rsidRPr="00F228AF" w:rsidRDefault="00F228AF" w:rsidP="00DF042F">
      <w:pPr>
        <w:spacing w:after="160" w:line="259" w:lineRule="auto"/>
        <w:rPr>
          <w:rFonts w:ascii="Times New Roman" w:eastAsia="Calibri" w:hAnsi="Times New Roman"/>
          <w:sz w:val="22"/>
          <w:szCs w:val="22"/>
        </w:rPr>
      </w:pPr>
      <w:r w:rsidRPr="00F228AF">
        <w:rPr>
          <w:rFonts w:ascii="Times New Roman" w:eastAsia="Calibri" w:hAnsi="Times New Roman"/>
          <w:sz w:val="22"/>
          <w:szCs w:val="22"/>
        </w:rPr>
        <w:t xml:space="preserve">As Executive Director of </w:t>
      </w:r>
    </w:p>
    <w:p w14:paraId="345AD49F" w14:textId="77777777" w:rsidR="00F228AF" w:rsidRPr="00F228AF" w:rsidRDefault="00E96DD7" w:rsidP="00F228AF">
      <w:pPr>
        <w:numPr>
          <w:ilvl w:val="0"/>
          <w:numId w:val="16"/>
        </w:numPr>
        <w:spacing w:after="160" w:line="259" w:lineRule="auto"/>
        <w:contextualSpacing/>
        <w:rPr>
          <w:rFonts w:ascii="Times New Roman" w:eastAsia="Calibri" w:hAnsi="Times New Roman"/>
          <w:sz w:val="22"/>
          <w:szCs w:val="22"/>
        </w:rPr>
      </w:pPr>
      <w:sdt>
        <w:sdtPr>
          <w:rPr>
            <w:rFonts w:ascii="Times New Roman" w:eastAsia="Calibri" w:hAnsi="Times New Roman"/>
            <w:sz w:val="22"/>
            <w:szCs w:val="22"/>
          </w:rPr>
          <w:id w:val="678229684"/>
          <w14:checkbox>
            <w14:checked w14:val="0"/>
            <w14:checkedState w14:val="2612" w14:font="MS Gothic"/>
            <w14:uncheckedState w14:val="2610" w14:font="MS Gothic"/>
          </w14:checkbox>
        </w:sdtPr>
        <w:sdtEndPr/>
        <w:sdtContent>
          <w:r w:rsidR="00F228AF" w:rsidRPr="00F228AF">
            <w:rPr>
              <w:rFonts w:ascii="Segoe UI Symbol" w:eastAsia="Calibri" w:hAnsi="Segoe UI Symbol" w:cs="Segoe UI Symbol"/>
              <w:sz w:val="22"/>
              <w:szCs w:val="22"/>
            </w:rPr>
            <w:t>☐</w:t>
          </w:r>
        </w:sdtContent>
      </w:sdt>
      <w:r w:rsidR="00F228AF" w:rsidRPr="00F228AF">
        <w:rPr>
          <w:rFonts w:ascii="Times New Roman" w:eastAsia="Calibri" w:hAnsi="Times New Roman"/>
          <w:sz w:val="22"/>
          <w:szCs w:val="22"/>
        </w:rPr>
        <w:t xml:space="preserve"> I declare that my agency does not currently utilize Electronic Visit Verification (EVV). </w:t>
      </w:r>
    </w:p>
    <w:p w14:paraId="1B9BAB62" w14:textId="77777777" w:rsidR="00F228AF" w:rsidRPr="00F228AF" w:rsidRDefault="00F228AF" w:rsidP="00F228AF">
      <w:pPr>
        <w:spacing w:after="160" w:line="259" w:lineRule="auto"/>
        <w:ind w:left="1440"/>
        <w:contextualSpacing/>
        <w:rPr>
          <w:rFonts w:ascii="Times New Roman" w:eastAsia="Calibri" w:hAnsi="Times New Roman"/>
          <w:sz w:val="22"/>
          <w:szCs w:val="22"/>
        </w:rPr>
      </w:pPr>
      <w:r w:rsidRPr="00F228AF">
        <w:rPr>
          <w:rFonts w:ascii="Times New Roman" w:eastAsia="Calibri" w:hAnsi="Times New Roman"/>
          <w:sz w:val="22"/>
          <w:szCs w:val="22"/>
        </w:rPr>
        <w:t>By clicking above, I state that my agency is not currently required to enter EVV data using the SAM system. I understand that my agency will use the DDS EVV Portal to enter EVV data.</w:t>
      </w:r>
    </w:p>
    <w:p w14:paraId="3E0A9D5A" w14:textId="77777777" w:rsidR="00F228AF" w:rsidRPr="00F228AF" w:rsidRDefault="00E96DD7" w:rsidP="00F228AF">
      <w:pPr>
        <w:numPr>
          <w:ilvl w:val="0"/>
          <w:numId w:val="16"/>
        </w:numPr>
        <w:spacing w:after="160" w:line="259" w:lineRule="auto"/>
        <w:contextualSpacing/>
        <w:rPr>
          <w:rFonts w:ascii="Times New Roman" w:eastAsia="Calibri" w:hAnsi="Times New Roman"/>
          <w:sz w:val="22"/>
          <w:szCs w:val="22"/>
        </w:rPr>
      </w:pPr>
      <w:sdt>
        <w:sdtPr>
          <w:rPr>
            <w:rFonts w:ascii="Times New Roman" w:eastAsia="MS Gothic" w:hAnsi="Times New Roman"/>
            <w:sz w:val="22"/>
            <w:szCs w:val="22"/>
          </w:rPr>
          <w:id w:val="110870394"/>
          <w14:checkbox>
            <w14:checked w14:val="0"/>
            <w14:checkedState w14:val="2612" w14:font="MS Gothic"/>
            <w14:uncheckedState w14:val="2610" w14:font="MS Gothic"/>
          </w14:checkbox>
        </w:sdtPr>
        <w:sdtEndPr/>
        <w:sdtContent>
          <w:r w:rsidR="00F228AF" w:rsidRPr="00F228AF">
            <w:rPr>
              <w:rFonts w:ascii="Segoe UI Symbol" w:eastAsia="MS Gothic" w:hAnsi="Segoe UI Symbol" w:cs="Segoe UI Symbol"/>
              <w:sz w:val="22"/>
              <w:szCs w:val="22"/>
            </w:rPr>
            <w:t>☐</w:t>
          </w:r>
        </w:sdtContent>
      </w:sdt>
      <w:r w:rsidR="00F228AF" w:rsidRPr="00F228AF">
        <w:rPr>
          <w:rFonts w:ascii="Times New Roman" w:eastAsia="Calibri" w:hAnsi="Times New Roman"/>
          <w:sz w:val="22"/>
          <w:szCs w:val="22"/>
        </w:rPr>
        <w:t xml:space="preserve"> I declare that my agency is currently required to utilize the EVV SAM system. </w:t>
      </w:r>
    </w:p>
    <w:p w14:paraId="38435BDD" w14:textId="77777777" w:rsidR="00F228AF" w:rsidRPr="00F228AF" w:rsidRDefault="00E96DD7" w:rsidP="00F228AF">
      <w:pPr>
        <w:numPr>
          <w:ilvl w:val="0"/>
          <w:numId w:val="18"/>
        </w:numPr>
        <w:spacing w:after="160" w:line="259" w:lineRule="auto"/>
        <w:contextualSpacing/>
        <w:rPr>
          <w:rFonts w:ascii="Times New Roman" w:eastAsia="Calibri" w:hAnsi="Times New Roman"/>
          <w:sz w:val="22"/>
          <w:szCs w:val="22"/>
        </w:rPr>
      </w:pPr>
      <w:sdt>
        <w:sdtPr>
          <w:rPr>
            <w:rFonts w:ascii="Times New Roman" w:eastAsia="MS Gothic" w:hAnsi="Times New Roman"/>
            <w:sz w:val="22"/>
            <w:szCs w:val="22"/>
          </w:rPr>
          <w:id w:val="-628780360"/>
          <w14:checkbox>
            <w14:checked w14:val="0"/>
            <w14:checkedState w14:val="2612" w14:font="MS Gothic"/>
            <w14:uncheckedState w14:val="2610" w14:font="MS Gothic"/>
          </w14:checkbox>
        </w:sdtPr>
        <w:sdtEndPr/>
        <w:sdtContent>
          <w:r w:rsidR="00F228AF" w:rsidRPr="00F228AF">
            <w:rPr>
              <w:rFonts w:ascii="Segoe UI Symbol" w:eastAsia="MS Gothic" w:hAnsi="Segoe UI Symbol" w:cs="Segoe UI Symbol"/>
              <w:sz w:val="22"/>
              <w:szCs w:val="22"/>
            </w:rPr>
            <w:t>☐</w:t>
          </w:r>
        </w:sdtContent>
      </w:sdt>
      <w:r w:rsidR="00F228AF" w:rsidRPr="00F228AF">
        <w:rPr>
          <w:rFonts w:ascii="Times New Roman" w:eastAsia="MS Gothic" w:hAnsi="Times New Roman"/>
          <w:sz w:val="22"/>
          <w:szCs w:val="22"/>
        </w:rPr>
        <w:tab/>
      </w:r>
      <w:r w:rsidR="00F228AF" w:rsidRPr="00F228AF">
        <w:rPr>
          <w:rFonts w:ascii="Times New Roman" w:eastAsia="Calibri" w:hAnsi="Times New Roman"/>
          <w:sz w:val="22"/>
          <w:szCs w:val="22"/>
        </w:rPr>
        <w:t xml:space="preserve">My agency will continue using the SAM system to enter EVV data for non-DDS and DDS services. </w:t>
      </w:r>
    </w:p>
    <w:p w14:paraId="0B2802C8" w14:textId="77777777" w:rsidR="00F228AF" w:rsidRPr="00F228AF" w:rsidRDefault="00E96DD7" w:rsidP="00F228AF">
      <w:pPr>
        <w:numPr>
          <w:ilvl w:val="0"/>
          <w:numId w:val="18"/>
        </w:numPr>
        <w:spacing w:after="160" w:line="259" w:lineRule="auto"/>
        <w:contextualSpacing/>
        <w:rPr>
          <w:rFonts w:ascii="Times New Roman" w:eastAsia="Calibri" w:hAnsi="Times New Roman"/>
          <w:sz w:val="22"/>
          <w:szCs w:val="22"/>
        </w:rPr>
      </w:pPr>
      <w:sdt>
        <w:sdtPr>
          <w:rPr>
            <w:rFonts w:ascii="Times New Roman" w:eastAsia="Calibri" w:hAnsi="Times New Roman"/>
            <w:sz w:val="22"/>
            <w:szCs w:val="22"/>
          </w:rPr>
          <w:id w:val="995232732"/>
          <w14:checkbox>
            <w14:checked w14:val="0"/>
            <w14:checkedState w14:val="2612" w14:font="MS Gothic"/>
            <w14:uncheckedState w14:val="2610" w14:font="MS Gothic"/>
          </w14:checkbox>
        </w:sdtPr>
        <w:sdtEndPr/>
        <w:sdtContent>
          <w:r w:rsidR="00F228AF" w:rsidRPr="00F228AF">
            <w:rPr>
              <w:rFonts w:ascii="Segoe UI Symbol" w:eastAsia="Calibri" w:hAnsi="Segoe UI Symbol" w:cs="Segoe UI Symbol"/>
              <w:sz w:val="22"/>
              <w:szCs w:val="22"/>
            </w:rPr>
            <w:t>☐</w:t>
          </w:r>
        </w:sdtContent>
      </w:sdt>
      <w:r w:rsidR="00F228AF" w:rsidRPr="00F228AF">
        <w:rPr>
          <w:rFonts w:ascii="Times New Roman" w:eastAsia="Calibri" w:hAnsi="Times New Roman"/>
          <w:sz w:val="22"/>
          <w:szCs w:val="22"/>
        </w:rPr>
        <w:tab/>
        <w:t xml:space="preserve">My agency will use two different systems to enter EVV data; the SAM system for non-DDS services and the DDS EVV Portal for DDS services. I understand that it is my agency’s responsibility to manage both systems so that EVV data is entered accurately and on time.  </w:t>
      </w:r>
    </w:p>
    <w:p w14:paraId="18FF6FCD" w14:textId="77777777" w:rsidR="00F228AF" w:rsidRPr="00F228AF" w:rsidRDefault="00F228AF" w:rsidP="00F228AF">
      <w:pPr>
        <w:spacing w:after="160" w:line="259" w:lineRule="auto"/>
        <w:rPr>
          <w:rFonts w:ascii="Times New Roman" w:eastAsia="Calibri" w:hAnsi="Times New Roman"/>
          <w:b/>
          <w:sz w:val="22"/>
          <w:szCs w:val="22"/>
        </w:rPr>
      </w:pPr>
    </w:p>
    <w:p w14:paraId="1A70C758" w14:textId="77777777" w:rsidR="00F228AF" w:rsidRPr="00F228AF" w:rsidRDefault="00F228AF" w:rsidP="00F228AF">
      <w:pPr>
        <w:spacing w:after="160" w:line="259" w:lineRule="auto"/>
        <w:rPr>
          <w:rFonts w:ascii="Times New Roman" w:eastAsia="Calibri" w:hAnsi="Times New Roman"/>
          <w:sz w:val="22"/>
          <w:szCs w:val="22"/>
        </w:rPr>
      </w:pPr>
    </w:p>
    <w:p w14:paraId="739C3376" w14:textId="77777777" w:rsidR="00F228AF" w:rsidRPr="00F228AF" w:rsidRDefault="00F228AF" w:rsidP="00F228AF">
      <w:pPr>
        <w:spacing w:after="160" w:line="259" w:lineRule="auto"/>
        <w:rPr>
          <w:rFonts w:ascii="Times New Roman" w:eastAsia="Calibri" w:hAnsi="Times New Roman"/>
          <w:sz w:val="22"/>
          <w:szCs w:val="22"/>
        </w:rPr>
      </w:pPr>
    </w:p>
    <w:p w14:paraId="4A6F346C" w14:textId="77777777" w:rsidR="00F228AF" w:rsidRPr="00F228AF" w:rsidRDefault="00F228AF" w:rsidP="00F228AF">
      <w:pPr>
        <w:spacing w:after="160" w:line="259" w:lineRule="auto"/>
        <w:rPr>
          <w:rFonts w:ascii="Times New Roman" w:eastAsia="Calibri" w:hAnsi="Times New Roman"/>
          <w:sz w:val="22"/>
          <w:szCs w:val="22"/>
        </w:rPr>
      </w:pPr>
      <w:r w:rsidRPr="00F228AF">
        <w:rPr>
          <w:rFonts w:ascii="Times New Roman" w:eastAsia="Calibri" w:hAnsi="Times New Roman"/>
          <w:sz w:val="22"/>
          <w:szCs w:val="22"/>
        </w:rPr>
        <w:tab/>
      </w:r>
    </w:p>
    <w:tbl>
      <w:tblPr>
        <w:tblStyle w:val="TableGrid1"/>
        <w:tblpPr w:leftFromText="180" w:rightFromText="180" w:vertAnchor="text" w:horzAnchor="margin" w:tblpY="4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2965"/>
      </w:tblGrid>
      <w:tr w:rsidR="00F228AF" w:rsidRPr="00DF042F" w14:paraId="3B24DF62" w14:textId="77777777" w:rsidTr="00F228AF">
        <w:tc>
          <w:tcPr>
            <w:tcW w:w="7830" w:type="dxa"/>
            <w:tcBorders>
              <w:right w:val="nil"/>
            </w:tcBorders>
            <w:shd w:val="clear" w:color="auto" w:fill="DEEAF6"/>
          </w:tcPr>
          <w:p w14:paraId="273AE522" w14:textId="77777777" w:rsidR="00F228AF" w:rsidRPr="00F228AF" w:rsidRDefault="00F228AF" w:rsidP="00F228AF">
            <w:pPr>
              <w:rPr>
                <w:rFonts w:ascii="Times New Roman" w:hAnsi="Times New Roman"/>
                <w:sz w:val="22"/>
              </w:rPr>
            </w:pPr>
          </w:p>
        </w:tc>
        <w:sdt>
          <w:sdtPr>
            <w:rPr>
              <w:rFonts w:ascii="Times New Roman" w:hAnsi="Times New Roman"/>
              <w:sz w:val="22"/>
            </w:rPr>
            <w:id w:val="-338541510"/>
            <w:placeholder>
              <w:docPart w:val="7E7526F478D5442FB5FB2410CE1A7E2F"/>
            </w:placeholder>
            <w:showingPlcHdr/>
            <w15:color w:val="FF00FF"/>
            <w:date>
              <w:dateFormat w:val="M/d/yyyy"/>
              <w:lid w:val="en-US"/>
              <w:storeMappedDataAs w:val="dateTime"/>
              <w:calendar w:val="gregorian"/>
            </w:date>
          </w:sdtPr>
          <w:sdtEndPr/>
          <w:sdtContent>
            <w:tc>
              <w:tcPr>
                <w:tcW w:w="2965" w:type="dxa"/>
                <w:tcBorders>
                  <w:top w:val="nil"/>
                  <w:left w:val="nil"/>
                  <w:bottom w:val="single" w:sz="4" w:space="0" w:color="auto"/>
                  <w:right w:val="nil"/>
                </w:tcBorders>
                <w:shd w:val="clear" w:color="auto" w:fill="DEEAF6"/>
              </w:tcPr>
              <w:p w14:paraId="19751149" w14:textId="77777777" w:rsidR="00F228AF" w:rsidRPr="00F228AF" w:rsidRDefault="00F228AF" w:rsidP="00F228AF">
                <w:pPr>
                  <w:rPr>
                    <w:rFonts w:ascii="Times New Roman" w:hAnsi="Times New Roman"/>
                    <w:sz w:val="22"/>
                  </w:rPr>
                </w:pPr>
                <w:r w:rsidRPr="00F228AF">
                  <w:rPr>
                    <w:rFonts w:ascii="Times New Roman" w:hAnsi="Times New Roman"/>
                    <w:color w:val="808080"/>
                    <w:sz w:val="22"/>
                  </w:rPr>
                  <w:t>Click or tap to enter a date.</w:t>
                </w:r>
              </w:p>
            </w:tc>
          </w:sdtContent>
        </w:sdt>
      </w:tr>
    </w:tbl>
    <w:p w14:paraId="109A7F7B" w14:textId="77777777" w:rsidR="00F228AF" w:rsidRPr="00F228AF" w:rsidRDefault="00F228AF" w:rsidP="00F228AF">
      <w:pPr>
        <w:spacing w:after="160" w:line="259" w:lineRule="auto"/>
        <w:rPr>
          <w:rFonts w:ascii="Times New Roman" w:eastAsia="Calibri" w:hAnsi="Times New Roman"/>
          <w:sz w:val="22"/>
          <w:szCs w:val="22"/>
        </w:rPr>
      </w:pPr>
      <w:r w:rsidRPr="00F228AF">
        <w:rPr>
          <w:rFonts w:ascii="Times New Roman" w:eastAsia="Calibri" w:hAnsi="Times New Roman"/>
          <w:sz w:val="22"/>
          <w:szCs w:val="22"/>
        </w:rPr>
        <w:t xml:space="preserve"> </w:t>
      </w:r>
      <w:r w:rsidRPr="00F228AF">
        <w:rPr>
          <w:rFonts w:ascii="Times New Roman" w:eastAsia="Calibri" w:hAnsi="Times New Roman"/>
          <w:sz w:val="22"/>
          <w:szCs w:val="22"/>
        </w:rPr>
        <w:tab/>
      </w:r>
      <w:r w:rsidRPr="00F228AF">
        <w:rPr>
          <w:rFonts w:ascii="Times New Roman" w:eastAsia="Calibri" w:hAnsi="Times New Roman"/>
          <w:sz w:val="22"/>
          <w:szCs w:val="22"/>
        </w:rPr>
        <w:tab/>
      </w:r>
      <w:r w:rsidRPr="00F228AF">
        <w:rPr>
          <w:rFonts w:ascii="Times New Roman" w:eastAsia="Calibri" w:hAnsi="Times New Roman"/>
          <w:sz w:val="22"/>
          <w:szCs w:val="22"/>
        </w:rPr>
        <w:tab/>
      </w:r>
      <w:r w:rsidRPr="00F228AF">
        <w:rPr>
          <w:rFonts w:ascii="Times New Roman" w:eastAsia="Calibri" w:hAnsi="Times New Roman"/>
          <w:sz w:val="22"/>
          <w:szCs w:val="22"/>
        </w:rPr>
        <w:tab/>
      </w:r>
    </w:p>
    <w:p w14:paraId="6AADAD07" w14:textId="12195319" w:rsidR="00F228AF" w:rsidRPr="00DF042F" w:rsidRDefault="00F228AF" w:rsidP="00F228AF">
      <w:pPr>
        <w:rPr>
          <w:rFonts w:ascii="Times New Roman" w:hAnsi="Times New Roman"/>
          <w:sz w:val="22"/>
          <w:szCs w:val="22"/>
        </w:rPr>
      </w:pPr>
      <w:r w:rsidRPr="00DF042F">
        <w:rPr>
          <w:rFonts w:ascii="Times New Roman" w:eastAsia="Calibri" w:hAnsi="Times New Roman"/>
          <w:sz w:val="22"/>
          <w:szCs w:val="22"/>
        </w:rPr>
        <w:t>Executive Director Signature</w:t>
      </w:r>
      <w:r w:rsidRPr="00DF042F">
        <w:rPr>
          <w:rFonts w:ascii="Times New Roman" w:eastAsia="Calibri" w:hAnsi="Times New Roman"/>
          <w:sz w:val="22"/>
          <w:szCs w:val="22"/>
        </w:rPr>
        <w:tab/>
      </w:r>
      <w:r w:rsidRPr="00DF042F">
        <w:rPr>
          <w:rFonts w:ascii="Times New Roman" w:eastAsia="Calibri" w:hAnsi="Times New Roman"/>
          <w:sz w:val="22"/>
          <w:szCs w:val="22"/>
        </w:rPr>
        <w:tab/>
      </w:r>
    </w:p>
    <w:sectPr w:rsidR="00F228AF" w:rsidRPr="00DF042F" w:rsidSect="00F228AF">
      <w:headerReference w:type="first" r:id="rId14"/>
      <w:footerReference w:type="firs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38E11" w14:textId="77777777" w:rsidR="00794C3A" w:rsidRDefault="00794C3A">
      <w:r>
        <w:separator/>
      </w:r>
    </w:p>
  </w:endnote>
  <w:endnote w:type="continuationSeparator" w:id="0">
    <w:p w14:paraId="4B71BF16" w14:textId="77777777" w:rsidR="00794C3A" w:rsidRDefault="0079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B116" w14:textId="77777777" w:rsidR="00410EA5" w:rsidRPr="00366F02" w:rsidRDefault="00410EA5">
    <w:pPr>
      <w:jc w:val="center"/>
      <w:rPr>
        <w:rFonts w:ascii="Garamond" w:hAnsi="Garamond"/>
        <w:color w:val="0000FF"/>
        <w:sz w:val="22"/>
      </w:rPr>
    </w:pPr>
    <w:r w:rsidRPr="00366F02">
      <w:rPr>
        <w:rFonts w:ascii="Garamond" w:hAnsi="Garamond"/>
        <w:color w:val="0000FF"/>
        <w:sz w:val="22"/>
      </w:rPr>
      <w:t xml:space="preserve">Phone: 860 418-6000 </w:t>
    </w:r>
    <w:r w:rsidRPr="00366F02">
      <w:rPr>
        <w:rFonts w:ascii="Wingdings" w:hAnsi="Wingdings"/>
        <w:color w:val="0000FF"/>
        <w:sz w:val="22"/>
      </w:rPr>
      <w:t></w:t>
    </w:r>
    <w:r w:rsidRPr="00366F02">
      <w:rPr>
        <w:rFonts w:ascii="Garamond" w:hAnsi="Garamond"/>
        <w:color w:val="0000FF"/>
        <w:sz w:val="22"/>
      </w:rPr>
      <w:t xml:space="preserve"> TDD 860 418-6079 </w:t>
    </w:r>
    <w:r w:rsidRPr="00366F02">
      <w:rPr>
        <w:rFonts w:ascii="Wingdings" w:hAnsi="Wingdings"/>
        <w:color w:val="0000FF"/>
        <w:sz w:val="22"/>
      </w:rPr>
      <w:t></w:t>
    </w:r>
    <w:r w:rsidRPr="00366F02">
      <w:rPr>
        <w:rFonts w:ascii="Garamond" w:hAnsi="Garamond"/>
        <w:color w:val="0000FF"/>
        <w:sz w:val="22"/>
      </w:rPr>
      <w:t xml:space="preserve"> Fax: 860 418-6001 </w:t>
    </w:r>
  </w:p>
  <w:p w14:paraId="524B5F59" w14:textId="77777777" w:rsidR="00410EA5" w:rsidRPr="00366F02" w:rsidRDefault="00410EA5">
    <w:pPr>
      <w:jc w:val="center"/>
      <w:rPr>
        <w:rFonts w:ascii="Garamond" w:hAnsi="Garamond"/>
        <w:color w:val="0000FF"/>
        <w:sz w:val="22"/>
      </w:rPr>
    </w:pPr>
    <w:r w:rsidRPr="00366F02">
      <w:rPr>
        <w:rFonts w:ascii="Garamond" w:hAnsi="Garamond"/>
        <w:color w:val="0000FF"/>
        <w:sz w:val="22"/>
      </w:rPr>
      <w:t xml:space="preserve">460 Capitol Avenue </w:t>
    </w:r>
    <w:r w:rsidRPr="00366F02">
      <w:rPr>
        <w:rFonts w:ascii="Wingdings" w:hAnsi="Wingdings"/>
        <w:color w:val="0000FF"/>
        <w:sz w:val="22"/>
      </w:rPr>
      <w:t></w:t>
    </w:r>
    <w:r w:rsidRPr="00366F02">
      <w:rPr>
        <w:rFonts w:ascii="Garamond" w:hAnsi="Garamond"/>
        <w:color w:val="0000FF"/>
        <w:sz w:val="22"/>
      </w:rPr>
      <w:t xml:space="preserve"> Hartford, Connecticut 06106</w:t>
    </w:r>
  </w:p>
  <w:p w14:paraId="3095C8AD" w14:textId="77777777" w:rsidR="00410EA5" w:rsidRPr="00366F02" w:rsidRDefault="00E96DD7">
    <w:pPr>
      <w:jc w:val="center"/>
      <w:rPr>
        <w:rFonts w:ascii="Garamond" w:hAnsi="Garamond"/>
        <w:color w:val="0000FF"/>
        <w:sz w:val="22"/>
      </w:rPr>
    </w:pPr>
    <w:hyperlink r:id="rId1" w:history="1">
      <w:r w:rsidR="00410EA5" w:rsidRPr="00366F02">
        <w:rPr>
          <w:rStyle w:val="Hyperlink"/>
          <w:rFonts w:ascii="Garamond" w:hAnsi="Garamond"/>
          <w:sz w:val="22"/>
        </w:rPr>
        <w:t>www.ct.gov/dds</w:t>
      </w:r>
    </w:hyperlink>
    <w:r w:rsidR="00410EA5" w:rsidRPr="00366F02">
      <w:rPr>
        <w:rFonts w:ascii="Garamond" w:hAnsi="Garamond"/>
        <w:color w:val="0000FF"/>
        <w:sz w:val="22"/>
      </w:rPr>
      <w:t xml:space="preserve"> </w:t>
    </w:r>
    <w:r w:rsidR="00410EA5" w:rsidRPr="00366F02">
      <w:rPr>
        <w:rFonts w:ascii="Wingdings" w:hAnsi="Wingdings"/>
        <w:color w:val="0000FF"/>
        <w:sz w:val="22"/>
      </w:rPr>
      <w:t></w:t>
    </w:r>
    <w:r w:rsidR="00410EA5" w:rsidRPr="00366F02">
      <w:rPr>
        <w:rFonts w:ascii="Garamond" w:hAnsi="Garamond"/>
        <w:color w:val="0000FF"/>
        <w:sz w:val="22"/>
      </w:rPr>
      <w:t xml:space="preserve"> e-mail: </w:t>
    </w:r>
    <w:hyperlink r:id="rId2" w:history="1">
      <w:r w:rsidR="00410EA5" w:rsidRPr="00366F02">
        <w:rPr>
          <w:rStyle w:val="Hyperlink"/>
          <w:rFonts w:ascii="Garamond" w:hAnsi="Garamond"/>
          <w:sz w:val="22"/>
        </w:rPr>
        <w:t>ddsct.co@ct.gov</w:t>
      </w:r>
    </w:hyperlink>
    <w:r w:rsidR="00410EA5" w:rsidRPr="00366F02">
      <w:rPr>
        <w:rFonts w:ascii="Garamond" w:hAnsi="Garamond"/>
        <w:color w:val="0000FF"/>
        <w:sz w:val="22"/>
      </w:rPr>
      <w:t xml:space="preserve"> </w:t>
    </w:r>
  </w:p>
  <w:p w14:paraId="7D406B89" w14:textId="77777777" w:rsidR="00410EA5" w:rsidRPr="00366F02" w:rsidRDefault="00410EA5" w:rsidP="00E92CDD">
    <w:pPr>
      <w:shd w:val="clear" w:color="auto" w:fill="FFFFFF"/>
      <w:jc w:val="center"/>
      <w:rPr>
        <w:rFonts w:ascii="Garamond" w:hAnsi="Garamond"/>
        <w:i/>
        <w:color w:val="0000FF"/>
        <w:sz w:val="22"/>
        <w:szCs w:val="22"/>
      </w:rPr>
    </w:pPr>
    <w:r w:rsidRPr="00366F02">
      <w:rPr>
        <w:rFonts w:ascii="Garamond" w:hAnsi="Garamond"/>
        <w:i/>
        <w:color w:val="0000FF"/>
        <w:sz w:val="22"/>
        <w:szCs w:val="22"/>
      </w:rPr>
      <w:t>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31155" w14:textId="77777777" w:rsidR="00794C3A" w:rsidRDefault="00794C3A">
      <w:r>
        <w:separator/>
      </w:r>
    </w:p>
  </w:footnote>
  <w:footnote w:type="continuationSeparator" w:id="0">
    <w:p w14:paraId="18E7A309" w14:textId="77777777" w:rsidR="00794C3A" w:rsidRDefault="00794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1371F" w14:textId="77777777" w:rsidR="00377D0B" w:rsidRPr="00366F02" w:rsidRDefault="0084789E" w:rsidP="00377D0B">
    <w:pPr>
      <w:rPr>
        <w:color w:val="0000D2"/>
      </w:rPr>
    </w:pPr>
    <w:r w:rsidRPr="0084789E">
      <w:rPr>
        <w:noProof/>
        <w:color w:val="0000D2"/>
        <w:sz w:val="36"/>
      </w:rPr>
      <mc:AlternateContent>
        <mc:Choice Requires="wps">
          <w:drawing>
            <wp:anchor distT="0" distB="0" distL="114300" distR="114300" simplePos="0" relativeHeight="251661312" behindDoc="0" locked="0" layoutInCell="1" allowOverlap="1" wp14:anchorId="0F73BC86" wp14:editId="661426E3">
              <wp:simplePos x="0" y="0"/>
              <wp:positionH relativeFrom="column">
                <wp:align>center</wp:align>
              </wp:positionH>
              <wp:positionV relativeFrom="paragraph">
                <wp:posOffset>0</wp:posOffset>
              </wp:positionV>
              <wp:extent cx="4095750" cy="619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19125"/>
                      </a:xfrm>
                      <a:prstGeom prst="rect">
                        <a:avLst/>
                      </a:prstGeom>
                      <a:solidFill>
                        <a:srgbClr val="FFFFFF"/>
                      </a:solidFill>
                      <a:ln w="9525">
                        <a:noFill/>
                        <a:miter lim="800000"/>
                        <a:headEnd/>
                        <a:tailEnd/>
                      </a:ln>
                    </wps:spPr>
                    <wps:txbx>
                      <w:txbxContent>
                        <w:p w14:paraId="2BCD54A6" w14:textId="77777777" w:rsidR="0084789E" w:rsidRPr="00366F02" w:rsidRDefault="0084789E" w:rsidP="0084789E">
                          <w:pPr>
                            <w:pStyle w:val="Heading1"/>
                            <w:rPr>
                              <w:color w:val="0000D2"/>
                              <w:sz w:val="36"/>
                            </w:rPr>
                          </w:pPr>
                          <w:r w:rsidRPr="00366F02">
                            <w:rPr>
                              <w:color w:val="0000D2"/>
                              <w:sz w:val="36"/>
                            </w:rPr>
                            <w:t>State of Connecticut</w:t>
                          </w:r>
                        </w:p>
                        <w:p w14:paraId="7F3526C3" w14:textId="77777777" w:rsidR="0084789E" w:rsidRPr="0084789E" w:rsidRDefault="0084789E" w:rsidP="0084789E">
                          <w:pPr>
                            <w:pStyle w:val="Heading1"/>
                            <w:ind w:left="-360"/>
                            <w:rPr>
                              <w:color w:val="0000D2"/>
                              <w:sz w:val="36"/>
                              <w:szCs w:val="36"/>
                            </w:rPr>
                          </w:pPr>
                          <w:r w:rsidRPr="0084789E">
                            <w:rPr>
                              <w:color w:val="0000D2"/>
                              <w:sz w:val="36"/>
                              <w:szCs w:val="36"/>
                            </w:rPr>
                            <w:t>Department of Developmental Services</w:t>
                          </w:r>
                        </w:p>
                        <w:p w14:paraId="351D0B77" w14:textId="77777777" w:rsidR="0084789E" w:rsidRDefault="00847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3BC86" id="_x0000_t202" coordsize="21600,21600" o:spt="202" path="m,l,21600r21600,l21600,xe">
              <v:stroke joinstyle="miter"/>
              <v:path gradientshapeok="t" o:connecttype="rect"/>
            </v:shapetype>
            <v:shape id="Text Box 2" o:spid="_x0000_s1026" type="#_x0000_t202" style="position:absolute;margin-left:0;margin-top:0;width:322.5pt;height:48.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MSIAIAAB0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" stroked="f">
              <v:textbox>
                <w:txbxContent>
                  <w:p w14:paraId="2BCD54A6" w14:textId="77777777" w:rsidR="0084789E" w:rsidRPr="00366F02" w:rsidRDefault="0084789E" w:rsidP="0084789E">
                    <w:pPr>
                      <w:pStyle w:val="Heading1"/>
                      <w:rPr>
                        <w:color w:val="0000D2"/>
                        <w:sz w:val="36"/>
                      </w:rPr>
                    </w:pPr>
                    <w:r w:rsidRPr="00366F02">
                      <w:rPr>
                        <w:color w:val="0000D2"/>
                        <w:sz w:val="36"/>
                      </w:rPr>
                      <w:t>State of Connecticut</w:t>
                    </w:r>
                  </w:p>
                  <w:p w14:paraId="7F3526C3" w14:textId="77777777" w:rsidR="0084789E" w:rsidRPr="0084789E" w:rsidRDefault="0084789E" w:rsidP="0084789E">
                    <w:pPr>
                      <w:pStyle w:val="Heading1"/>
                      <w:ind w:left="-360"/>
                      <w:rPr>
                        <w:color w:val="0000D2"/>
                        <w:sz w:val="36"/>
                        <w:szCs w:val="36"/>
                      </w:rPr>
                    </w:pPr>
                    <w:r w:rsidRPr="0084789E">
                      <w:rPr>
                        <w:color w:val="0000D2"/>
                        <w:sz w:val="36"/>
                        <w:szCs w:val="36"/>
                      </w:rPr>
                      <w:t>Department of Developmental Services</w:t>
                    </w:r>
                  </w:p>
                  <w:p w14:paraId="351D0B77" w14:textId="77777777" w:rsidR="0084789E" w:rsidRDefault="0084789E"/>
                </w:txbxContent>
              </v:textbox>
            </v:shape>
          </w:pict>
        </mc:Fallback>
      </mc:AlternateContent>
    </w:r>
    <w:r w:rsidR="00377D0B" w:rsidRPr="00366F02">
      <w:rPr>
        <w:noProof/>
        <w:color w:val="0000D2"/>
        <w:sz w:val="20"/>
      </w:rPr>
      <mc:AlternateContent>
        <mc:Choice Requires="wps">
          <w:drawing>
            <wp:anchor distT="0" distB="0" distL="114300" distR="114300" simplePos="0" relativeHeight="251659264" behindDoc="0" locked="0" layoutInCell="1" allowOverlap="1" wp14:anchorId="2E24B3DF" wp14:editId="511550F2">
              <wp:simplePos x="0" y="0"/>
              <wp:positionH relativeFrom="column">
                <wp:posOffset>-76200</wp:posOffset>
              </wp:positionH>
              <wp:positionV relativeFrom="paragraph">
                <wp:posOffset>-190500</wp:posOffset>
              </wp:positionV>
              <wp:extent cx="1125855" cy="9772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75ACD" w14:textId="77777777" w:rsidR="00377D0B" w:rsidRDefault="00377D0B" w:rsidP="00377D0B">
                          <w:r>
                            <w:rPr>
                              <w:noProof/>
                            </w:rPr>
                            <w:drawing>
                              <wp:inline distT="0" distB="0" distL="0" distR="0" wp14:anchorId="2BB4A868" wp14:editId="4CAD773F">
                                <wp:extent cx="942975" cy="695325"/>
                                <wp:effectExtent l="19050" t="0" r="9525" b="0"/>
                                <wp:docPr id="7" name="Picture 7"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tate-seal-vector-cmyk"/>
                                        <pic:cNvPicPr>
                                          <a:picLocks noChangeAspect="1" noChangeArrowheads="1"/>
                                        </pic:cNvPicPr>
                                      </pic:nvPicPr>
                                      <pic:blipFill>
                                        <a:blip r:embed="rId1"/>
                                        <a:srcRect/>
                                        <a:stretch>
                                          <a:fillRect/>
                                        </a:stretch>
                                      </pic:blipFill>
                                      <pic:spPr bwMode="auto">
                                        <a:xfrm>
                                          <a:off x="0" y="0"/>
                                          <a:ext cx="942975" cy="695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B3DF" id="Text Box 1" o:spid="_x0000_s1027" type="#_x0000_t202" style="position:absolute;margin-left:-6pt;margin-top:-15pt;width:88.65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" stroked="f">
              <v:textbox>
                <w:txbxContent>
                  <w:p w14:paraId="5A475ACD" w14:textId="77777777" w:rsidR="00377D0B" w:rsidRDefault="00377D0B" w:rsidP="00377D0B">
                    <w:r>
                      <w:rPr>
                        <w:noProof/>
                      </w:rPr>
                      <w:drawing>
                        <wp:inline distT="0" distB="0" distL="0" distR="0" wp14:anchorId="2BB4A868" wp14:editId="4CAD773F">
                          <wp:extent cx="942975" cy="695325"/>
                          <wp:effectExtent l="19050" t="0" r="9525" b="0"/>
                          <wp:docPr id="7" name="Picture 7"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tate-seal-vector-cmyk"/>
                                  <pic:cNvPicPr>
                                    <a:picLocks noChangeAspect="1" noChangeArrowheads="1"/>
                                  </pic:cNvPicPr>
                                </pic:nvPicPr>
                                <pic:blipFill>
                                  <a:blip r:embed="rId1"/>
                                  <a:srcRect/>
                                  <a:stretch>
                                    <a:fillRect/>
                                  </a:stretch>
                                </pic:blipFill>
                                <pic:spPr bwMode="auto">
                                  <a:xfrm>
                                    <a:off x="0" y="0"/>
                                    <a:ext cx="942975" cy="695325"/>
                                  </a:xfrm>
                                  <a:prstGeom prst="rect">
                                    <a:avLst/>
                                  </a:prstGeom>
                                  <a:noFill/>
                                  <a:ln w="9525">
                                    <a:noFill/>
                                    <a:miter lim="800000"/>
                                    <a:headEnd/>
                                    <a:tailEnd/>
                                  </a:ln>
                                </pic:spPr>
                              </pic:pic>
                            </a:graphicData>
                          </a:graphic>
                        </wp:inline>
                      </w:drawing>
                    </w:r>
                  </w:p>
                </w:txbxContent>
              </v:textbox>
            </v:shape>
          </w:pict>
        </mc:Fallback>
      </mc:AlternateContent>
    </w:r>
    <w:r w:rsidR="00377D0B" w:rsidRPr="00366F02">
      <w:rPr>
        <w:noProof/>
        <w:color w:val="0000D2"/>
      </w:rPr>
      <w:t xml:space="preserve">                                                                                                                                </w:t>
    </w:r>
    <w:r w:rsidR="00AD0F59">
      <w:rPr>
        <w:noProof/>
        <w:color w:val="0000D2"/>
      </w:rPr>
      <w:t xml:space="preserve"> </w:t>
    </w:r>
    <w:r w:rsidR="00377D0B" w:rsidRPr="00366F02">
      <w:rPr>
        <w:noProof/>
        <w:color w:val="0000D2"/>
      </w:rPr>
      <w:t xml:space="preserve">  </w:t>
    </w:r>
    <w:r w:rsidR="00C029D0">
      <w:rPr>
        <w:noProof/>
      </w:rPr>
      <w:drawing>
        <wp:inline distT="0" distB="0" distL="0" distR="0" wp14:anchorId="39CF3313" wp14:editId="5CE72D9A">
          <wp:extent cx="885825" cy="384414"/>
          <wp:effectExtent l="0" t="0" r="0" b="0"/>
          <wp:docPr id="5" name="Picture 5" descr="DD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S-Logo-for-wor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6453" cy="389026"/>
                  </a:xfrm>
                  <a:prstGeom prst="rect">
                    <a:avLst/>
                  </a:prstGeom>
                  <a:noFill/>
                  <a:ln>
                    <a:noFill/>
                  </a:ln>
                </pic:spPr>
              </pic:pic>
            </a:graphicData>
          </a:graphic>
        </wp:inline>
      </w:drawing>
    </w:r>
  </w:p>
  <w:p w14:paraId="4E1C9D51" w14:textId="77777777" w:rsidR="00377D0B" w:rsidRPr="00366F02" w:rsidRDefault="00377D0B" w:rsidP="00377D0B">
    <w:pPr>
      <w:pStyle w:val="Heading1"/>
      <w:rPr>
        <w:color w:val="0000D2"/>
        <w:sz w:val="36"/>
      </w:rPr>
    </w:pPr>
    <w:r w:rsidRPr="00366F02">
      <w:rPr>
        <w:color w:val="0000D2"/>
        <w:sz w:val="36"/>
      </w:rPr>
      <w:t>State of Connecticut</w:t>
    </w:r>
  </w:p>
  <w:p w14:paraId="3ACC0C69" w14:textId="77777777" w:rsidR="00377D0B" w:rsidRPr="001D2A49" w:rsidRDefault="00377D0B" w:rsidP="00377D0B">
    <w:pPr>
      <w:pStyle w:val="Heading1"/>
      <w:rPr>
        <w:color w:val="0000D2"/>
        <w:sz w:val="16"/>
        <w:szCs w:val="16"/>
      </w:rPr>
    </w:pPr>
  </w:p>
  <w:p w14:paraId="4104E5C5" w14:textId="77777777" w:rsidR="00377D0B" w:rsidRPr="00366F02" w:rsidRDefault="00207AA1" w:rsidP="00207AA1">
    <w:pPr>
      <w:ind w:firstLine="180"/>
      <w:rPr>
        <w:rFonts w:ascii="Garamond" w:hAnsi="Garamond"/>
        <w:color w:val="0000D2"/>
      </w:rPr>
    </w:pPr>
    <w:r>
      <w:rPr>
        <w:rFonts w:ascii="Garamond" w:hAnsi="Garamond"/>
        <w:color w:val="0000D2"/>
      </w:rPr>
      <w:t xml:space="preserve">Ned </w:t>
    </w:r>
    <w:r w:rsidR="001D2A49">
      <w:rPr>
        <w:rFonts w:ascii="Garamond" w:hAnsi="Garamond"/>
        <w:color w:val="0000D2"/>
      </w:rPr>
      <w:t>Lamont</w:t>
    </w:r>
    <w:r w:rsidR="00377D0B" w:rsidRPr="00366F02">
      <w:rPr>
        <w:rFonts w:ascii="Garamond" w:hAnsi="Garamond"/>
        <w:color w:val="0000D2"/>
      </w:rPr>
      <w:tab/>
    </w:r>
    <w:r w:rsidR="00377D0B" w:rsidRPr="00366F02">
      <w:rPr>
        <w:rFonts w:ascii="Garamond" w:hAnsi="Garamond"/>
        <w:color w:val="0000D2"/>
      </w:rPr>
      <w:tab/>
    </w:r>
    <w:r w:rsidR="00377D0B" w:rsidRPr="00366F02">
      <w:rPr>
        <w:rFonts w:ascii="Garamond" w:hAnsi="Garamond"/>
        <w:color w:val="0000D2"/>
      </w:rPr>
      <w:tab/>
    </w:r>
    <w:r w:rsidR="00377D0B" w:rsidRPr="00366F02">
      <w:rPr>
        <w:rFonts w:ascii="Garamond" w:hAnsi="Garamond"/>
        <w:color w:val="0000D2"/>
      </w:rPr>
      <w:tab/>
    </w:r>
    <w:r>
      <w:rPr>
        <w:rFonts w:ascii="Garamond" w:hAnsi="Garamond"/>
        <w:color w:val="0000D2"/>
      </w:rPr>
      <w:tab/>
    </w:r>
    <w:r w:rsidR="00377D0B" w:rsidRPr="00366F02">
      <w:rPr>
        <w:rFonts w:ascii="Garamond" w:hAnsi="Garamond"/>
        <w:color w:val="0000D2"/>
      </w:rPr>
      <w:tab/>
    </w:r>
    <w:r w:rsidR="00377D0B" w:rsidRPr="00366F02">
      <w:rPr>
        <w:rFonts w:ascii="Garamond" w:hAnsi="Garamond"/>
        <w:color w:val="0000D2"/>
      </w:rPr>
      <w:tab/>
    </w:r>
    <w:r w:rsidR="00377D0B" w:rsidRPr="00366F02">
      <w:rPr>
        <w:rFonts w:ascii="Garamond" w:hAnsi="Garamond"/>
        <w:color w:val="0000D2"/>
      </w:rPr>
      <w:tab/>
    </w:r>
    <w:r w:rsidR="00377D0B" w:rsidRPr="00366F02">
      <w:rPr>
        <w:rFonts w:ascii="Garamond" w:hAnsi="Garamond"/>
        <w:color w:val="0000D2"/>
      </w:rPr>
      <w:tab/>
    </w:r>
    <w:r w:rsidR="00377D0B" w:rsidRPr="00366F02">
      <w:rPr>
        <w:rFonts w:ascii="Garamond" w:hAnsi="Garamond"/>
        <w:color w:val="0000D2"/>
      </w:rPr>
      <w:tab/>
      <w:t xml:space="preserve">            Jordan A. Scheff</w:t>
    </w:r>
  </w:p>
  <w:p w14:paraId="73EF974C" w14:textId="77777777" w:rsidR="00377D0B" w:rsidRPr="00366F02" w:rsidRDefault="00377D0B" w:rsidP="00377D0B">
    <w:pPr>
      <w:rPr>
        <w:rFonts w:ascii="Garamond" w:hAnsi="Garamond"/>
        <w:color w:val="0000D2"/>
      </w:rPr>
    </w:pPr>
    <w:r w:rsidRPr="00366F02">
      <w:rPr>
        <w:rFonts w:ascii="Garamond" w:hAnsi="Garamond"/>
        <w:color w:val="0000D2"/>
      </w:rPr>
      <w:t xml:space="preserve">    Governor</w:t>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proofErr w:type="gramStart"/>
    <w:r w:rsidRPr="00366F02">
      <w:rPr>
        <w:rFonts w:ascii="Garamond" w:hAnsi="Garamond"/>
        <w:color w:val="0000D2"/>
      </w:rPr>
      <w:tab/>
      <w:t xml:space="preserve">  Commissioner</w:t>
    </w:r>
    <w:proofErr w:type="gramEnd"/>
  </w:p>
  <w:p w14:paraId="498C2B8E" w14:textId="77777777" w:rsidR="00377D0B" w:rsidRPr="00366F02" w:rsidRDefault="0084789E" w:rsidP="0084789E">
    <w:pPr>
      <w:tabs>
        <w:tab w:val="left" w:pos="4800"/>
      </w:tabs>
      <w:rPr>
        <w:rFonts w:ascii="Garamond" w:hAnsi="Garamond"/>
        <w:color w:val="0000D2"/>
      </w:rPr>
    </w:pPr>
    <w:r>
      <w:rPr>
        <w:rFonts w:ascii="Garamond" w:hAnsi="Garamond"/>
        <w:color w:val="0000D2"/>
      </w:rPr>
      <w:tab/>
    </w:r>
  </w:p>
  <w:p w14:paraId="216FC4A0" w14:textId="77777777" w:rsidR="00377D0B" w:rsidRPr="00366F02" w:rsidRDefault="00377D0B" w:rsidP="00377D0B">
    <w:pPr>
      <w:rPr>
        <w:rFonts w:ascii="Garamond" w:hAnsi="Garamond"/>
        <w:color w:val="0000D2"/>
      </w:rPr>
    </w:pP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t xml:space="preserve">  </w:t>
    </w:r>
    <w:r w:rsidR="00B92001">
      <w:rPr>
        <w:rFonts w:ascii="Garamond" w:hAnsi="Garamond"/>
        <w:color w:val="0000D2"/>
      </w:rPr>
      <w:t xml:space="preserve"> </w:t>
    </w:r>
    <w:r w:rsidRPr="00366F02">
      <w:rPr>
        <w:rFonts w:ascii="Garamond" w:hAnsi="Garamond"/>
        <w:color w:val="0000D2"/>
      </w:rPr>
      <w:t xml:space="preserve"> Peter Mason</w:t>
    </w:r>
  </w:p>
  <w:p w14:paraId="57D6E007" w14:textId="77777777" w:rsidR="00410EA5" w:rsidRDefault="00377D0B" w:rsidP="00F776F4">
    <w:pPr>
      <w:rPr>
        <w:rFonts w:ascii="Garamond" w:hAnsi="Garamond"/>
        <w:color w:val="000080"/>
      </w:rPr>
    </w:pP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r>
    <w:r w:rsidRPr="00366F02">
      <w:rPr>
        <w:rFonts w:ascii="Garamond" w:hAnsi="Garamond"/>
        <w:color w:val="0000D2"/>
      </w:rPr>
      <w:tab/>
      <w:t xml:space="preserve">        Deputy Commissioner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8DD"/>
    <w:multiLevelType w:val="hybridMultilevel"/>
    <w:tmpl w:val="66B81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B976F2"/>
    <w:multiLevelType w:val="hybridMultilevel"/>
    <w:tmpl w:val="FC6C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2E8A"/>
    <w:multiLevelType w:val="hybridMultilevel"/>
    <w:tmpl w:val="20560E38"/>
    <w:lvl w:ilvl="0" w:tplc="59EAE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6E3"/>
    <w:multiLevelType w:val="hybridMultilevel"/>
    <w:tmpl w:val="11B0D3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86333E"/>
    <w:multiLevelType w:val="hybridMultilevel"/>
    <w:tmpl w:val="09FC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109DB"/>
    <w:multiLevelType w:val="hybridMultilevel"/>
    <w:tmpl w:val="8984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F3FA9"/>
    <w:multiLevelType w:val="hybridMultilevel"/>
    <w:tmpl w:val="1ABCE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47A3A"/>
    <w:multiLevelType w:val="hybridMultilevel"/>
    <w:tmpl w:val="74FE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F5548"/>
    <w:multiLevelType w:val="hybridMultilevel"/>
    <w:tmpl w:val="9C32933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564F56"/>
    <w:multiLevelType w:val="hybridMultilevel"/>
    <w:tmpl w:val="BA1C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75AED"/>
    <w:multiLevelType w:val="hybridMultilevel"/>
    <w:tmpl w:val="2378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5072A"/>
    <w:multiLevelType w:val="hybridMultilevel"/>
    <w:tmpl w:val="B7D29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0421B"/>
    <w:multiLevelType w:val="hybridMultilevel"/>
    <w:tmpl w:val="B218F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E715702"/>
    <w:multiLevelType w:val="hybridMultilevel"/>
    <w:tmpl w:val="40243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C7D4C"/>
    <w:multiLevelType w:val="hybridMultilevel"/>
    <w:tmpl w:val="41FA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E403C"/>
    <w:multiLevelType w:val="hybridMultilevel"/>
    <w:tmpl w:val="D11EE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B759A4"/>
    <w:multiLevelType w:val="hybridMultilevel"/>
    <w:tmpl w:val="5244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6"/>
  </w:num>
  <w:num w:numId="6">
    <w:abstractNumId w:val="1"/>
  </w:num>
  <w:num w:numId="7">
    <w:abstractNumId w:val="5"/>
  </w:num>
  <w:num w:numId="8">
    <w:abstractNumId w:val="8"/>
  </w:num>
  <w:num w:numId="9">
    <w:abstractNumId w:val="12"/>
  </w:num>
  <w:num w:numId="10">
    <w:abstractNumId w:val="16"/>
  </w:num>
  <w:num w:numId="11">
    <w:abstractNumId w:val="0"/>
  </w:num>
  <w:num w:numId="12">
    <w:abstractNumId w:val="0"/>
  </w:num>
  <w:num w:numId="13">
    <w:abstractNumId w:val="9"/>
  </w:num>
  <w:num w:numId="14">
    <w:abstractNumId w:val="10"/>
  </w:num>
  <w:num w:numId="15">
    <w:abstractNumId w:val="7"/>
  </w:num>
  <w:num w:numId="16">
    <w:abstractNumId w:val="1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yMDMzNzMzNDIzs7BQ0lEKTi0uzszPAykwqgUA0hO1qSwAAAA="/>
  </w:docVars>
  <w:rsids>
    <w:rsidRoot w:val="000D34CF"/>
    <w:rsid w:val="00000469"/>
    <w:rsid w:val="00014CBD"/>
    <w:rsid w:val="000266E1"/>
    <w:rsid w:val="00036E26"/>
    <w:rsid w:val="0003777F"/>
    <w:rsid w:val="000442E5"/>
    <w:rsid w:val="00050319"/>
    <w:rsid w:val="00055BEC"/>
    <w:rsid w:val="00056C2E"/>
    <w:rsid w:val="00057605"/>
    <w:rsid w:val="0006453C"/>
    <w:rsid w:val="00067B5B"/>
    <w:rsid w:val="00084E33"/>
    <w:rsid w:val="000909DA"/>
    <w:rsid w:val="00094477"/>
    <w:rsid w:val="000A526C"/>
    <w:rsid w:val="000A571E"/>
    <w:rsid w:val="000B0CFC"/>
    <w:rsid w:val="000B3A39"/>
    <w:rsid w:val="000B767D"/>
    <w:rsid w:val="000C460A"/>
    <w:rsid w:val="000D34CF"/>
    <w:rsid w:val="000D719A"/>
    <w:rsid w:val="000E21C1"/>
    <w:rsid w:val="000F0A03"/>
    <w:rsid w:val="000F3968"/>
    <w:rsid w:val="00100231"/>
    <w:rsid w:val="0010281E"/>
    <w:rsid w:val="00107A64"/>
    <w:rsid w:val="00132A22"/>
    <w:rsid w:val="00137496"/>
    <w:rsid w:val="0014082F"/>
    <w:rsid w:val="001415EC"/>
    <w:rsid w:val="001421F7"/>
    <w:rsid w:val="001425A7"/>
    <w:rsid w:val="00150659"/>
    <w:rsid w:val="00172643"/>
    <w:rsid w:val="00175408"/>
    <w:rsid w:val="00177E3E"/>
    <w:rsid w:val="00180EFC"/>
    <w:rsid w:val="00182065"/>
    <w:rsid w:val="001833A8"/>
    <w:rsid w:val="001976F4"/>
    <w:rsid w:val="001A5F53"/>
    <w:rsid w:val="001B04EC"/>
    <w:rsid w:val="001B3262"/>
    <w:rsid w:val="001B4BAE"/>
    <w:rsid w:val="001B764F"/>
    <w:rsid w:val="001C2B72"/>
    <w:rsid w:val="001C6C34"/>
    <w:rsid w:val="001D0CBD"/>
    <w:rsid w:val="001D1FA7"/>
    <w:rsid w:val="001D2A49"/>
    <w:rsid w:val="001D36EE"/>
    <w:rsid w:val="001E00D3"/>
    <w:rsid w:val="001E0255"/>
    <w:rsid w:val="001E71DB"/>
    <w:rsid w:val="001E7447"/>
    <w:rsid w:val="0020559D"/>
    <w:rsid w:val="002060CC"/>
    <w:rsid w:val="00207AA1"/>
    <w:rsid w:val="00230F98"/>
    <w:rsid w:val="00237F37"/>
    <w:rsid w:val="00240896"/>
    <w:rsid w:val="00266672"/>
    <w:rsid w:val="00273575"/>
    <w:rsid w:val="00280F08"/>
    <w:rsid w:val="00283F4F"/>
    <w:rsid w:val="00285B35"/>
    <w:rsid w:val="00291ADF"/>
    <w:rsid w:val="00295226"/>
    <w:rsid w:val="002A028A"/>
    <w:rsid w:val="002B0B04"/>
    <w:rsid w:val="002B0C01"/>
    <w:rsid w:val="002B753D"/>
    <w:rsid w:val="002C2B0B"/>
    <w:rsid w:val="002C2D3C"/>
    <w:rsid w:val="002C6C12"/>
    <w:rsid w:val="002C7FEC"/>
    <w:rsid w:val="002D0E71"/>
    <w:rsid w:val="002D4CD5"/>
    <w:rsid w:val="002E2D51"/>
    <w:rsid w:val="002E791E"/>
    <w:rsid w:val="002E7B21"/>
    <w:rsid w:val="002F02AB"/>
    <w:rsid w:val="002F3931"/>
    <w:rsid w:val="002F6DC1"/>
    <w:rsid w:val="003105F9"/>
    <w:rsid w:val="00315711"/>
    <w:rsid w:val="003217C0"/>
    <w:rsid w:val="00323876"/>
    <w:rsid w:val="00333B75"/>
    <w:rsid w:val="00343730"/>
    <w:rsid w:val="00353F51"/>
    <w:rsid w:val="003569A2"/>
    <w:rsid w:val="003572EF"/>
    <w:rsid w:val="0035766D"/>
    <w:rsid w:val="00366F02"/>
    <w:rsid w:val="003670F5"/>
    <w:rsid w:val="00370D19"/>
    <w:rsid w:val="003717C6"/>
    <w:rsid w:val="00377D0B"/>
    <w:rsid w:val="00380736"/>
    <w:rsid w:val="00380B66"/>
    <w:rsid w:val="003816FC"/>
    <w:rsid w:val="003909FD"/>
    <w:rsid w:val="003A723C"/>
    <w:rsid w:val="003B0AA9"/>
    <w:rsid w:val="003B1B01"/>
    <w:rsid w:val="003B45C8"/>
    <w:rsid w:val="003B5833"/>
    <w:rsid w:val="003B740E"/>
    <w:rsid w:val="003C08BB"/>
    <w:rsid w:val="003C1232"/>
    <w:rsid w:val="003C31F8"/>
    <w:rsid w:val="003D36E1"/>
    <w:rsid w:val="003E08C3"/>
    <w:rsid w:val="003F078F"/>
    <w:rsid w:val="003F1DE6"/>
    <w:rsid w:val="00410EA5"/>
    <w:rsid w:val="0042238B"/>
    <w:rsid w:val="00427103"/>
    <w:rsid w:val="00430B98"/>
    <w:rsid w:val="00434F4B"/>
    <w:rsid w:val="004409AE"/>
    <w:rsid w:val="00442672"/>
    <w:rsid w:val="00450CD6"/>
    <w:rsid w:val="00452669"/>
    <w:rsid w:val="004662A4"/>
    <w:rsid w:val="00474D5D"/>
    <w:rsid w:val="0047630F"/>
    <w:rsid w:val="004911DA"/>
    <w:rsid w:val="004A0250"/>
    <w:rsid w:val="004A2FC8"/>
    <w:rsid w:val="004C5556"/>
    <w:rsid w:val="004D67A0"/>
    <w:rsid w:val="004D7F5D"/>
    <w:rsid w:val="004E0255"/>
    <w:rsid w:val="004F2A6C"/>
    <w:rsid w:val="004F4F63"/>
    <w:rsid w:val="004F5AC0"/>
    <w:rsid w:val="0051175F"/>
    <w:rsid w:val="005148DD"/>
    <w:rsid w:val="005157DE"/>
    <w:rsid w:val="00517CFE"/>
    <w:rsid w:val="005259A3"/>
    <w:rsid w:val="0053793F"/>
    <w:rsid w:val="005451FC"/>
    <w:rsid w:val="005617AB"/>
    <w:rsid w:val="0059006C"/>
    <w:rsid w:val="005923B4"/>
    <w:rsid w:val="00596E59"/>
    <w:rsid w:val="005B651D"/>
    <w:rsid w:val="005C2E31"/>
    <w:rsid w:val="005E399C"/>
    <w:rsid w:val="005E5E7F"/>
    <w:rsid w:val="005F3F2D"/>
    <w:rsid w:val="00607963"/>
    <w:rsid w:val="00616200"/>
    <w:rsid w:val="00616C22"/>
    <w:rsid w:val="006271D9"/>
    <w:rsid w:val="0063728C"/>
    <w:rsid w:val="00656A6B"/>
    <w:rsid w:val="00660693"/>
    <w:rsid w:val="00662D9D"/>
    <w:rsid w:val="006650E4"/>
    <w:rsid w:val="006655EC"/>
    <w:rsid w:val="006676E0"/>
    <w:rsid w:val="00684777"/>
    <w:rsid w:val="00693D98"/>
    <w:rsid w:val="00693E56"/>
    <w:rsid w:val="0069414B"/>
    <w:rsid w:val="006A16FD"/>
    <w:rsid w:val="006B3E20"/>
    <w:rsid w:val="006C217C"/>
    <w:rsid w:val="006C3451"/>
    <w:rsid w:val="006D1495"/>
    <w:rsid w:val="006F55CA"/>
    <w:rsid w:val="006F7217"/>
    <w:rsid w:val="00701FC8"/>
    <w:rsid w:val="0070598F"/>
    <w:rsid w:val="00707BBE"/>
    <w:rsid w:val="007130E0"/>
    <w:rsid w:val="00715AC2"/>
    <w:rsid w:val="0073578A"/>
    <w:rsid w:val="00736FBD"/>
    <w:rsid w:val="00743B28"/>
    <w:rsid w:val="00745582"/>
    <w:rsid w:val="007523BF"/>
    <w:rsid w:val="00755211"/>
    <w:rsid w:val="00755FDA"/>
    <w:rsid w:val="00765F20"/>
    <w:rsid w:val="00765FD3"/>
    <w:rsid w:val="0077390D"/>
    <w:rsid w:val="00773D66"/>
    <w:rsid w:val="00794C3A"/>
    <w:rsid w:val="007A1EB5"/>
    <w:rsid w:val="007A39A2"/>
    <w:rsid w:val="007C4369"/>
    <w:rsid w:val="007C5040"/>
    <w:rsid w:val="007D2CAD"/>
    <w:rsid w:val="007D638D"/>
    <w:rsid w:val="007D699D"/>
    <w:rsid w:val="00800D6F"/>
    <w:rsid w:val="00804C85"/>
    <w:rsid w:val="008102EC"/>
    <w:rsid w:val="008127A0"/>
    <w:rsid w:val="00812EAC"/>
    <w:rsid w:val="00821E02"/>
    <w:rsid w:val="00830F7B"/>
    <w:rsid w:val="00833AE0"/>
    <w:rsid w:val="008358FE"/>
    <w:rsid w:val="008446F3"/>
    <w:rsid w:val="0084789E"/>
    <w:rsid w:val="00852DA9"/>
    <w:rsid w:val="00861308"/>
    <w:rsid w:val="008631A8"/>
    <w:rsid w:val="00875DA9"/>
    <w:rsid w:val="008763C3"/>
    <w:rsid w:val="00876C5E"/>
    <w:rsid w:val="0088034B"/>
    <w:rsid w:val="00885475"/>
    <w:rsid w:val="008A043F"/>
    <w:rsid w:val="008A0EA9"/>
    <w:rsid w:val="008A7594"/>
    <w:rsid w:val="008B0594"/>
    <w:rsid w:val="008B0764"/>
    <w:rsid w:val="008B2F29"/>
    <w:rsid w:val="008D024A"/>
    <w:rsid w:val="008D4281"/>
    <w:rsid w:val="008D6E22"/>
    <w:rsid w:val="008E40D6"/>
    <w:rsid w:val="008E5A61"/>
    <w:rsid w:val="008E6FF5"/>
    <w:rsid w:val="008F4CEB"/>
    <w:rsid w:val="0090155C"/>
    <w:rsid w:val="009077FB"/>
    <w:rsid w:val="00917366"/>
    <w:rsid w:val="009277B6"/>
    <w:rsid w:val="00941991"/>
    <w:rsid w:val="0094425F"/>
    <w:rsid w:val="009555AC"/>
    <w:rsid w:val="009569B5"/>
    <w:rsid w:val="00972E02"/>
    <w:rsid w:val="00974BEC"/>
    <w:rsid w:val="00975690"/>
    <w:rsid w:val="00977D51"/>
    <w:rsid w:val="00977DE3"/>
    <w:rsid w:val="009808DA"/>
    <w:rsid w:val="009925AA"/>
    <w:rsid w:val="00994AD5"/>
    <w:rsid w:val="00996896"/>
    <w:rsid w:val="009A090E"/>
    <w:rsid w:val="009B2754"/>
    <w:rsid w:val="009B67CF"/>
    <w:rsid w:val="009C29A8"/>
    <w:rsid w:val="009C33B1"/>
    <w:rsid w:val="009C58DF"/>
    <w:rsid w:val="009C5AB4"/>
    <w:rsid w:val="009C681E"/>
    <w:rsid w:val="009D6AD4"/>
    <w:rsid w:val="009E168C"/>
    <w:rsid w:val="009E53E7"/>
    <w:rsid w:val="009E578A"/>
    <w:rsid w:val="009E59A0"/>
    <w:rsid w:val="009E79DA"/>
    <w:rsid w:val="009F5EA0"/>
    <w:rsid w:val="00A00892"/>
    <w:rsid w:val="00A06A10"/>
    <w:rsid w:val="00A074AC"/>
    <w:rsid w:val="00A07C2E"/>
    <w:rsid w:val="00A10FC3"/>
    <w:rsid w:val="00A15D25"/>
    <w:rsid w:val="00A21671"/>
    <w:rsid w:val="00A2696E"/>
    <w:rsid w:val="00A9712B"/>
    <w:rsid w:val="00AA4949"/>
    <w:rsid w:val="00AB4A44"/>
    <w:rsid w:val="00AC6956"/>
    <w:rsid w:val="00AC6C3A"/>
    <w:rsid w:val="00AD0F59"/>
    <w:rsid w:val="00AE3E61"/>
    <w:rsid w:val="00AF1C9D"/>
    <w:rsid w:val="00AF51ED"/>
    <w:rsid w:val="00B02E74"/>
    <w:rsid w:val="00B073E7"/>
    <w:rsid w:val="00B17D1C"/>
    <w:rsid w:val="00B24DBE"/>
    <w:rsid w:val="00B43A7A"/>
    <w:rsid w:val="00B43E6A"/>
    <w:rsid w:val="00B47966"/>
    <w:rsid w:val="00B61FFD"/>
    <w:rsid w:val="00B776DA"/>
    <w:rsid w:val="00B80CA5"/>
    <w:rsid w:val="00B8454B"/>
    <w:rsid w:val="00B85CDD"/>
    <w:rsid w:val="00B92001"/>
    <w:rsid w:val="00B9339D"/>
    <w:rsid w:val="00B95046"/>
    <w:rsid w:val="00BB0B44"/>
    <w:rsid w:val="00BB5B2C"/>
    <w:rsid w:val="00BC38A0"/>
    <w:rsid w:val="00BD5869"/>
    <w:rsid w:val="00BE1099"/>
    <w:rsid w:val="00BE25D6"/>
    <w:rsid w:val="00BE375E"/>
    <w:rsid w:val="00BF0E9D"/>
    <w:rsid w:val="00BF1094"/>
    <w:rsid w:val="00C029D0"/>
    <w:rsid w:val="00C04985"/>
    <w:rsid w:val="00C05F54"/>
    <w:rsid w:val="00C21E5B"/>
    <w:rsid w:val="00C249BC"/>
    <w:rsid w:val="00C30888"/>
    <w:rsid w:val="00C347DD"/>
    <w:rsid w:val="00C37B2E"/>
    <w:rsid w:val="00C40941"/>
    <w:rsid w:val="00C440EF"/>
    <w:rsid w:val="00C60699"/>
    <w:rsid w:val="00C65E50"/>
    <w:rsid w:val="00C67B4E"/>
    <w:rsid w:val="00C844AB"/>
    <w:rsid w:val="00CA56F9"/>
    <w:rsid w:val="00CB402B"/>
    <w:rsid w:val="00CB71E4"/>
    <w:rsid w:val="00CB73BD"/>
    <w:rsid w:val="00CB7B2B"/>
    <w:rsid w:val="00CC16D9"/>
    <w:rsid w:val="00CC7A0C"/>
    <w:rsid w:val="00CD3D74"/>
    <w:rsid w:val="00CD7C08"/>
    <w:rsid w:val="00CE2DC5"/>
    <w:rsid w:val="00CE64D5"/>
    <w:rsid w:val="00CF2373"/>
    <w:rsid w:val="00CF47FA"/>
    <w:rsid w:val="00CF5913"/>
    <w:rsid w:val="00CF73D3"/>
    <w:rsid w:val="00D05A54"/>
    <w:rsid w:val="00D25A62"/>
    <w:rsid w:val="00D31305"/>
    <w:rsid w:val="00D31344"/>
    <w:rsid w:val="00D41BE1"/>
    <w:rsid w:val="00D41E8B"/>
    <w:rsid w:val="00D56F2A"/>
    <w:rsid w:val="00D64394"/>
    <w:rsid w:val="00D77477"/>
    <w:rsid w:val="00D814C6"/>
    <w:rsid w:val="00D844C4"/>
    <w:rsid w:val="00D8561B"/>
    <w:rsid w:val="00D92D93"/>
    <w:rsid w:val="00D94502"/>
    <w:rsid w:val="00D962A8"/>
    <w:rsid w:val="00DA6870"/>
    <w:rsid w:val="00DA730F"/>
    <w:rsid w:val="00DB0EBE"/>
    <w:rsid w:val="00DB48D4"/>
    <w:rsid w:val="00DB6A6A"/>
    <w:rsid w:val="00DB6E4C"/>
    <w:rsid w:val="00DC66DC"/>
    <w:rsid w:val="00DD71A2"/>
    <w:rsid w:val="00DF0411"/>
    <w:rsid w:val="00DF042F"/>
    <w:rsid w:val="00DF1FE4"/>
    <w:rsid w:val="00DF2D50"/>
    <w:rsid w:val="00DF2F57"/>
    <w:rsid w:val="00DF6CD9"/>
    <w:rsid w:val="00E02B73"/>
    <w:rsid w:val="00E071F6"/>
    <w:rsid w:val="00E100B1"/>
    <w:rsid w:val="00E15931"/>
    <w:rsid w:val="00E204B8"/>
    <w:rsid w:val="00E26BE8"/>
    <w:rsid w:val="00E45F27"/>
    <w:rsid w:val="00E55099"/>
    <w:rsid w:val="00E55A0C"/>
    <w:rsid w:val="00E6441B"/>
    <w:rsid w:val="00E67516"/>
    <w:rsid w:val="00E710A3"/>
    <w:rsid w:val="00E718A3"/>
    <w:rsid w:val="00E776F1"/>
    <w:rsid w:val="00E80F2B"/>
    <w:rsid w:val="00E83705"/>
    <w:rsid w:val="00E929B9"/>
    <w:rsid w:val="00E92CDD"/>
    <w:rsid w:val="00E96DD7"/>
    <w:rsid w:val="00EA19F4"/>
    <w:rsid w:val="00EA4A12"/>
    <w:rsid w:val="00EB139B"/>
    <w:rsid w:val="00EB2C8B"/>
    <w:rsid w:val="00ED29A6"/>
    <w:rsid w:val="00EE1234"/>
    <w:rsid w:val="00EE2C63"/>
    <w:rsid w:val="00EE2EEF"/>
    <w:rsid w:val="00EE7B08"/>
    <w:rsid w:val="00EF2AC2"/>
    <w:rsid w:val="00EF354C"/>
    <w:rsid w:val="00F001CB"/>
    <w:rsid w:val="00F024D5"/>
    <w:rsid w:val="00F0629D"/>
    <w:rsid w:val="00F228AF"/>
    <w:rsid w:val="00F3100A"/>
    <w:rsid w:val="00F410A3"/>
    <w:rsid w:val="00F42134"/>
    <w:rsid w:val="00F56F44"/>
    <w:rsid w:val="00F776F4"/>
    <w:rsid w:val="00F8075C"/>
    <w:rsid w:val="00F81375"/>
    <w:rsid w:val="00F8321B"/>
    <w:rsid w:val="00F912B9"/>
    <w:rsid w:val="00FC0DA9"/>
    <w:rsid w:val="00FD2273"/>
    <w:rsid w:val="00FE1D78"/>
    <w:rsid w:val="00FE32B5"/>
    <w:rsid w:val="00FF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98CA43"/>
  <w15:docId w15:val="{7C3C63FC-675F-4065-AB72-62A774E4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75"/>
    <w:rPr>
      <w:rFonts w:ascii="Arial" w:hAnsi="Arial"/>
      <w:sz w:val="24"/>
    </w:rPr>
  </w:style>
  <w:style w:type="paragraph" w:styleId="Heading1">
    <w:name w:val="heading 1"/>
    <w:basedOn w:val="Normal"/>
    <w:next w:val="Normal"/>
    <w:link w:val="Heading1Char"/>
    <w:qFormat/>
    <w:rsid w:val="00273575"/>
    <w:pPr>
      <w:keepNext/>
      <w:jc w:val="center"/>
      <w:outlineLvl w:val="0"/>
    </w:pPr>
    <w:rPr>
      <w:rFonts w:ascii="Garamond" w:hAnsi="Garamond"/>
      <w:b/>
      <w:bCs/>
      <w:color w:val="000080"/>
      <w:sz w:val="28"/>
    </w:rPr>
  </w:style>
  <w:style w:type="paragraph" w:styleId="Heading2">
    <w:name w:val="heading 2"/>
    <w:basedOn w:val="Normal"/>
    <w:next w:val="Normal"/>
    <w:qFormat/>
    <w:rsid w:val="00273575"/>
    <w:pPr>
      <w:keepNext/>
      <w:jc w:val="center"/>
      <w:outlineLvl w:val="1"/>
    </w:pPr>
    <w:rPr>
      <w:rFonts w:ascii="Garamond" w:hAnsi="Garamond"/>
      <w:i/>
      <w:color w:val="000080"/>
    </w:rPr>
  </w:style>
  <w:style w:type="paragraph" w:styleId="Heading3">
    <w:name w:val="heading 3"/>
    <w:basedOn w:val="Normal"/>
    <w:next w:val="Normal"/>
    <w:qFormat/>
    <w:rsid w:val="00273575"/>
    <w:pPr>
      <w:keepNext/>
      <w:jc w:val="center"/>
      <w:outlineLvl w:val="2"/>
    </w:pPr>
    <w:rPr>
      <w:rFonts w:ascii="Garamond" w:hAnsi="Garamond"/>
      <w:b/>
      <w:bCs/>
      <w:color w:val="FF0000"/>
      <w:sz w:val="36"/>
    </w:rPr>
  </w:style>
  <w:style w:type="paragraph" w:styleId="Heading4">
    <w:name w:val="heading 4"/>
    <w:basedOn w:val="Normal"/>
    <w:next w:val="Normal"/>
    <w:qFormat/>
    <w:rsid w:val="00273575"/>
    <w:pPr>
      <w:keepNext/>
      <w:jc w:val="center"/>
      <w:outlineLvl w:val="3"/>
    </w:pPr>
    <w:rPr>
      <w:rFonts w:ascii="Garamond" w:hAnsi="Garamond"/>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73575"/>
    <w:rPr>
      <w:color w:val="0000FF"/>
      <w:u w:val="single"/>
    </w:rPr>
  </w:style>
  <w:style w:type="paragraph" w:styleId="Header">
    <w:name w:val="header"/>
    <w:basedOn w:val="Normal"/>
    <w:semiHidden/>
    <w:rsid w:val="00273575"/>
    <w:pPr>
      <w:tabs>
        <w:tab w:val="center" w:pos="4320"/>
        <w:tab w:val="right" w:pos="8640"/>
      </w:tabs>
    </w:pPr>
  </w:style>
  <w:style w:type="paragraph" w:styleId="Footer">
    <w:name w:val="footer"/>
    <w:basedOn w:val="Normal"/>
    <w:semiHidden/>
    <w:rsid w:val="00273575"/>
    <w:pPr>
      <w:tabs>
        <w:tab w:val="center" w:pos="4320"/>
        <w:tab w:val="right" w:pos="8640"/>
      </w:tabs>
    </w:pPr>
  </w:style>
  <w:style w:type="character" w:styleId="FollowedHyperlink">
    <w:name w:val="FollowedHyperlink"/>
    <w:basedOn w:val="DefaultParagraphFont"/>
    <w:semiHidden/>
    <w:rsid w:val="00273575"/>
    <w:rPr>
      <w:color w:val="800080"/>
      <w:u w:val="single"/>
    </w:rPr>
  </w:style>
  <w:style w:type="paragraph" w:styleId="PlainText">
    <w:name w:val="Plain Text"/>
    <w:basedOn w:val="Normal"/>
    <w:link w:val="PlainTextChar"/>
    <w:uiPriority w:val="99"/>
    <w:unhideWhenUsed/>
    <w:rsid w:val="00F81375"/>
    <w:rPr>
      <w:rFonts w:ascii="Calibri" w:eastAsia="Calibri" w:hAnsi="Calibri"/>
      <w:sz w:val="22"/>
      <w:szCs w:val="21"/>
    </w:rPr>
  </w:style>
  <w:style w:type="character" w:customStyle="1" w:styleId="PlainTextChar">
    <w:name w:val="Plain Text Char"/>
    <w:basedOn w:val="DefaultParagraphFont"/>
    <w:link w:val="PlainText"/>
    <w:uiPriority w:val="99"/>
    <w:rsid w:val="00F81375"/>
    <w:rPr>
      <w:rFonts w:ascii="Calibri" w:eastAsia="Calibri" w:hAnsi="Calibri" w:cs="Times New Roman"/>
      <w:sz w:val="22"/>
      <w:szCs w:val="21"/>
    </w:rPr>
  </w:style>
  <w:style w:type="character" w:customStyle="1" w:styleId="Heading1Char">
    <w:name w:val="Heading 1 Char"/>
    <w:basedOn w:val="DefaultParagraphFont"/>
    <w:link w:val="Heading1"/>
    <w:rsid w:val="005617AB"/>
    <w:rPr>
      <w:rFonts w:ascii="Garamond" w:hAnsi="Garamond"/>
      <w:b/>
      <w:bCs/>
      <w:color w:val="000080"/>
      <w:sz w:val="28"/>
    </w:rPr>
  </w:style>
  <w:style w:type="paragraph" w:styleId="Title">
    <w:name w:val="Title"/>
    <w:basedOn w:val="Normal"/>
    <w:link w:val="TitleChar"/>
    <w:qFormat/>
    <w:rsid w:val="00616C22"/>
    <w:pPr>
      <w:jc w:val="center"/>
    </w:pPr>
    <w:rPr>
      <w:rFonts w:cs="Arial"/>
      <w:sz w:val="32"/>
      <w:szCs w:val="24"/>
    </w:rPr>
  </w:style>
  <w:style w:type="character" w:customStyle="1" w:styleId="TitleChar">
    <w:name w:val="Title Char"/>
    <w:basedOn w:val="DefaultParagraphFont"/>
    <w:link w:val="Title"/>
    <w:rsid w:val="00616C22"/>
    <w:rPr>
      <w:rFonts w:ascii="Arial" w:hAnsi="Arial" w:cs="Arial"/>
      <w:sz w:val="32"/>
      <w:szCs w:val="24"/>
    </w:rPr>
  </w:style>
  <w:style w:type="paragraph" w:styleId="BalloonText">
    <w:name w:val="Balloon Text"/>
    <w:basedOn w:val="Normal"/>
    <w:link w:val="BalloonTextChar"/>
    <w:uiPriority w:val="99"/>
    <w:semiHidden/>
    <w:unhideWhenUsed/>
    <w:rsid w:val="00743B28"/>
    <w:rPr>
      <w:rFonts w:ascii="Tahoma" w:hAnsi="Tahoma" w:cs="Tahoma"/>
      <w:sz w:val="16"/>
      <w:szCs w:val="16"/>
    </w:rPr>
  </w:style>
  <w:style w:type="character" w:customStyle="1" w:styleId="BalloonTextChar">
    <w:name w:val="Balloon Text Char"/>
    <w:basedOn w:val="DefaultParagraphFont"/>
    <w:link w:val="BalloonText"/>
    <w:uiPriority w:val="99"/>
    <w:semiHidden/>
    <w:rsid w:val="00743B28"/>
    <w:rPr>
      <w:rFonts w:ascii="Tahoma" w:hAnsi="Tahoma" w:cs="Tahoma"/>
      <w:sz w:val="16"/>
      <w:szCs w:val="16"/>
    </w:rPr>
  </w:style>
  <w:style w:type="paragraph" w:styleId="ListParagraph">
    <w:name w:val="List Paragraph"/>
    <w:basedOn w:val="Normal"/>
    <w:uiPriority w:val="34"/>
    <w:qFormat/>
    <w:rsid w:val="000B767D"/>
    <w:pPr>
      <w:ind w:left="720"/>
    </w:pPr>
    <w:rPr>
      <w:rFonts w:ascii="Calibri" w:eastAsiaTheme="minorHAnsi" w:hAnsi="Calibri"/>
      <w:sz w:val="22"/>
      <w:szCs w:val="22"/>
    </w:rPr>
  </w:style>
  <w:style w:type="paragraph" w:customStyle="1" w:styleId="DefaultText">
    <w:name w:val="Default Text"/>
    <w:basedOn w:val="z-TopofForm"/>
    <w:rsid w:val="001421F7"/>
    <w:pPr>
      <w:pBdr>
        <w:bottom w:val="none" w:sz="0" w:space="0" w:color="auto"/>
      </w:pBdr>
      <w:spacing w:after="287"/>
      <w:ind w:firstLine="720"/>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1421F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1421F7"/>
    <w:rPr>
      <w:rFonts w:ascii="Arial" w:hAnsi="Arial" w:cs="Arial"/>
      <w:vanish/>
      <w:sz w:val="16"/>
      <w:szCs w:val="16"/>
    </w:rPr>
  </w:style>
  <w:style w:type="paragraph" w:styleId="NoSpacing">
    <w:name w:val="No Spacing"/>
    <w:uiPriority w:val="1"/>
    <w:qFormat/>
    <w:rsid w:val="008B0594"/>
    <w:rPr>
      <w:rFonts w:asciiTheme="minorHAnsi" w:eastAsiaTheme="minorHAnsi" w:hAnsiTheme="minorHAnsi" w:cstheme="minorBidi"/>
      <w:sz w:val="22"/>
      <w:szCs w:val="22"/>
    </w:rPr>
  </w:style>
  <w:style w:type="paragraph" w:customStyle="1" w:styleId="AveryStyle1">
    <w:name w:val="Avery Style 1"/>
    <w:uiPriority w:val="99"/>
    <w:rsid w:val="00E45F27"/>
    <w:pPr>
      <w:ind w:left="1039" w:right="132"/>
    </w:pPr>
    <w:rPr>
      <w:rFonts w:asciiTheme="minorHAnsi" w:eastAsiaTheme="minorEastAsia" w:hAnsiTheme="minorHAnsi" w:cstheme="minorBidi"/>
      <w:bCs/>
      <w:color w:val="000000"/>
      <w:szCs w:val="22"/>
    </w:rPr>
  </w:style>
  <w:style w:type="character" w:styleId="Strong">
    <w:name w:val="Strong"/>
    <w:basedOn w:val="DefaultParagraphFont"/>
    <w:qFormat/>
    <w:rsid w:val="00876C5E"/>
    <w:rPr>
      <w:b/>
      <w:bCs/>
    </w:rPr>
  </w:style>
  <w:style w:type="paragraph" w:customStyle="1" w:styleId="Default">
    <w:name w:val="Default"/>
    <w:rsid w:val="002E7B21"/>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7A1EB5"/>
    <w:rPr>
      <w:sz w:val="16"/>
      <w:szCs w:val="16"/>
    </w:rPr>
  </w:style>
  <w:style w:type="paragraph" w:styleId="CommentText">
    <w:name w:val="annotation text"/>
    <w:basedOn w:val="Normal"/>
    <w:link w:val="CommentTextChar"/>
    <w:uiPriority w:val="99"/>
    <w:semiHidden/>
    <w:unhideWhenUsed/>
    <w:rsid w:val="007A1EB5"/>
    <w:rPr>
      <w:sz w:val="20"/>
    </w:rPr>
  </w:style>
  <w:style w:type="character" w:customStyle="1" w:styleId="CommentTextChar">
    <w:name w:val="Comment Text Char"/>
    <w:basedOn w:val="DefaultParagraphFont"/>
    <w:link w:val="CommentText"/>
    <w:uiPriority w:val="99"/>
    <w:semiHidden/>
    <w:rsid w:val="007A1EB5"/>
    <w:rPr>
      <w:rFonts w:ascii="Arial" w:hAnsi="Arial"/>
    </w:rPr>
  </w:style>
  <w:style w:type="paragraph" w:styleId="CommentSubject">
    <w:name w:val="annotation subject"/>
    <w:basedOn w:val="CommentText"/>
    <w:next w:val="CommentText"/>
    <w:link w:val="CommentSubjectChar"/>
    <w:uiPriority w:val="99"/>
    <w:semiHidden/>
    <w:unhideWhenUsed/>
    <w:rsid w:val="007A1EB5"/>
    <w:rPr>
      <w:b/>
      <w:bCs/>
    </w:rPr>
  </w:style>
  <w:style w:type="character" w:customStyle="1" w:styleId="CommentSubjectChar">
    <w:name w:val="Comment Subject Char"/>
    <w:basedOn w:val="CommentTextChar"/>
    <w:link w:val="CommentSubject"/>
    <w:uiPriority w:val="99"/>
    <w:semiHidden/>
    <w:rsid w:val="007A1EB5"/>
    <w:rPr>
      <w:rFonts w:ascii="Arial" w:hAnsi="Arial"/>
      <w:b/>
      <w:bCs/>
    </w:rPr>
  </w:style>
  <w:style w:type="paragraph" w:styleId="BodyText3">
    <w:name w:val="Body Text 3"/>
    <w:basedOn w:val="Normal"/>
    <w:link w:val="BodyText3Char"/>
    <w:uiPriority w:val="99"/>
    <w:unhideWhenUsed/>
    <w:rsid w:val="00A06A10"/>
    <w:pPr>
      <w:spacing w:after="120"/>
    </w:pPr>
    <w:rPr>
      <w:sz w:val="16"/>
      <w:szCs w:val="16"/>
    </w:rPr>
  </w:style>
  <w:style w:type="character" w:customStyle="1" w:styleId="BodyText3Char">
    <w:name w:val="Body Text 3 Char"/>
    <w:basedOn w:val="DefaultParagraphFont"/>
    <w:link w:val="BodyText3"/>
    <w:uiPriority w:val="99"/>
    <w:rsid w:val="00A06A10"/>
    <w:rPr>
      <w:rFonts w:ascii="Arial" w:hAnsi="Arial"/>
      <w:sz w:val="16"/>
      <w:szCs w:val="16"/>
    </w:rPr>
  </w:style>
  <w:style w:type="character" w:styleId="UnresolvedMention">
    <w:name w:val="Unresolved Mention"/>
    <w:basedOn w:val="DefaultParagraphFont"/>
    <w:uiPriority w:val="99"/>
    <w:semiHidden/>
    <w:unhideWhenUsed/>
    <w:rsid w:val="000909DA"/>
    <w:rPr>
      <w:color w:val="605E5C"/>
      <w:shd w:val="clear" w:color="auto" w:fill="E1DFDD"/>
    </w:rPr>
  </w:style>
  <w:style w:type="table" w:styleId="TableGrid">
    <w:name w:val="Table Grid"/>
    <w:basedOn w:val="TableNormal"/>
    <w:uiPriority w:val="39"/>
    <w:rsid w:val="003C12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228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74054">
      <w:bodyDiv w:val="1"/>
      <w:marLeft w:val="0"/>
      <w:marRight w:val="0"/>
      <w:marTop w:val="0"/>
      <w:marBottom w:val="0"/>
      <w:divBdr>
        <w:top w:val="none" w:sz="0" w:space="0" w:color="auto"/>
        <w:left w:val="none" w:sz="0" w:space="0" w:color="auto"/>
        <w:bottom w:val="none" w:sz="0" w:space="0" w:color="auto"/>
        <w:right w:val="none" w:sz="0" w:space="0" w:color="auto"/>
      </w:divBdr>
    </w:div>
    <w:div w:id="275649051">
      <w:bodyDiv w:val="1"/>
      <w:marLeft w:val="0"/>
      <w:marRight w:val="0"/>
      <w:marTop w:val="0"/>
      <w:marBottom w:val="0"/>
      <w:divBdr>
        <w:top w:val="none" w:sz="0" w:space="0" w:color="auto"/>
        <w:left w:val="none" w:sz="0" w:space="0" w:color="auto"/>
        <w:bottom w:val="none" w:sz="0" w:space="0" w:color="auto"/>
        <w:right w:val="none" w:sz="0" w:space="0" w:color="auto"/>
      </w:divBdr>
    </w:div>
    <w:div w:id="433326945">
      <w:bodyDiv w:val="1"/>
      <w:marLeft w:val="0"/>
      <w:marRight w:val="0"/>
      <w:marTop w:val="0"/>
      <w:marBottom w:val="0"/>
      <w:divBdr>
        <w:top w:val="none" w:sz="0" w:space="0" w:color="auto"/>
        <w:left w:val="none" w:sz="0" w:space="0" w:color="auto"/>
        <w:bottom w:val="none" w:sz="0" w:space="0" w:color="auto"/>
        <w:right w:val="none" w:sz="0" w:space="0" w:color="auto"/>
      </w:divBdr>
    </w:div>
    <w:div w:id="503711061">
      <w:bodyDiv w:val="1"/>
      <w:marLeft w:val="0"/>
      <w:marRight w:val="0"/>
      <w:marTop w:val="0"/>
      <w:marBottom w:val="0"/>
      <w:divBdr>
        <w:top w:val="none" w:sz="0" w:space="0" w:color="auto"/>
        <w:left w:val="none" w:sz="0" w:space="0" w:color="auto"/>
        <w:bottom w:val="none" w:sz="0" w:space="0" w:color="auto"/>
        <w:right w:val="none" w:sz="0" w:space="0" w:color="auto"/>
      </w:divBdr>
    </w:div>
    <w:div w:id="530344152">
      <w:bodyDiv w:val="1"/>
      <w:marLeft w:val="0"/>
      <w:marRight w:val="0"/>
      <w:marTop w:val="0"/>
      <w:marBottom w:val="0"/>
      <w:divBdr>
        <w:top w:val="none" w:sz="0" w:space="0" w:color="auto"/>
        <w:left w:val="none" w:sz="0" w:space="0" w:color="auto"/>
        <w:bottom w:val="none" w:sz="0" w:space="0" w:color="auto"/>
        <w:right w:val="none" w:sz="0" w:space="0" w:color="auto"/>
      </w:divBdr>
    </w:div>
    <w:div w:id="558175180">
      <w:bodyDiv w:val="1"/>
      <w:marLeft w:val="0"/>
      <w:marRight w:val="0"/>
      <w:marTop w:val="0"/>
      <w:marBottom w:val="0"/>
      <w:divBdr>
        <w:top w:val="none" w:sz="0" w:space="0" w:color="auto"/>
        <w:left w:val="none" w:sz="0" w:space="0" w:color="auto"/>
        <w:bottom w:val="none" w:sz="0" w:space="0" w:color="auto"/>
        <w:right w:val="none" w:sz="0" w:space="0" w:color="auto"/>
      </w:divBdr>
    </w:div>
    <w:div w:id="706418836">
      <w:bodyDiv w:val="1"/>
      <w:marLeft w:val="0"/>
      <w:marRight w:val="0"/>
      <w:marTop w:val="0"/>
      <w:marBottom w:val="0"/>
      <w:divBdr>
        <w:top w:val="none" w:sz="0" w:space="0" w:color="auto"/>
        <w:left w:val="none" w:sz="0" w:space="0" w:color="auto"/>
        <w:bottom w:val="none" w:sz="0" w:space="0" w:color="auto"/>
        <w:right w:val="none" w:sz="0" w:space="0" w:color="auto"/>
      </w:divBdr>
    </w:div>
    <w:div w:id="829374294">
      <w:bodyDiv w:val="1"/>
      <w:marLeft w:val="0"/>
      <w:marRight w:val="0"/>
      <w:marTop w:val="0"/>
      <w:marBottom w:val="0"/>
      <w:divBdr>
        <w:top w:val="none" w:sz="0" w:space="0" w:color="auto"/>
        <w:left w:val="none" w:sz="0" w:space="0" w:color="auto"/>
        <w:bottom w:val="none" w:sz="0" w:space="0" w:color="auto"/>
        <w:right w:val="none" w:sz="0" w:space="0" w:color="auto"/>
      </w:divBdr>
    </w:div>
    <w:div w:id="918515313">
      <w:bodyDiv w:val="1"/>
      <w:marLeft w:val="0"/>
      <w:marRight w:val="0"/>
      <w:marTop w:val="0"/>
      <w:marBottom w:val="0"/>
      <w:divBdr>
        <w:top w:val="none" w:sz="0" w:space="0" w:color="auto"/>
        <w:left w:val="none" w:sz="0" w:space="0" w:color="auto"/>
        <w:bottom w:val="none" w:sz="0" w:space="0" w:color="auto"/>
        <w:right w:val="none" w:sz="0" w:space="0" w:color="auto"/>
      </w:divBdr>
      <w:divsChild>
        <w:div w:id="202720104">
          <w:marLeft w:val="0"/>
          <w:marRight w:val="0"/>
          <w:marTop w:val="0"/>
          <w:marBottom w:val="0"/>
          <w:divBdr>
            <w:top w:val="none" w:sz="0" w:space="0" w:color="auto"/>
            <w:left w:val="none" w:sz="0" w:space="0" w:color="auto"/>
            <w:bottom w:val="none" w:sz="0" w:space="0" w:color="auto"/>
            <w:right w:val="none" w:sz="0" w:space="0" w:color="auto"/>
          </w:divBdr>
          <w:divsChild>
            <w:div w:id="1123156519">
              <w:marLeft w:val="0"/>
              <w:marRight w:val="0"/>
              <w:marTop w:val="0"/>
              <w:marBottom w:val="0"/>
              <w:divBdr>
                <w:top w:val="none" w:sz="0" w:space="0" w:color="auto"/>
                <w:left w:val="none" w:sz="0" w:space="0" w:color="auto"/>
                <w:bottom w:val="none" w:sz="0" w:space="0" w:color="auto"/>
                <w:right w:val="none" w:sz="0" w:space="0" w:color="auto"/>
              </w:divBdr>
            </w:div>
            <w:div w:id="3919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632">
      <w:bodyDiv w:val="1"/>
      <w:marLeft w:val="0"/>
      <w:marRight w:val="0"/>
      <w:marTop w:val="0"/>
      <w:marBottom w:val="0"/>
      <w:divBdr>
        <w:top w:val="none" w:sz="0" w:space="0" w:color="auto"/>
        <w:left w:val="none" w:sz="0" w:space="0" w:color="auto"/>
        <w:bottom w:val="none" w:sz="0" w:space="0" w:color="auto"/>
        <w:right w:val="none" w:sz="0" w:space="0" w:color="auto"/>
      </w:divBdr>
    </w:div>
    <w:div w:id="1252929733">
      <w:bodyDiv w:val="1"/>
      <w:marLeft w:val="0"/>
      <w:marRight w:val="0"/>
      <w:marTop w:val="0"/>
      <w:marBottom w:val="0"/>
      <w:divBdr>
        <w:top w:val="none" w:sz="0" w:space="0" w:color="auto"/>
        <w:left w:val="none" w:sz="0" w:space="0" w:color="auto"/>
        <w:bottom w:val="none" w:sz="0" w:space="0" w:color="auto"/>
        <w:right w:val="none" w:sz="0" w:space="0" w:color="auto"/>
      </w:divBdr>
    </w:div>
    <w:div w:id="1456831621">
      <w:bodyDiv w:val="1"/>
      <w:marLeft w:val="0"/>
      <w:marRight w:val="0"/>
      <w:marTop w:val="0"/>
      <w:marBottom w:val="0"/>
      <w:divBdr>
        <w:top w:val="none" w:sz="0" w:space="0" w:color="auto"/>
        <w:left w:val="none" w:sz="0" w:space="0" w:color="auto"/>
        <w:bottom w:val="none" w:sz="0" w:space="0" w:color="auto"/>
        <w:right w:val="none" w:sz="0" w:space="0" w:color="auto"/>
      </w:divBdr>
    </w:div>
    <w:div w:id="1628505224">
      <w:bodyDiv w:val="1"/>
      <w:marLeft w:val="0"/>
      <w:marRight w:val="0"/>
      <w:marTop w:val="0"/>
      <w:marBottom w:val="0"/>
      <w:divBdr>
        <w:top w:val="none" w:sz="0" w:space="0" w:color="auto"/>
        <w:left w:val="none" w:sz="0" w:space="0" w:color="auto"/>
        <w:bottom w:val="none" w:sz="0" w:space="0" w:color="auto"/>
        <w:right w:val="none" w:sz="0" w:space="0" w:color="auto"/>
      </w:divBdr>
    </w:div>
    <w:div w:id="1826820511">
      <w:bodyDiv w:val="1"/>
      <w:marLeft w:val="0"/>
      <w:marRight w:val="0"/>
      <w:marTop w:val="0"/>
      <w:marBottom w:val="0"/>
      <w:divBdr>
        <w:top w:val="none" w:sz="0" w:space="0" w:color="auto"/>
        <w:left w:val="none" w:sz="0" w:space="0" w:color="auto"/>
        <w:bottom w:val="none" w:sz="0" w:space="0" w:color="auto"/>
        <w:right w:val="none" w:sz="0" w:space="0" w:color="auto"/>
      </w:divBdr>
    </w:div>
    <w:div w:id="1872181806">
      <w:bodyDiv w:val="1"/>
      <w:marLeft w:val="0"/>
      <w:marRight w:val="0"/>
      <w:marTop w:val="0"/>
      <w:marBottom w:val="0"/>
      <w:divBdr>
        <w:top w:val="none" w:sz="0" w:space="0" w:color="auto"/>
        <w:left w:val="none" w:sz="0" w:space="0" w:color="auto"/>
        <w:bottom w:val="none" w:sz="0" w:space="0" w:color="auto"/>
        <w:right w:val="none" w:sz="0" w:space="0" w:color="auto"/>
      </w:divBdr>
    </w:div>
    <w:div w:id="20893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tddsdeclaration@sandat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Dillon@ct.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David@ct.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dsct.co@ct.gov" TargetMode="External"/><Relationship Id="rId1" Type="http://schemas.openxmlformats.org/officeDocument/2006/relationships/hyperlink" Target="http://www.ct.gov/d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7526F478D5442FB5FB2410CE1A7E2F"/>
        <w:category>
          <w:name w:val="General"/>
          <w:gallery w:val="placeholder"/>
        </w:category>
        <w:types>
          <w:type w:val="bbPlcHdr"/>
        </w:types>
        <w:behaviors>
          <w:behavior w:val="content"/>
        </w:behaviors>
        <w:guid w:val="{61A33520-F47B-4C16-A97A-96704F6BD2DE}"/>
      </w:docPartPr>
      <w:docPartBody>
        <w:p w:rsidR="00857060" w:rsidRDefault="00CF407E" w:rsidP="00CF407E">
          <w:pPr>
            <w:pStyle w:val="7E7526F478D5442FB5FB2410CE1A7E2F"/>
          </w:pPr>
          <w:r w:rsidRPr="00DC5E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7E"/>
    <w:rsid w:val="00857060"/>
    <w:rsid w:val="00CF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07E"/>
    <w:rPr>
      <w:color w:val="808080"/>
    </w:rPr>
  </w:style>
  <w:style w:type="paragraph" w:customStyle="1" w:styleId="BFD434DD142D453EBE968EC5D3FEB73E">
    <w:name w:val="BFD434DD142D453EBE968EC5D3FEB73E"/>
    <w:rsid w:val="00CF407E"/>
  </w:style>
  <w:style w:type="paragraph" w:customStyle="1" w:styleId="7E7526F478D5442FB5FB2410CE1A7E2F">
    <w:name w:val="7E7526F478D5442FB5FB2410CE1A7E2F"/>
    <w:rsid w:val="00CF4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2DC4E0AA93AD4998D893DD6C262420" ma:contentTypeVersion="7" ma:contentTypeDescription="Create a new document." ma:contentTypeScope="" ma:versionID="4c3c0a16aab08d236dce196e442cea45">
  <xsd:schema xmlns:xsd="http://www.w3.org/2001/XMLSchema" xmlns:xs="http://www.w3.org/2001/XMLSchema" xmlns:p="http://schemas.microsoft.com/office/2006/metadata/properties" xmlns:ns1="http://schemas.microsoft.com/sharepoint/v3" xmlns:ns3="cc884fbb-d0f3-43cd-8c96-59abd4920386" xmlns:ns4="883000f2-076d-46ee-8204-70ad53ea98ea" targetNamespace="http://schemas.microsoft.com/office/2006/metadata/properties" ma:root="true" ma:fieldsID="3555286f1af239dbdad3aec484ebe158" ns1:_="" ns3:_="" ns4:_="">
    <xsd:import namespace="http://schemas.microsoft.com/sharepoint/v3"/>
    <xsd:import namespace="cc884fbb-d0f3-43cd-8c96-59abd4920386"/>
    <xsd:import namespace="883000f2-076d-46ee-8204-70ad53ea98ea"/>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84fbb-d0f3-43cd-8c96-59abd4920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3000f2-076d-46ee-8204-70ad53ea98e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F361312-68F8-49AA-8030-FB5B84D33E1C}">
  <ds:schemaRefs>
    <ds:schemaRef ds:uri="http://schemas.openxmlformats.org/officeDocument/2006/bibliography"/>
  </ds:schemaRefs>
</ds:datastoreItem>
</file>

<file path=customXml/itemProps2.xml><?xml version="1.0" encoding="utf-8"?>
<ds:datastoreItem xmlns:ds="http://schemas.openxmlformats.org/officeDocument/2006/customXml" ds:itemID="{F12ECDA8-8CDF-4391-9BAF-3942EE55956C}">
  <ds:schemaRefs>
    <ds:schemaRef ds:uri="http://schemas.microsoft.com/sharepoint/v3/contenttype/forms"/>
  </ds:schemaRefs>
</ds:datastoreItem>
</file>

<file path=customXml/itemProps3.xml><?xml version="1.0" encoding="utf-8"?>
<ds:datastoreItem xmlns:ds="http://schemas.openxmlformats.org/officeDocument/2006/customXml" ds:itemID="{7C6206E8-86C2-4E0E-996C-CEA470822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84fbb-d0f3-43cd-8c96-59abd4920386"/>
    <ds:schemaRef ds:uri="883000f2-076d-46ee-8204-70ad53ea9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6E0FF-A8D1-495F-8D6E-C4CC7DF0043C}">
  <ds:schemaRefs>
    <ds:schemaRef ds:uri="883000f2-076d-46ee-8204-70ad53ea98ea"/>
    <ds:schemaRef ds:uri="cc884fbb-d0f3-43cd-8c96-59abd4920386"/>
    <ds:schemaRef ds:uri="http://schemas.microsoft.com/sharepoint/v3"/>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5672</CharactersWithSpaces>
  <SharedDoc>false</SharedDoc>
  <HLinks>
    <vt:vector size="12" baseType="variant">
      <vt:variant>
        <vt:i4>4653102</vt:i4>
      </vt:variant>
      <vt:variant>
        <vt:i4>3</vt:i4>
      </vt:variant>
      <vt:variant>
        <vt:i4>0</vt:i4>
      </vt:variant>
      <vt:variant>
        <vt:i4>5</vt:i4>
      </vt:variant>
      <vt:variant>
        <vt:lpwstr>mailto:ddsct.co@ct.gov</vt:lpwstr>
      </vt:variant>
      <vt:variant>
        <vt:lpwstr/>
      </vt:variant>
      <vt:variant>
        <vt:i4>4325457</vt:i4>
      </vt:variant>
      <vt:variant>
        <vt:i4>0</vt:i4>
      </vt:variant>
      <vt:variant>
        <vt:i4>0</vt:i4>
      </vt:variant>
      <vt:variant>
        <vt:i4>5</vt:i4>
      </vt:variant>
      <vt:variant>
        <vt:lpwstr>http://www.ct.gov/dds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barnishj</dc:creator>
  <cp:lastModifiedBy>Bouchard, Julie C</cp:lastModifiedBy>
  <cp:revision>3</cp:revision>
  <cp:lastPrinted>2019-01-30T19:13:00Z</cp:lastPrinted>
  <dcterms:created xsi:type="dcterms:W3CDTF">2020-06-16T19:53:00Z</dcterms:created>
  <dcterms:modified xsi:type="dcterms:W3CDTF">2020-06-17T17:37:00Z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0x010100C72DC4E0AA93AD4998D893DD6C262420</vt:lpwstr>
  </property>
</Properties>
</file>