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2DBF" w14:textId="77777777" w:rsidR="003B5DEF" w:rsidRPr="003B5DEF" w:rsidRDefault="003B5DEF" w:rsidP="003B5D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highlight w:val="yellow"/>
          <w:lang w:val="es-ES_tradnl"/>
          <w14:ligatures w14:val="none"/>
        </w:rPr>
        <w:t>[MEMBRETE DE LA ESCUELA O DEL DISTRITO]</w:t>
      </w:r>
    </w:p>
    <w:p w14:paraId="5237D3F3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</w:p>
    <w:p w14:paraId="42CAE9C5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highlight w:val="yellow"/>
          <w:lang w:val="es-ES_tradnl"/>
          <w14:ligatures w14:val="none"/>
        </w:rPr>
        <w:t>[INSERTAR LA FECHA]</w:t>
      </w:r>
    </w:p>
    <w:p w14:paraId="7D76F1E5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Queridos padres y guardianes,</w:t>
      </w:r>
    </w:p>
    <w:p w14:paraId="572ADB65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 </w:t>
      </w:r>
    </w:p>
    <w:p w14:paraId="222F9F9D" w14:textId="39D179EC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La administración del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D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ía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E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scolar del SAT de Connecticut es 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highlight w:val="yellow"/>
          <w:lang w:val="es-ES_tradnl"/>
          <w14:ligatures w14:val="none"/>
        </w:rPr>
        <w:t xml:space="preserve">[indicar fecha del </w:t>
      </w:r>
      <w:r w:rsidR="00E966F9">
        <w:rPr>
          <w:rFonts w:ascii="Arial" w:eastAsia="Times New Roman" w:hAnsi="Arial" w:cs="Arial"/>
          <w:color w:val="222222"/>
          <w:kern w:val="0"/>
          <w:sz w:val="24"/>
          <w:szCs w:val="24"/>
          <w:highlight w:val="yellow"/>
          <w:lang w:val="es-ES_tradnl"/>
          <w14:ligatures w14:val="none"/>
        </w:rPr>
        <w:t>2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highlight w:val="yellow"/>
          <w:lang w:val="es-ES_tradnl"/>
          <w14:ligatures w14:val="none"/>
        </w:rPr>
        <w:t xml:space="preserve"> de marzo al </w:t>
      </w:r>
      <w:r w:rsidR="00E966F9">
        <w:rPr>
          <w:rFonts w:ascii="Arial" w:eastAsia="Times New Roman" w:hAnsi="Arial" w:cs="Arial"/>
          <w:color w:val="222222"/>
          <w:kern w:val="0"/>
          <w:sz w:val="24"/>
          <w:szCs w:val="24"/>
          <w:highlight w:val="yellow"/>
          <w:lang w:val="es-ES_tradnl"/>
          <w14:ligatures w14:val="none"/>
        </w:rPr>
        <w:t>30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highlight w:val="yellow"/>
          <w:lang w:val="es-ES_tradnl"/>
          <w14:ligatures w14:val="none"/>
        </w:rPr>
        <w:t xml:space="preserve"> de abril de 202</w:t>
      </w:r>
      <w:r w:rsidR="00E966F9">
        <w:rPr>
          <w:rFonts w:ascii="Arial" w:eastAsia="Times New Roman" w:hAnsi="Arial" w:cs="Arial"/>
          <w:color w:val="222222"/>
          <w:kern w:val="0"/>
          <w:sz w:val="24"/>
          <w:szCs w:val="24"/>
          <w:highlight w:val="yellow"/>
          <w:lang w:val="es-ES_tradnl"/>
          <w14:ligatures w14:val="none"/>
        </w:rPr>
        <w:t>6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highlight w:val="yellow"/>
          <w:lang w:val="es-ES_tradnl"/>
          <w14:ligatures w14:val="none"/>
        </w:rPr>
        <w:t>]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 para nuestra escuela. Estos puntajes del SAT son utilizados por el Departamento de Educación del Estado de Connecticut (CSDE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, por sus siglas en inglés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) con fines de responsabilidad escolar y distrital. El CSDE cumple con todas las leyes de privacidad de datos federales y estatales y no divulga datos de los estudiantes a terceros, incluidos colegios o universidades.</w:t>
      </w:r>
    </w:p>
    <w:p w14:paraId="180B0F6C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 </w:t>
      </w:r>
    </w:p>
    <w:p w14:paraId="7B5B5D59" w14:textId="29CD93E0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Los padres y estudiantes tienen control sobre la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divulgación 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del puntaje a los colegios y universidades del Día Escolar SAT de Connecticut. Si los estudiantes y los padres desean que se envíe una puntuación del Día Escolar SAT de Connecticut a colegios o universidades, deben </w:t>
      </w:r>
      <w:r w:rsidRPr="003B5DEF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val="es-ES_tradnl"/>
          <w14:ligatures w14:val="none"/>
        </w:rPr>
        <w:t>solicitar explícitamente un “envío de puntuación” al College Board.</w:t>
      </w:r>
    </w:p>
    <w:p w14:paraId="7B192B98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 </w:t>
      </w:r>
    </w:p>
    <w:p w14:paraId="0FAA67A0" w14:textId="2BC1467D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1. Para el examen del </w:t>
      </w:r>
      <w:r w:rsidR="00977AD7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D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ía </w:t>
      </w:r>
      <w:r w:rsidR="00977AD7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E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scolar SAT de Connecticut, los estudiantes recibirán cuatro "envíos de calificaciones" gratuitos. Los estudiantes tendrán la oportunidad de ingresar sus cuatro envíos de puntajes gratuitos antes o el día del examen. Los estudiantes tendrán la posibilidad de agregar o cambiar sus puntajes enviados hasta tres días después de realizar el examen. Para hacerlo, los estudiantes deben usar sus credenciales de su ticket de inicio de sesión para volver a iniciar sesión en Bluebook y pueden agregar/cambiar envíos de puntajes allí.</w:t>
      </w:r>
    </w:p>
    <w:p w14:paraId="17560CEA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 </w:t>
      </w:r>
    </w:p>
    <w:p w14:paraId="5B3A31CA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2. Para enviar puntajes adicionales además de los elegidos en la hoja de respuestas, los estudiantes ya deben tener o crear una cuenta de College Board en </w:t>
      </w:r>
      <w:hyperlink r:id="rId4" w:tgtFrame="_blank" w:history="1">
        <w:r w:rsidRPr="003B5DEF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val="es-ES_tradnl"/>
            <w14:ligatures w14:val="none"/>
          </w:rPr>
          <w:t>collegeboard.org/mysat</w:t>
        </w:r>
      </w:hyperlink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 y luego seleccionar cada colegio o universidad donde desean recibir puntajes.</w:t>
      </w:r>
    </w:p>
    <w:p w14:paraId="629508D8" w14:textId="2AD8393C" w:rsidR="003B5DEF" w:rsidRPr="003B5DEF" w:rsidRDefault="003B5DEF" w:rsidP="00977AD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o Las solicitudes de “envíos de puntajes” </w:t>
      </w:r>
      <w:r w:rsidR="00977AD7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sobre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 los cuatro “envíos de puntajes” gratuitos o las solicitudes enviadas después del día del examen cuestan $1</w:t>
      </w:r>
      <w:r w:rsidR="00247693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5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.00 cada una.</w:t>
      </w:r>
    </w:p>
    <w:p w14:paraId="0A8126FB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 </w:t>
      </w:r>
    </w:p>
    <w:p w14:paraId="17C11CDD" w14:textId="3D3B0345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3. Los estudiantes que han tomado el SAT en múltiples ocasiones (incluido el examen del </w:t>
      </w:r>
      <w:r w:rsidR="00977AD7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D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ía </w:t>
      </w:r>
      <w:r w:rsidR="00977AD7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E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scolar SAT de Connecticut) tienen la opción de usar </w:t>
      </w:r>
      <w:r w:rsidRPr="003B5DEF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val="es-ES_tradnl"/>
          <w14:ligatures w14:val="none"/>
        </w:rPr>
        <w:t>Score Choice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 en </w:t>
      </w:r>
      <w:hyperlink r:id="rId5" w:tgtFrame="_blank" w:history="1">
        <w:r w:rsidRPr="003B5DEF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val="es-ES_tradnl"/>
            <w14:ligatures w14:val="none"/>
          </w:rPr>
          <w:t>https://sat.collegeboard.org/register/sat-score-choice</w:t>
        </w:r>
      </w:hyperlink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.</w:t>
      </w:r>
    </w:p>
    <w:p w14:paraId="667D0E2B" w14:textId="77777777" w:rsidR="003B5DEF" w:rsidRPr="003B5DEF" w:rsidRDefault="003B5DEF" w:rsidP="0000599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o </w:t>
      </w:r>
      <w:r w:rsidRPr="003B5DEF">
        <w:rPr>
          <w:rFonts w:ascii="Arial" w:eastAsia="Times New Roman" w:hAnsi="Arial" w:cs="Arial"/>
          <w:i/>
          <w:iCs/>
          <w:color w:val="222222"/>
          <w:kern w:val="0"/>
          <w:sz w:val="24"/>
          <w:szCs w:val="24"/>
          <w:lang w:val="es-ES_tradnl"/>
          <w14:ligatures w14:val="none"/>
        </w:rPr>
        <w:t>Score Choice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 permite a los estudiantes y padres elegir qué puntaje SAT (por fecha del examen) enviar a colegios o universidades.</w:t>
      </w:r>
    </w:p>
    <w:p w14:paraId="66957730" w14:textId="77777777" w:rsidR="003B5DEF" w:rsidRPr="003B5DEF" w:rsidRDefault="003B5DEF" w:rsidP="0000599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o Depende de los estudiantes y los padres investigar las políticas del colegio o universidad con respecto a los procedimientos de admisión relacionados con los puntajes del SAT para determinar qué puntajes se necesitan.</w:t>
      </w:r>
    </w:p>
    <w:p w14:paraId="0F0A580A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 </w:t>
      </w:r>
    </w:p>
    <w:p w14:paraId="1AE024D1" w14:textId="13947A4E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4. Los estudiantes y los padres pueden </w:t>
      </w:r>
      <w:r w:rsidRPr="003B5DEF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val="es-ES_tradnl"/>
          <w14:ligatures w14:val="none"/>
        </w:rPr>
        <w:t>eliminar por completo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 la puntuación del </w:t>
      </w:r>
      <w:r w:rsidR="00DD6D9A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D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ía </w:t>
      </w:r>
      <w:r w:rsidR="00DD6D9A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E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scolar del SAT de Connecticut del registro de puntuaciones del SAT del College Board del estudiante.</w:t>
      </w:r>
    </w:p>
    <w:p w14:paraId="23F12DB6" w14:textId="2AB68D82" w:rsidR="003B5DEF" w:rsidRPr="003B5DEF" w:rsidRDefault="003B5DEF" w:rsidP="00D109A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lastRenderedPageBreak/>
        <w:t xml:space="preserve">o El Coordinador de </w:t>
      </w:r>
      <w:r w:rsidR="0034516B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E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xámenes puede presentar la solicitud para cancelar la puntuación de un estudiante presentando un informe de irregularidad en el Kit de </w:t>
      </w:r>
      <w:r w:rsidR="0034516B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H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erramientas del </w:t>
      </w:r>
      <w:r w:rsidR="0034516B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D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ía del </w:t>
      </w:r>
      <w:r w:rsidR="0034516B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E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xamen </w:t>
      </w:r>
      <w:r w:rsidRPr="003B5DEF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s-ES_tradnl"/>
          <w14:ligatures w14:val="none"/>
        </w:rPr>
        <w:t xml:space="preserve">O 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el estudiante puede llamar al servicio de atención al cliente de College Board al 866-756-7346.</w:t>
      </w:r>
    </w:p>
    <w:p w14:paraId="7673530A" w14:textId="77777777" w:rsidR="003B5DEF" w:rsidRPr="003B5DEF" w:rsidRDefault="003B5DEF" w:rsidP="00D109A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o </w:t>
      </w:r>
      <w:r w:rsidRPr="003B5DEF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val="es-ES_tradnl"/>
          <w14:ligatures w14:val="none"/>
        </w:rPr>
        <w:t xml:space="preserve">La fecha límite para eliminar completamente las puntuaciones es </w:t>
      </w:r>
      <w:r w:rsidRPr="003B5DEF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val="es-ES_tradnl"/>
          <w14:ligatures w14:val="none"/>
        </w:rPr>
        <w:t>el quinto día de la semana después de finalizar el examen.</w:t>
      </w:r>
    </w:p>
    <w:p w14:paraId="4145A21D" w14:textId="1529FE9A" w:rsidR="003B5DEF" w:rsidRPr="003B5DEF" w:rsidRDefault="003B5DEF" w:rsidP="00D109A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o El CSDE seguirá utilizando los puntajes del SAT del </w:t>
      </w:r>
      <w:r w:rsidR="007619C9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D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ía </w:t>
      </w:r>
      <w:r w:rsidR="007619C9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E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scolar del SAT de Connecticut para fines de rendición de cuentas de la escuela y el distrito.</w:t>
      </w:r>
    </w:p>
    <w:p w14:paraId="27691990" w14:textId="77777777" w:rsidR="003B5DEF" w:rsidRPr="003B5DEF" w:rsidRDefault="003B5DEF" w:rsidP="00D109A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 </w:t>
      </w:r>
    </w:p>
    <w:p w14:paraId="060679CA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Para obtener más información sobre las evaluaciones, también puede visitar nuestro sitio web en [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highlight w:val="yellow"/>
          <w:lang w:val="es-ES_tradnl"/>
          <w14:ligatures w14:val="none"/>
        </w:rPr>
        <w:t>INSERTAR LA PÁGINA WEB DEL DISTRITO, si corresponde]</w:t>
      </w: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 xml:space="preserve"> o la página web del CSDE SAT en </w:t>
      </w:r>
      <w:hyperlink r:id="rId6" w:tgtFrame="_blank" w:history="1">
        <w:r w:rsidRPr="003B5DEF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val="es-ES_tradnl"/>
            <w14:ligatures w14:val="none"/>
          </w:rPr>
          <w:t>www.ct.gov/sde/sat</w:t>
        </w:r>
      </w:hyperlink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.</w:t>
      </w:r>
    </w:p>
    <w:p w14:paraId="417AF101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 </w:t>
      </w:r>
    </w:p>
    <w:p w14:paraId="247C9D2A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Atentamente,</w:t>
      </w:r>
    </w:p>
    <w:p w14:paraId="5BA61A04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  <w:t> </w:t>
      </w:r>
    </w:p>
    <w:p w14:paraId="0E40E96B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highlight w:val="yellow"/>
          <w:lang w:val="es-ES_tradnl"/>
          <w14:ligatures w14:val="none"/>
        </w:rPr>
        <w:t>[INSERTAR NOMBRE]</w:t>
      </w:r>
    </w:p>
    <w:p w14:paraId="6B4758CD" w14:textId="77777777" w:rsidR="003B5DEF" w:rsidRPr="003B5DEF" w:rsidRDefault="003B5DEF" w:rsidP="003B5D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s-ES_tradnl"/>
          <w14:ligatures w14:val="none"/>
        </w:rPr>
      </w:pPr>
      <w:r w:rsidRPr="003B5DEF">
        <w:rPr>
          <w:rFonts w:ascii="Arial" w:eastAsia="Times New Roman" w:hAnsi="Arial" w:cs="Arial"/>
          <w:color w:val="222222"/>
          <w:kern w:val="0"/>
          <w:sz w:val="24"/>
          <w:szCs w:val="24"/>
          <w:highlight w:val="yellow"/>
          <w:lang w:val="es-ES_tradnl"/>
          <w14:ligatures w14:val="none"/>
        </w:rPr>
        <w:t>[INSERTAR TÍTULO]</w:t>
      </w:r>
    </w:p>
    <w:p w14:paraId="305B2668" w14:textId="77777777" w:rsidR="003B5DEF" w:rsidRPr="003B5DEF" w:rsidRDefault="003B5DEF">
      <w:pPr>
        <w:rPr>
          <w:lang w:val="es-ES_tradnl"/>
        </w:rPr>
      </w:pPr>
    </w:p>
    <w:sectPr w:rsidR="003B5DEF" w:rsidRPr="003B5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EF"/>
    <w:rsid w:val="00005999"/>
    <w:rsid w:val="00247693"/>
    <w:rsid w:val="003373F9"/>
    <w:rsid w:val="0034516B"/>
    <w:rsid w:val="0038155B"/>
    <w:rsid w:val="003B5DEF"/>
    <w:rsid w:val="004F7EAA"/>
    <w:rsid w:val="007619C9"/>
    <w:rsid w:val="00977AD7"/>
    <w:rsid w:val="00990642"/>
    <w:rsid w:val="009D6B4A"/>
    <w:rsid w:val="00B8093E"/>
    <w:rsid w:val="00BE0BA2"/>
    <w:rsid w:val="00CC2809"/>
    <w:rsid w:val="00D109A7"/>
    <w:rsid w:val="00DD6D9A"/>
    <w:rsid w:val="00E966F9"/>
    <w:rsid w:val="00EC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56EE0"/>
  <w15:chartTrackingRefBased/>
  <w15:docId w15:val="{B681E2D7-7E78-4F13-9560-CEE0FE4D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5D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t.gov/sde/sat" TargetMode="External"/><Relationship Id="rId5" Type="http://schemas.openxmlformats.org/officeDocument/2006/relationships/hyperlink" Target="https://sat.collegeboard.org/register/sat-score-choice" TargetMode="External"/><Relationship Id="rId4" Type="http://schemas.openxmlformats.org/officeDocument/2006/relationships/hyperlink" Target="http://collegeboard.org/mys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Lugo Gines</dc:creator>
  <cp:keywords/>
  <dc:description/>
  <cp:lastModifiedBy>Rosado, Michelle</cp:lastModifiedBy>
  <cp:revision>4</cp:revision>
  <dcterms:created xsi:type="dcterms:W3CDTF">2026-01-14T13:42:00Z</dcterms:created>
  <dcterms:modified xsi:type="dcterms:W3CDTF">2026-02-02T14:40:00Z</dcterms:modified>
</cp:coreProperties>
</file>