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C1AE" w14:textId="77777777" w:rsidR="00027CE6" w:rsidRPr="00A829F4" w:rsidRDefault="00027CE6" w:rsidP="00027CE6">
      <w:pPr>
        <w:jc w:val="center"/>
        <w:rPr>
          <w:szCs w:val="22"/>
        </w:rPr>
      </w:pPr>
    </w:p>
    <w:p w14:paraId="02031CF0" w14:textId="77777777" w:rsidR="00027CE6" w:rsidRPr="00A829F4" w:rsidRDefault="00027CE6" w:rsidP="00027CE6">
      <w:pPr>
        <w:jc w:val="center"/>
        <w:rPr>
          <w:sz w:val="48"/>
          <w:szCs w:val="48"/>
        </w:rPr>
      </w:pPr>
    </w:p>
    <w:p w14:paraId="4C79C5E1" w14:textId="7F889ABD" w:rsidR="00027CE6" w:rsidRPr="00A829F4" w:rsidRDefault="00027CE6" w:rsidP="0093135C">
      <w:pPr>
        <w:jc w:val="center"/>
        <w:rPr>
          <w:color w:val="1F497D"/>
          <w:sz w:val="60"/>
          <w:szCs w:val="60"/>
        </w:rPr>
      </w:pPr>
      <w:r>
        <w:rPr>
          <w:color w:val="1F497D"/>
          <w:sz w:val="60"/>
          <w:szCs w:val="60"/>
        </w:rPr>
        <w:t>Connecticut</w:t>
      </w:r>
      <w:r w:rsidR="00A751B8">
        <w:rPr>
          <w:color w:val="1F497D"/>
          <w:sz w:val="60"/>
          <w:szCs w:val="60"/>
        </w:rPr>
        <w:t xml:space="preserve"> State Department of Education</w:t>
      </w:r>
    </w:p>
    <w:p w14:paraId="523309D8" w14:textId="448EFE82" w:rsidR="00027CE6" w:rsidRDefault="00A751B8" w:rsidP="0093135C">
      <w:pPr>
        <w:jc w:val="center"/>
        <w:rPr>
          <w:color w:val="1F497D"/>
          <w:sz w:val="60"/>
          <w:szCs w:val="60"/>
        </w:rPr>
      </w:pPr>
      <w:r>
        <w:rPr>
          <w:color w:val="1F497D"/>
          <w:sz w:val="60"/>
          <w:szCs w:val="60"/>
        </w:rPr>
        <w:t>Uniform Chart of Accounts (UCOA)</w:t>
      </w:r>
    </w:p>
    <w:p w14:paraId="7E8A777B" w14:textId="4318E26B" w:rsidR="00EC32D8" w:rsidRDefault="00A751B8" w:rsidP="00A751B8">
      <w:pPr>
        <w:jc w:val="center"/>
        <w:rPr>
          <w:sz w:val="52"/>
          <w:szCs w:val="52"/>
          <w:u w:val="single"/>
        </w:rPr>
        <w:sectPr w:rsidR="00EC32D8" w:rsidSect="0093135C">
          <w:footerReference w:type="default" r:id="rId12"/>
          <w:pgSz w:w="12240" w:h="15840"/>
          <w:pgMar w:top="1008" w:right="1440" w:bottom="1152" w:left="1440" w:header="720" w:footer="720" w:gutter="0"/>
          <w:pgNumType w:start="1"/>
          <w:cols w:space="720"/>
          <w:docGrid w:linePitch="360"/>
        </w:sectPr>
      </w:pPr>
      <w:r>
        <w:rPr>
          <w:color w:val="1F497D"/>
          <w:sz w:val="60"/>
          <w:szCs w:val="60"/>
        </w:rPr>
        <w:t>Implementation Guide</w:t>
      </w:r>
      <w:bookmarkStart w:id="0" w:name="_GoBack"/>
      <w:bookmarkEnd w:id="0"/>
    </w:p>
    <w:p w14:paraId="50622B98" w14:textId="1D8E7E28" w:rsidR="00027CE6" w:rsidRPr="00A829F4" w:rsidRDefault="00027CE6" w:rsidP="00A751B8">
      <w:pPr>
        <w:rPr>
          <w:sz w:val="52"/>
          <w:szCs w:val="52"/>
          <w:u w:val="single"/>
        </w:rPr>
      </w:pPr>
    </w:p>
    <w:sdt>
      <w:sdtPr>
        <w:rPr>
          <w:rFonts w:ascii="Times New Roman" w:eastAsia="Times New Roman" w:hAnsi="Times New Roman" w:cs="Times New Roman"/>
          <w:b w:val="0"/>
          <w:color w:val="auto"/>
          <w:sz w:val="22"/>
          <w:szCs w:val="20"/>
        </w:rPr>
        <w:id w:val="589203159"/>
        <w:docPartObj>
          <w:docPartGallery w:val="Table of Contents"/>
          <w:docPartUnique/>
        </w:docPartObj>
      </w:sdtPr>
      <w:sdtEndPr>
        <w:rPr>
          <w:bCs/>
          <w:noProof/>
        </w:rPr>
      </w:sdtEndPr>
      <w:sdtContent>
        <w:p w14:paraId="6D182CDA" w14:textId="77777777" w:rsidR="001A0221" w:rsidRDefault="001A0221">
          <w:pPr>
            <w:pStyle w:val="TOCHeading"/>
          </w:pPr>
          <w:r>
            <w:t>Table of Contents</w:t>
          </w:r>
        </w:p>
        <w:p w14:paraId="6A88B6E1" w14:textId="77777777" w:rsidR="00F5463C" w:rsidRPr="00F5463C" w:rsidRDefault="00F5463C" w:rsidP="00F5463C"/>
        <w:p w14:paraId="28C8E4BF" w14:textId="77777777" w:rsidR="00CE00A8" w:rsidRDefault="001A0221">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64209560" w:history="1">
            <w:r w:rsidR="00CE00A8" w:rsidRPr="002D307E">
              <w:rPr>
                <w:rStyle w:val="Hyperlink"/>
                <w:noProof/>
              </w:rPr>
              <w:t>1</w:t>
            </w:r>
            <w:r w:rsidR="00CE00A8">
              <w:rPr>
                <w:rFonts w:asciiTheme="minorHAnsi" w:eastAsiaTheme="minorEastAsia" w:hAnsiTheme="minorHAnsi" w:cstheme="minorBidi"/>
                <w:noProof/>
                <w:szCs w:val="22"/>
              </w:rPr>
              <w:tab/>
            </w:r>
            <w:r w:rsidR="00CE00A8" w:rsidRPr="002D307E">
              <w:rPr>
                <w:rStyle w:val="Hyperlink"/>
                <w:noProof/>
              </w:rPr>
              <w:t>Introduction</w:t>
            </w:r>
            <w:r w:rsidR="00CE00A8">
              <w:rPr>
                <w:noProof/>
                <w:webHidden/>
              </w:rPr>
              <w:tab/>
            </w:r>
            <w:r w:rsidR="00CE00A8">
              <w:rPr>
                <w:noProof/>
                <w:webHidden/>
              </w:rPr>
              <w:fldChar w:fldCharType="begin"/>
            </w:r>
            <w:r w:rsidR="00CE00A8">
              <w:rPr>
                <w:noProof/>
                <w:webHidden/>
              </w:rPr>
              <w:instrText xml:space="preserve"> PAGEREF _Toc464209560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3DFC3087" w14:textId="77777777" w:rsidR="00CE00A8" w:rsidRDefault="00911A1C">
          <w:pPr>
            <w:pStyle w:val="TOC2"/>
            <w:rPr>
              <w:rFonts w:asciiTheme="minorHAnsi" w:eastAsiaTheme="minorEastAsia" w:hAnsiTheme="minorHAnsi" w:cstheme="minorBidi"/>
              <w:noProof/>
              <w:szCs w:val="22"/>
            </w:rPr>
          </w:pPr>
          <w:hyperlink w:anchor="_Toc464209561" w:history="1">
            <w:r w:rsidR="00CE00A8" w:rsidRPr="002D307E">
              <w:rPr>
                <w:rStyle w:val="Hyperlink"/>
                <w:noProof/>
              </w:rPr>
              <w:t>Background</w:t>
            </w:r>
            <w:r w:rsidR="00CE00A8">
              <w:rPr>
                <w:noProof/>
                <w:webHidden/>
              </w:rPr>
              <w:tab/>
            </w:r>
            <w:r w:rsidR="00CE00A8">
              <w:rPr>
                <w:noProof/>
                <w:webHidden/>
              </w:rPr>
              <w:fldChar w:fldCharType="begin"/>
            </w:r>
            <w:r w:rsidR="00CE00A8">
              <w:rPr>
                <w:noProof/>
                <w:webHidden/>
              </w:rPr>
              <w:instrText xml:space="preserve"> PAGEREF _Toc464209561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0EDE8D47" w14:textId="77777777" w:rsidR="00CE00A8" w:rsidRDefault="00911A1C">
          <w:pPr>
            <w:pStyle w:val="TOC2"/>
            <w:rPr>
              <w:rFonts w:asciiTheme="minorHAnsi" w:eastAsiaTheme="minorEastAsia" w:hAnsiTheme="minorHAnsi" w:cstheme="minorBidi"/>
              <w:noProof/>
              <w:szCs w:val="22"/>
            </w:rPr>
          </w:pPr>
          <w:hyperlink w:anchor="_Toc464209562" w:history="1">
            <w:r w:rsidR="00CE00A8" w:rsidRPr="002D307E">
              <w:rPr>
                <w:rStyle w:val="Hyperlink"/>
                <w:noProof/>
              </w:rPr>
              <w:t>Updates</w:t>
            </w:r>
            <w:r w:rsidR="00CE00A8">
              <w:rPr>
                <w:noProof/>
                <w:webHidden/>
              </w:rPr>
              <w:tab/>
            </w:r>
            <w:r w:rsidR="00CE00A8">
              <w:rPr>
                <w:noProof/>
                <w:webHidden/>
              </w:rPr>
              <w:fldChar w:fldCharType="begin"/>
            </w:r>
            <w:r w:rsidR="00CE00A8">
              <w:rPr>
                <w:noProof/>
                <w:webHidden/>
              </w:rPr>
              <w:instrText xml:space="preserve"> PAGEREF _Toc464209562 \h </w:instrText>
            </w:r>
            <w:r w:rsidR="00CE00A8">
              <w:rPr>
                <w:noProof/>
                <w:webHidden/>
              </w:rPr>
            </w:r>
            <w:r w:rsidR="00CE00A8">
              <w:rPr>
                <w:noProof/>
                <w:webHidden/>
              </w:rPr>
              <w:fldChar w:fldCharType="separate"/>
            </w:r>
            <w:r w:rsidR="00CE00A8">
              <w:rPr>
                <w:noProof/>
                <w:webHidden/>
              </w:rPr>
              <w:t>2</w:t>
            </w:r>
            <w:r w:rsidR="00CE00A8">
              <w:rPr>
                <w:noProof/>
                <w:webHidden/>
              </w:rPr>
              <w:fldChar w:fldCharType="end"/>
            </w:r>
          </w:hyperlink>
        </w:p>
        <w:p w14:paraId="0ADE954B" w14:textId="77777777" w:rsidR="00CE00A8" w:rsidRDefault="00911A1C">
          <w:pPr>
            <w:pStyle w:val="TOC1"/>
            <w:rPr>
              <w:rFonts w:asciiTheme="minorHAnsi" w:eastAsiaTheme="minorEastAsia" w:hAnsiTheme="minorHAnsi" w:cstheme="minorBidi"/>
              <w:noProof/>
              <w:szCs w:val="22"/>
            </w:rPr>
          </w:pPr>
          <w:hyperlink w:anchor="_Toc464209563" w:history="1">
            <w:r w:rsidR="00CE00A8" w:rsidRPr="002D307E">
              <w:rPr>
                <w:rStyle w:val="Hyperlink"/>
                <w:noProof/>
              </w:rPr>
              <w:t>2</w:t>
            </w:r>
            <w:r w:rsidR="00CE00A8">
              <w:rPr>
                <w:rFonts w:asciiTheme="minorHAnsi" w:eastAsiaTheme="minorEastAsia" w:hAnsiTheme="minorHAnsi" w:cstheme="minorBidi"/>
                <w:noProof/>
                <w:szCs w:val="22"/>
              </w:rPr>
              <w:tab/>
            </w:r>
            <w:r w:rsidR="00CE00A8" w:rsidRPr="002D307E">
              <w:rPr>
                <w:rStyle w:val="Hyperlink"/>
                <w:noProof/>
              </w:rPr>
              <w:t>Design and Structure of the Chart of Accounts</w:t>
            </w:r>
            <w:r w:rsidR="00CE00A8">
              <w:rPr>
                <w:noProof/>
                <w:webHidden/>
              </w:rPr>
              <w:tab/>
            </w:r>
            <w:r w:rsidR="00CE00A8">
              <w:rPr>
                <w:noProof/>
                <w:webHidden/>
              </w:rPr>
              <w:fldChar w:fldCharType="begin"/>
            </w:r>
            <w:r w:rsidR="00CE00A8">
              <w:rPr>
                <w:noProof/>
                <w:webHidden/>
              </w:rPr>
              <w:instrText xml:space="preserve"> PAGEREF _Toc464209563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18121014" w14:textId="77777777" w:rsidR="00CE00A8" w:rsidRDefault="00911A1C">
          <w:pPr>
            <w:pStyle w:val="TOC2"/>
            <w:rPr>
              <w:rFonts w:asciiTheme="minorHAnsi" w:eastAsiaTheme="minorEastAsia" w:hAnsiTheme="minorHAnsi" w:cstheme="minorBidi"/>
              <w:noProof/>
              <w:szCs w:val="22"/>
            </w:rPr>
          </w:pPr>
          <w:hyperlink w:anchor="_Toc464209564" w:history="1">
            <w:r w:rsidR="00CE00A8" w:rsidRPr="002D307E">
              <w:rPr>
                <w:rStyle w:val="Hyperlink"/>
                <w:noProof/>
              </w:rPr>
              <w:t>Overview</w:t>
            </w:r>
            <w:r w:rsidR="00CE00A8">
              <w:rPr>
                <w:noProof/>
                <w:webHidden/>
              </w:rPr>
              <w:tab/>
            </w:r>
            <w:r w:rsidR="00CE00A8">
              <w:rPr>
                <w:noProof/>
                <w:webHidden/>
              </w:rPr>
              <w:fldChar w:fldCharType="begin"/>
            </w:r>
            <w:r w:rsidR="00CE00A8">
              <w:rPr>
                <w:noProof/>
                <w:webHidden/>
              </w:rPr>
              <w:instrText xml:space="preserve"> PAGEREF _Toc464209564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07FF7ABA" w14:textId="77777777" w:rsidR="00CE00A8" w:rsidRDefault="00911A1C">
          <w:pPr>
            <w:pStyle w:val="TOC2"/>
            <w:rPr>
              <w:rFonts w:asciiTheme="minorHAnsi" w:eastAsiaTheme="minorEastAsia" w:hAnsiTheme="minorHAnsi" w:cstheme="minorBidi"/>
              <w:noProof/>
              <w:szCs w:val="22"/>
            </w:rPr>
          </w:pPr>
          <w:hyperlink w:anchor="_Toc464209565" w:history="1">
            <w:r w:rsidR="00CE00A8" w:rsidRPr="002D307E">
              <w:rPr>
                <w:rStyle w:val="Hyperlink"/>
                <w:noProof/>
              </w:rPr>
              <w:t>UCOA structure</w:t>
            </w:r>
            <w:r w:rsidR="00CE00A8">
              <w:rPr>
                <w:noProof/>
                <w:webHidden/>
              </w:rPr>
              <w:tab/>
            </w:r>
            <w:r w:rsidR="00CE00A8">
              <w:rPr>
                <w:noProof/>
                <w:webHidden/>
              </w:rPr>
              <w:fldChar w:fldCharType="begin"/>
            </w:r>
            <w:r w:rsidR="00CE00A8">
              <w:rPr>
                <w:noProof/>
                <w:webHidden/>
              </w:rPr>
              <w:instrText xml:space="preserve"> PAGEREF _Toc464209565 \h </w:instrText>
            </w:r>
            <w:r w:rsidR="00CE00A8">
              <w:rPr>
                <w:noProof/>
                <w:webHidden/>
              </w:rPr>
            </w:r>
            <w:r w:rsidR="00CE00A8">
              <w:rPr>
                <w:noProof/>
                <w:webHidden/>
              </w:rPr>
              <w:fldChar w:fldCharType="separate"/>
            </w:r>
            <w:r w:rsidR="00CE00A8">
              <w:rPr>
                <w:noProof/>
                <w:webHidden/>
              </w:rPr>
              <w:t>3</w:t>
            </w:r>
            <w:r w:rsidR="00CE00A8">
              <w:rPr>
                <w:noProof/>
                <w:webHidden/>
              </w:rPr>
              <w:fldChar w:fldCharType="end"/>
            </w:r>
          </w:hyperlink>
        </w:p>
        <w:p w14:paraId="6F13F288" w14:textId="77777777" w:rsidR="00CE00A8" w:rsidRDefault="00911A1C">
          <w:pPr>
            <w:pStyle w:val="TOC2"/>
            <w:rPr>
              <w:rFonts w:asciiTheme="minorHAnsi" w:eastAsiaTheme="minorEastAsia" w:hAnsiTheme="minorHAnsi" w:cstheme="minorBidi"/>
              <w:noProof/>
              <w:szCs w:val="22"/>
            </w:rPr>
          </w:pPr>
          <w:hyperlink w:anchor="_Toc464209566" w:history="1">
            <w:r w:rsidR="00CE00A8" w:rsidRPr="002D307E">
              <w:rPr>
                <w:rStyle w:val="Hyperlink"/>
                <w:noProof/>
              </w:rPr>
              <w:t>Account Descriptions – Names if implementing the UCOA in local accounting systems</w:t>
            </w:r>
            <w:r w:rsidR="00CE00A8">
              <w:rPr>
                <w:noProof/>
                <w:webHidden/>
              </w:rPr>
              <w:tab/>
            </w:r>
            <w:r w:rsidR="00CE00A8">
              <w:rPr>
                <w:noProof/>
                <w:webHidden/>
              </w:rPr>
              <w:fldChar w:fldCharType="begin"/>
            </w:r>
            <w:r w:rsidR="00CE00A8">
              <w:rPr>
                <w:noProof/>
                <w:webHidden/>
              </w:rPr>
              <w:instrText xml:space="preserve"> PAGEREF _Toc464209566 \h </w:instrText>
            </w:r>
            <w:r w:rsidR="00CE00A8">
              <w:rPr>
                <w:noProof/>
                <w:webHidden/>
              </w:rPr>
            </w:r>
            <w:r w:rsidR="00CE00A8">
              <w:rPr>
                <w:noProof/>
                <w:webHidden/>
              </w:rPr>
              <w:fldChar w:fldCharType="separate"/>
            </w:r>
            <w:r w:rsidR="00CE00A8">
              <w:rPr>
                <w:noProof/>
                <w:webHidden/>
              </w:rPr>
              <w:t>7</w:t>
            </w:r>
            <w:r w:rsidR="00CE00A8">
              <w:rPr>
                <w:noProof/>
                <w:webHidden/>
              </w:rPr>
              <w:fldChar w:fldCharType="end"/>
            </w:r>
          </w:hyperlink>
        </w:p>
        <w:p w14:paraId="6B4C37C0" w14:textId="77777777" w:rsidR="00CE00A8" w:rsidRDefault="00911A1C">
          <w:pPr>
            <w:pStyle w:val="TOC1"/>
            <w:rPr>
              <w:rFonts w:asciiTheme="minorHAnsi" w:eastAsiaTheme="minorEastAsia" w:hAnsiTheme="minorHAnsi" w:cstheme="minorBidi"/>
              <w:noProof/>
              <w:szCs w:val="22"/>
            </w:rPr>
          </w:pPr>
          <w:hyperlink w:anchor="_Toc464209567" w:history="1">
            <w:r w:rsidR="00CE00A8" w:rsidRPr="002D307E">
              <w:rPr>
                <w:rStyle w:val="Hyperlink"/>
                <w:noProof/>
              </w:rPr>
              <w:t>Appendix A – Balance Sheet Account Definitions</w:t>
            </w:r>
            <w:r w:rsidR="00CE00A8">
              <w:rPr>
                <w:noProof/>
                <w:webHidden/>
              </w:rPr>
              <w:tab/>
            </w:r>
            <w:r w:rsidR="00CE00A8">
              <w:rPr>
                <w:noProof/>
                <w:webHidden/>
              </w:rPr>
              <w:fldChar w:fldCharType="begin"/>
            </w:r>
            <w:r w:rsidR="00CE00A8">
              <w:rPr>
                <w:noProof/>
                <w:webHidden/>
              </w:rPr>
              <w:instrText xml:space="preserve"> PAGEREF _Toc464209567 \h </w:instrText>
            </w:r>
            <w:r w:rsidR="00CE00A8">
              <w:rPr>
                <w:noProof/>
                <w:webHidden/>
              </w:rPr>
            </w:r>
            <w:r w:rsidR="00CE00A8">
              <w:rPr>
                <w:noProof/>
                <w:webHidden/>
              </w:rPr>
              <w:fldChar w:fldCharType="separate"/>
            </w:r>
            <w:r w:rsidR="00CE00A8">
              <w:rPr>
                <w:noProof/>
                <w:webHidden/>
              </w:rPr>
              <w:t>8</w:t>
            </w:r>
            <w:r w:rsidR="00CE00A8">
              <w:rPr>
                <w:noProof/>
                <w:webHidden/>
              </w:rPr>
              <w:fldChar w:fldCharType="end"/>
            </w:r>
          </w:hyperlink>
        </w:p>
        <w:p w14:paraId="6603B3C3" w14:textId="77777777" w:rsidR="00CE00A8" w:rsidRDefault="00911A1C">
          <w:pPr>
            <w:pStyle w:val="TOC3"/>
            <w:tabs>
              <w:tab w:val="right" w:leader="dot" w:pos="9350"/>
            </w:tabs>
            <w:rPr>
              <w:rFonts w:asciiTheme="minorHAnsi" w:eastAsiaTheme="minorEastAsia" w:hAnsiTheme="minorHAnsi" w:cstheme="minorBidi"/>
              <w:noProof/>
              <w:szCs w:val="22"/>
            </w:rPr>
          </w:pPr>
          <w:hyperlink w:anchor="_Toc464209568" w:history="1">
            <w:r w:rsidR="00CE00A8" w:rsidRPr="002D307E">
              <w:rPr>
                <w:rStyle w:val="Hyperlink"/>
                <w:noProof/>
              </w:rPr>
              <w:t>Balance Sheet Code Definitions – Assets</w:t>
            </w:r>
            <w:r w:rsidR="00CE00A8">
              <w:rPr>
                <w:noProof/>
                <w:webHidden/>
              </w:rPr>
              <w:tab/>
            </w:r>
            <w:r w:rsidR="00CE00A8">
              <w:rPr>
                <w:noProof/>
                <w:webHidden/>
              </w:rPr>
              <w:fldChar w:fldCharType="begin"/>
            </w:r>
            <w:r w:rsidR="00CE00A8">
              <w:rPr>
                <w:noProof/>
                <w:webHidden/>
              </w:rPr>
              <w:instrText xml:space="preserve"> PAGEREF _Toc464209568 \h </w:instrText>
            </w:r>
            <w:r w:rsidR="00CE00A8">
              <w:rPr>
                <w:noProof/>
                <w:webHidden/>
              </w:rPr>
            </w:r>
            <w:r w:rsidR="00CE00A8">
              <w:rPr>
                <w:noProof/>
                <w:webHidden/>
              </w:rPr>
              <w:fldChar w:fldCharType="separate"/>
            </w:r>
            <w:r w:rsidR="00CE00A8">
              <w:rPr>
                <w:noProof/>
                <w:webHidden/>
              </w:rPr>
              <w:t>8</w:t>
            </w:r>
            <w:r w:rsidR="00CE00A8">
              <w:rPr>
                <w:noProof/>
                <w:webHidden/>
              </w:rPr>
              <w:fldChar w:fldCharType="end"/>
            </w:r>
          </w:hyperlink>
        </w:p>
        <w:p w14:paraId="37143926" w14:textId="77777777" w:rsidR="00CE00A8" w:rsidRDefault="00911A1C">
          <w:pPr>
            <w:pStyle w:val="TOC3"/>
            <w:tabs>
              <w:tab w:val="right" w:leader="dot" w:pos="9350"/>
            </w:tabs>
            <w:rPr>
              <w:rFonts w:asciiTheme="minorHAnsi" w:eastAsiaTheme="minorEastAsia" w:hAnsiTheme="minorHAnsi" w:cstheme="minorBidi"/>
              <w:noProof/>
              <w:szCs w:val="22"/>
            </w:rPr>
          </w:pPr>
          <w:hyperlink w:anchor="_Toc464209569" w:history="1">
            <w:r w:rsidR="00CE00A8" w:rsidRPr="002D307E">
              <w:rPr>
                <w:rStyle w:val="Hyperlink"/>
                <w:noProof/>
              </w:rPr>
              <w:t>Balance Sheet Code Definitions – Liabilities</w:t>
            </w:r>
            <w:r w:rsidR="00CE00A8">
              <w:rPr>
                <w:noProof/>
                <w:webHidden/>
              </w:rPr>
              <w:tab/>
            </w:r>
            <w:r w:rsidR="00CE00A8">
              <w:rPr>
                <w:noProof/>
                <w:webHidden/>
              </w:rPr>
              <w:fldChar w:fldCharType="begin"/>
            </w:r>
            <w:r w:rsidR="00CE00A8">
              <w:rPr>
                <w:noProof/>
                <w:webHidden/>
              </w:rPr>
              <w:instrText xml:space="preserve"> PAGEREF _Toc464209569 \h </w:instrText>
            </w:r>
            <w:r w:rsidR="00CE00A8">
              <w:rPr>
                <w:noProof/>
                <w:webHidden/>
              </w:rPr>
            </w:r>
            <w:r w:rsidR="00CE00A8">
              <w:rPr>
                <w:noProof/>
                <w:webHidden/>
              </w:rPr>
              <w:fldChar w:fldCharType="separate"/>
            </w:r>
            <w:r w:rsidR="00CE00A8">
              <w:rPr>
                <w:noProof/>
                <w:webHidden/>
              </w:rPr>
              <w:t>9</w:t>
            </w:r>
            <w:r w:rsidR="00CE00A8">
              <w:rPr>
                <w:noProof/>
                <w:webHidden/>
              </w:rPr>
              <w:fldChar w:fldCharType="end"/>
            </w:r>
          </w:hyperlink>
        </w:p>
        <w:p w14:paraId="1DE14391" w14:textId="77777777" w:rsidR="00CE00A8" w:rsidRDefault="00911A1C">
          <w:pPr>
            <w:pStyle w:val="TOC3"/>
            <w:tabs>
              <w:tab w:val="right" w:leader="dot" w:pos="9350"/>
            </w:tabs>
            <w:rPr>
              <w:rFonts w:asciiTheme="minorHAnsi" w:eastAsiaTheme="minorEastAsia" w:hAnsiTheme="minorHAnsi" w:cstheme="minorBidi"/>
              <w:noProof/>
              <w:szCs w:val="22"/>
            </w:rPr>
          </w:pPr>
          <w:hyperlink w:anchor="_Toc464209570" w:history="1">
            <w:r w:rsidR="00CE00A8" w:rsidRPr="002D307E">
              <w:rPr>
                <w:rStyle w:val="Hyperlink"/>
                <w:noProof/>
              </w:rPr>
              <w:t>Balance Sheet Code Definitions – Equity</w:t>
            </w:r>
            <w:r w:rsidR="00CE00A8">
              <w:rPr>
                <w:noProof/>
                <w:webHidden/>
              </w:rPr>
              <w:tab/>
            </w:r>
            <w:r w:rsidR="00CE00A8">
              <w:rPr>
                <w:noProof/>
                <w:webHidden/>
              </w:rPr>
              <w:fldChar w:fldCharType="begin"/>
            </w:r>
            <w:r w:rsidR="00CE00A8">
              <w:rPr>
                <w:noProof/>
                <w:webHidden/>
              </w:rPr>
              <w:instrText xml:space="preserve"> PAGEREF _Toc464209570 \h </w:instrText>
            </w:r>
            <w:r w:rsidR="00CE00A8">
              <w:rPr>
                <w:noProof/>
                <w:webHidden/>
              </w:rPr>
            </w:r>
            <w:r w:rsidR="00CE00A8">
              <w:rPr>
                <w:noProof/>
                <w:webHidden/>
              </w:rPr>
              <w:fldChar w:fldCharType="separate"/>
            </w:r>
            <w:r w:rsidR="00CE00A8">
              <w:rPr>
                <w:noProof/>
                <w:webHidden/>
              </w:rPr>
              <w:t>9</w:t>
            </w:r>
            <w:r w:rsidR="00CE00A8">
              <w:rPr>
                <w:noProof/>
                <w:webHidden/>
              </w:rPr>
              <w:fldChar w:fldCharType="end"/>
            </w:r>
          </w:hyperlink>
        </w:p>
        <w:p w14:paraId="65E9E691" w14:textId="77777777" w:rsidR="00CE00A8" w:rsidRDefault="00911A1C">
          <w:pPr>
            <w:pStyle w:val="TOC1"/>
            <w:rPr>
              <w:rFonts w:asciiTheme="minorHAnsi" w:eastAsiaTheme="minorEastAsia" w:hAnsiTheme="minorHAnsi" w:cstheme="minorBidi"/>
              <w:noProof/>
              <w:szCs w:val="22"/>
            </w:rPr>
          </w:pPr>
          <w:hyperlink w:anchor="_Toc464209571" w:history="1">
            <w:r w:rsidR="00CE00A8" w:rsidRPr="002D307E">
              <w:rPr>
                <w:rStyle w:val="Hyperlink"/>
                <w:noProof/>
              </w:rPr>
              <w:t>Appendix B – Guidance for Charter Schools</w:t>
            </w:r>
            <w:r w:rsidR="00CE00A8">
              <w:rPr>
                <w:noProof/>
                <w:webHidden/>
              </w:rPr>
              <w:tab/>
            </w:r>
            <w:r w:rsidR="00CE00A8">
              <w:rPr>
                <w:noProof/>
                <w:webHidden/>
              </w:rPr>
              <w:fldChar w:fldCharType="begin"/>
            </w:r>
            <w:r w:rsidR="00CE00A8">
              <w:rPr>
                <w:noProof/>
                <w:webHidden/>
              </w:rPr>
              <w:instrText xml:space="preserve"> PAGEREF _Toc464209571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593F4129" w14:textId="77777777" w:rsidR="00CE00A8" w:rsidRDefault="00911A1C">
          <w:pPr>
            <w:pStyle w:val="TOC2"/>
            <w:rPr>
              <w:rFonts w:asciiTheme="minorHAnsi" w:eastAsiaTheme="minorEastAsia" w:hAnsiTheme="minorHAnsi" w:cstheme="minorBidi"/>
              <w:noProof/>
              <w:szCs w:val="22"/>
            </w:rPr>
          </w:pPr>
          <w:hyperlink w:anchor="_Toc464209572" w:history="1">
            <w:r w:rsidR="00CE00A8" w:rsidRPr="002D307E">
              <w:rPr>
                <w:rStyle w:val="Hyperlink"/>
                <w:noProof/>
              </w:rPr>
              <w:t>GAAP for Charter Schools</w:t>
            </w:r>
            <w:r w:rsidR="00CE00A8">
              <w:rPr>
                <w:noProof/>
                <w:webHidden/>
              </w:rPr>
              <w:tab/>
            </w:r>
            <w:r w:rsidR="00CE00A8">
              <w:rPr>
                <w:noProof/>
                <w:webHidden/>
              </w:rPr>
              <w:fldChar w:fldCharType="begin"/>
            </w:r>
            <w:r w:rsidR="00CE00A8">
              <w:rPr>
                <w:noProof/>
                <w:webHidden/>
              </w:rPr>
              <w:instrText xml:space="preserve"> PAGEREF _Toc464209572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6AB39EBA" w14:textId="77777777" w:rsidR="00CE00A8" w:rsidRDefault="00911A1C">
          <w:pPr>
            <w:pStyle w:val="TOC2"/>
            <w:rPr>
              <w:rFonts w:asciiTheme="minorHAnsi" w:eastAsiaTheme="minorEastAsia" w:hAnsiTheme="minorHAnsi" w:cstheme="minorBidi"/>
              <w:noProof/>
              <w:szCs w:val="22"/>
            </w:rPr>
          </w:pPr>
          <w:hyperlink w:anchor="_Toc464209573" w:history="1">
            <w:r w:rsidR="00CE00A8" w:rsidRPr="002D307E">
              <w:rPr>
                <w:rStyle w:val="Hyperlink"/>
                <w:noProof/>
              </w:rPr>
              <w:t>Formats for Reporting Charter School Financial Data to SDE</w:t>
            </w:r>
            <w:r w:rsidR="00CE00A8">
              <w:rPr>
                <w:noProof/>
                <w:webHidden/>
              </w:rPr>
              <w:tab/>
            </w:r>
            <w:r w:rsidR="00CE00A8">
              <w:rPr>
                <w:noProof/>
                <w:webHidden/>
              </w:rPr>
              <w:fldChar w:fldCharType="begin"/>
            </w:r>
            <w:r w:rsidR="00CE00A8">
              <w:rPr>
                <w:noProof/>
                <w:webHidden/>
              </w:rPr>
              <w:instrText xml:space="preserve"> PAGEREF _Toc464209573 \h </w:instrText>
            </w:r>
            <w:r w:rsidR="00CE00A8">
              <w:rPr>
                <w:noProof/>
                <w:webHidden/>
              </w:rPr>
            </w:r>
            <w:r w:rsidR="00CE00A8">
              <w:rPr>
                <w:noProof/>
                <w:webHidden/>
              </w:rPr>
              <w:fldChar w:fldCharType="separate"/>
            </w:r>
            <w:r w:rsidR="00CE00A8">
              <w:rPr>
                <w:noProof/>
                <w:webHidden/>
              </w:rPr>
              <w:t>11</w:t>
            </w:r>
            <w:r w:rsidR="00CE00A8">
              <w:rPr>
                <w:noProof/>
                <w:webHidden/>
              </w:rPr>
              <w:fldChar w:fldCharType="end"/>
            </w:r>
          </w:hyperlink>
        </w:p>
        <w:p w14:paraId="6E1C4693" w14:textId="77777777" w:rsidR="00BF775F" w:rsidRDefault="001A0221" w:rsidP="00BF775F">
          <w:pPr>
            <w:rPr>
              <w:bCs/>
              <w:noProof/>
            </w:rPr>
          </w:pPr>
          <w:r>
            <w:rPr>
              <w:b/>
              <w:bCs/>
              <w:noProof/>
            </w:rPr>
            <w:fldChar w:fldCharType="end"/>
          </w:r>
        </w:p>
      </w:sdtContent>
    </w:sdt>
    <w:bookmarkStart w:id="1" w:name="_Ref370988881" w:displacedByCustomXml="prev"/>
    <w:p w14:paraId="14A09DF1" w14:textId="77777777" w:rsidR="00491347" w:rsidRDefault="00491347" w:rsidP="00491347">
      <w:pPr>
        <w:pStyle w:val="Heading1"/>
        <w:numPr>
          <w:ilvl w:val="0"/>
          <w:numId w:val="0"/>
        </w:numPr>
        <w:ind w:left="-144"/>
        <w:sectPr w:rsidR="00491347" w:rsidSect="0093135C">
          <w:footerReference w:type="default" r:id="rId13"/>
          <w:pgSz w:w="12240" w:h="15840"/>
          <w:pgMar w:top="1008" w:right="1440" w:bottom="1152" w:left="1440" w:header="720" w:footer="720" w:gutter="0"/>
          <w:pgNumType w:start="1"/>
          <w:cols w:space="720"/>
          <w:docGrid w:linePitch="360"/>
        </w:sectPr>
      </w:pPr>
    </w:p>
    <w:p w14:paraId="444E4E8A" w14:textId="0B27E59E" w:rsidR="00491347" w:rsidRDefault="00491347" w:rsidP="009E5CC0">
      <w:pPr>
        <w:pStyle w:val="Heading1"/>
        <w:numPr>
          <w:ilvl w:val="0"/>
          <w:numId w:val="0"/>
        </w:numPr>
        <w:ind w:left="-144"/>
      </w:pPr>
    </w:p>
    <w:p w14:paraId="4DCC5C21" w14:textId="77777777" w:rsidR="00027CE6" w:rsidRDefault="00C81101" w:rsidP="00C81101">
      <w:pPr>
        <w:pStyle w:val="Heading1"/>
      </w:pPr>
      <w:bookmarkStart w:id="2" w:name="_Toc464209560"/>
      <w:r>
        <w:t>Introduction</w:t>
      </w:r>
      <w:bookmarkEnd w:id="2"/>
      <w:bookmarkEnd w:id="1"/>
    </w:p>
    <w:p w14:paraId="33F73907" w14:textId="77777777" w:rsidR="00C81101" w:rsidRDefault="00445E11" w:rsidP="00445E11">
      <w:pPr>
        <w:pStyle w:val="Heading2"/>
      </w:pPr>
      <w:bookmarkStart w:id="3" w:name="_Toc464209561"/>
      <w:r>
        <w:t>Background</w:t>
      </w:r>
      <w:bookmarkEnd w:id="3"/>
    </w:p>
    <w:p w14:paraId="589CCD94" w14:textId="41763E64" w:rsidR="00A7736D" w:rsidRDefault="00445E11" w:rsidP="00A7736D">
      <w:r w:rsidRPr="00445E11">
        <w:rPr>
          <w:szCs w:val="22"/>
        </w:rPr>
        <w:t>Connecticut statutes</w:t>
      </w:r>
      <w:r w:rsidRPr="00445E11">
        <w:rPr>
          <w:i/>
          <w:iCs/>
          <w:szCs w:val="22"/>
        </w:rPr>
        <w:t xml:space="preserve"> </w:t>
      </w:r>
      <w:r w:rsidRPr="00445E11">
        <w:rPr>
          <w:szCs w:val="22"/>
        </w:rPr>
        <w:t>require that each</w:t>
      </w:r>
      <w:r w:rsidR="00D07F3E">
        <w:rPr>
          <w:szCs w:val="22"/>
        </w:rPr>
        <w:t xml:space="preserve"> school district:</w:t>
      </w:r>
      <w:r w:rsidRPr="00445E11">
        <w:rPr>
          <w:szCs w:val="22"/>
        </w:rPr>
        <w:t xml:space="preserve"> local or regional board of education, regional educational service center </w:t>
      </w:r>
      <w:r w:rsidR="004910F1">
        <w:rPr>
          <w:szCs w:val="22"/>
        </w:rPr>
        <w:t>(RESC)</w:t>
      </w:r>
      <w:r w:rsidR="00D07F3E">
        <w:rPr>
          <w:szCs w:val="22"/>
        </w:rPr>
        <w:t>,</w:t>
      </w:r>
      <w:r w:rsidR="004910F1">
        <w:rPr>
          <w:szCs w:val="22"/>
        </w:rPr>
        <w:t xml:space="preserve"> </w:t>
      </w:r>
      <w:r w:rsidRPr="00445E11">
        <w:rPr>
          <w:szCs w:val="22"/>
        </w:rPr>
        <w:t xml:space="preserve">and charter school implement a uniform system of accounting for school </w:t>
      </w:r>
      <w:r w:rsidR="00A639E1">
        <w:rPr>
          <w:szCs w:val="22"/>
        </w:rPr>
        <w:t>finances</w:t>
      </w:r>
      <w:r w:rsidRPr="00445E11">
        <w:rPr>
          <w:szCs w:val="22"/>
        </w:rPr>
        <w:t xml:space="preserve"> by completing and filing annual financial reports with the </w:t>
      </w:r>
      <w:r w:rsidR="00D07F3E">
        <w:rPr>
          <w:szCs w:val="22"/>
        </w:rPr>
        <w:t>Connecticut State D</w:t>
      </w:r>
      <w:r w:rsidRPr="00445E11">
        <w:rPr>
          <w:szCs w:val="22"/>
        </w:rPr>
        <w:t>epartment</w:t>
      </w:r>
      <w:r w:rsidR="00D07F3E">
        <w:rPr>
          <w:szCs w:val="22"/>
        </w:rPr>
        <w:t xml:space="preserve"> of Education (CSDE)</w:t>
      </w:r>
      <w:r w:rsidRPr="00445E11">
        <w:rPr>
          <w:szCs w:val="22"/>
        </w:rPr>
        <w:t>.  The uniform system of accounting include</w:t>
      </w:r>
      <w:r w:rsidR="00D07F3E">
        <w:rPr>
          <w:szCs w:val="22"/>
        </w:rPr>
        <w:t>s a uniform chart of accounts (</w:t>
      </w:r>
      <w:r w:rsidRPr="00445E11">
        <w:rPr>
          <w:szCs w:val="22"/>
        </w:rPr>
        <w:t xml:space="preserve">UCOA) to be used at the school and district level.   </w:t>
      </w:r>
      <w:r w:rsidR="00D3177C">
        <w:rPr>
          <w:szCs w:val="22"/>
        </w:rPr>
        <w:t xml:space="preserve">This </w:t>
      </w:r>
      <w:r w:rsidR="00A751B8">
        <w:rPr>
          <w:szCs w:val="22"/>
        </w:rPr>
        <w:t>guide</w:t>
      </w:r>
      <w:r w:rsidR="00D3177C">
        <w:rPr>
          <w:szCs w:val="22"/>
        </w:rPr>
        <w:t xml:space="preserve"> </w:t>
      </w:r>
      <w:r w:rsidR="009F7B16">
        <w:rPr>
          <w:szCs w:val="22"/>
        </w:rPr>
        <w:t>provides a description of the UCOA</w:t>
      </w:r>
      <w:r w:rsidR="00D3177C">
        <w:rPr>
          <w:szCs w:val="22"/>
        </w:rPr>
        <w:t xml:space="preserve"> account segments; the full, detailed UCOA can be found at</w:t>
      </w:r>
      <w:r w:rsidR="008152C6">
        <w:rPr>
          <w:szCs w:val="22"/>
        </w:rPr>
        <w:t xml:space="preserve">: </w:t>
      </w:r>
      <w:hyperlink r:id="rId14" w:history="1">
        <w:r w:rsidR="00840731">
          <w:rPr>
            <w:rStyle w:val="Hyperlink"/>
            <w:rFonts w:eastAsiaTheme="majorEastAsia"/>
          </w:rPr>
          <w:t>http://www.sde.ct.gov/sde/cwp/view.asp?a=2680&amp;q=334400</w:t>
        </w:r>
      </w:hyperlink>
    </w:p>
    <w:p w14:paraId="56B98494" w14:textId="4B856230" w:rsidR="00445E11" w:rsidRPr="00445E11" w:rsidRDefault="004910F1" w:rsidP="00445E11">
      <w:pPr>
        <w:spacing w:after="240"/>
        <w:rPr>
          <w:szCs w:val="22"/>
        </w:rPr>
      </w:pPr>
      <w:r>
        <w:rPr>
          <w:szCs w:val="22"/>
        </w:rPr>
        <w:t>The basis for the UCOA is the federal publication “Financial Accounting for Local and State School Systems 2009 Edition, published by the US Department of Education Institute of Education Sciences National Center For Education Statistics (NCES)”</w:t>
      </w:r>
      <w:r w:rsidR="00234B4B">
        <w:rPr>
          <w:szCs w:val="22"/>
        </w:rPr>
        <w:t xml:space="preserve"> (Federal Handbook)</w:t>
      </w:r>
      <w:r>
        <w:rPr>
          <w:szCs w:val="22"/>
        </w:rPr>
        <w:t xml:space="preserve">.  </w:t>
      </w:r>
      <w:r w:rsidR="00BC23E6">
        <w:rPr>
          <w:szCs w:val="22"/>
        </w:rPr>
        <w:t>Districts are expected to follow federal guidance and generally accepted accounting principles as discussed in the Federal Handbook.</w:t>
      </w:r>
      <w:r w:rsidR="00FD6BC2">
        <w:rPr>
          <w:szCs w:val="22"/>
        </w:rPr>
        <w:t xml:space="preserve"> </w:t>
      </w:r>
      <w:r w:rsidR="00BC23E6">
        <w:rPr>
          <w:szCs w:val="22"/>
        </w:rPr>
        <w:t xml:space="preserve"> </w:t>
      </w:r>
      <w:r w:rsidR="005019D5">
        <w:rPr>
          <w:szCs w:val="22"/>
        </w:rPr>
        <w:t xml:space="preserve">This guide </w:t>
      </w:r>
      <w:r>
        <w:rPr>
          <w:szCs w:val="22"/>
        </w:rPr>
        <w:t>provide</w:t>
      </w:r>
      <w:r w:rsidR="00BC23E6">
        <w:rPr>
          <w:szCs w:val="22"/>
        </w:rPr>
        <w:t>s</w:t>
      </w:r>
      <w:r>
        <w:rPr>
          <w:szCs w:val="22"/>
        </w:rPr>
        <w:t xml:space="preserve"> supplemental information required to implement the UCOA in Connecticut</w:t>
      </w:r>
      <w:r w:rsidR="00234B4B">
        <w:rPr>
          <w:szCs w:val="22"/>
        </w:rPr>
        <w:t xml:space="preserve"> </w:t>
      </w:r>
      <w:r w:rsidR="00D3177C">
        <w:rPr>
          <w:szCs w:val="22"/>
        </w:rPr>
        <w:t xml:space="preserve">for state and federal reporting purposes </w:t>
      </w:r>
      <w:r w:rsidR="00234B4B">
        <w:rPr>
          <w:szCs w:val="22"/>
        </w:rPr>
        <w:t>including</w:t>
      </w:r>
      <w:r w:rsidR="007F19CE">
        <w:rPr>
          <w:szCs w:val="22"/>
        </w:rPr>
        <w:t xml:space="preserve"> the following</w:t>
      </w:r>
      <w:r w:rsidR="00445E11" w:rsidRPr="00445E11">
        <w:rPr>
          <w:szCs w:val="22"/>
        </w:rPr>
        <w:t>:</w:t>
      </w:r>
    </w:p>
    <w:p w14:paraId="261FF5FD" w14:textId="77777777" w:rsidR="00234B4B" w:rsidRDefault="00445E11" w:rsidP="000938C9">
      <w:pPr>
        <w:pStyle w:val="ListParagraph"/>
        <w:numPr>
          <w:ilvl w:val="0"/>
          <w:numId w:val="4"/>
        </w:numPr>
      </w:pPr>
      <w:r w:rsidRPr="00445E11">
        <w:t>Design and Structure of the Uniform Chart of Accounts</w:t>
      </w:r>
    </w:p>
    <w:p w14:paraId="332CA4AE" w14:textId="77777777" w:rsidR="00445E11" w:rsidRPr="00445E11" w:rsidRDefault="00234B4B" w:rsidP="000938C9">
      <w:pPr>
        <w:pStyle w:val="ListParagraph"/>
        <w:numPr>
          <w:ilvl w:val="0"/>
          <w:numId w:val="4"/>
        </w:numPr>
      </w:pPr>
      <w:r>
        <w:rPr>
          <w:szCs w:val="22"/>
        </w:rPr>
        <w:t>Departures from the NCES account classifications in the Federal Handbook that CSDE has made in order to accommodate its reporting needs</w:t>
      </w:r>
      <w:r w:rsidRPr="00445E11">
        <w:t xml:space="preserve"> </w:t>
      </w:r>
      <w:r w:rsidR="00445E11" w:rsidRPr="00445E11">
        <w:fldChar w:fldCharType="begin"/>
      </w:r>
      <w:r w:rsidR="00445E11" w:rsidRPr="00445E11">
        <w:instrText xml:space="preserve"> XE "Uniform Chart of Accounts" </w:instrText>
      </w:r>
      <w:r w:rsidR="00445E11" w:rsidRPr="00445E11">
        <w:fldChar w:fldCharType="end"/>
      </w:r>
    </w:p>
    <w:p w14:paraId="3EC3BE6C" w14:textId="3D30FEC7" w:rsidR="00445E11" w:rsidRPr="00445E11" w:rsidRDefault="00445E11" w:rsidP="005019D5">
      <w:pPr>
        <w:pStyle w:val="ListParagraph"/>
        <w:numPr>
          <w:ilvl w:val="0"/>
          <w:numId w:val="4"/>
        </w:numPr>
      </w:pPr>
      <w:r w:rsidRPr="00445E11">
        <w:t>Definitions and information on using the Segments of the UCOA</w:t>
      </w:r>
    </w:p>
    <w:p w14:paraId="4E221D84" w14:textId="44524AE7" w:rsidR="00445E11" w:rsidRDefault="005019D5" w:rsidP="00445E11">
      <w:pPr>
        <w:spacing w:after="240"/>
        <w:rPr>
          <w:szCs w:val="22"/>
        </w:rPr>
      </w:pPr>
      <w:r>
        <w:rPr>
          <w:szCs w:val="22"/>
        </w:rPr>
        <w:t xml:space="preserve">This guide </w:t>
      </w:r>
      <w:r w:rsidR="00445E11" w:rsidRPr="004A48BF">
        <w:rPr>
          <w:szCs w:val="22"/>
        </w:rPr>
        <w:t xml:space="preserve">does not provide </w:t>
      </w:r>
      <w:r>
        <w:rPr>
          <w:szCs w:val="22"/>
        </w:rPr>
        <w:t>direction regarding accounting principles</w:t>
      </w:r>
      <w:r w:rsidR="00445E11" w:rsidRPr="004A48BF">
        <w:rPr>
          <w:szCs w:val="22"/>
        </w:rPr>
        <w:t xml:space="preserve">.  </w:t>
      </w:r>
      <w:r w:rsidR="00445E11">
        <w:rPr>
          <w:szCs w:val="22"/>
        </w:rPr>
        <w:t>Districts</w:t>
      </w:r>
      <w:r w:rsidR="00445E11" w:rsidRPr="004A48BF">
        <w:rPr>
          <w:szCs w:val="22"/>
        </w:rPr>
        <w:t xml:space="preserve"> encountering </w:t>
      </w:r>
      <w:r>
        <w:rPr>
          <w:szCs w:val="22"/>
        </w:rPr>
        <w:t>questions</w:t>
      </w:r>
      <w:r w:rsidR="00445E11" w:rsidRPr="004A48BF">
        <w:rPr>
          <w:szCs w:val="22"/>
        </w:rPr>
        <w:t xml:space="preserve"> not addressed in th</w:t>
      </w:r>
      <w:r w:rsidR="00234B4B">
        <w:rPr>
          <w:szCs w:val="22"/>
        </w:rPr>
        <w:t>is</w:t>
      </w:r>
      <w:r w:rsidR="00445E11" w:rsidRPr="004A48BF">
        <w:rPr>
          <w:szCs w:val="22"/>
        </w:rPr>
        <w:t xml:space="preserve"> </w:t>
      </w:r>
      <w:r w:rsidR="00ED1502">
        <w:rPr>
          <w:szCs w:val="22"/>
        </w:rPr>
        <w:t>guide</w:t>
      </w:r>
      <w:r w:rsidR="00234B4B">
        <w:rPr>
          <w:szCs w:val="22"/>
        </w:rPr>
        <w:t xml:space="preserve"> or the Federal Handbook</w:t>
      </w:r>
      <w:r w:rsidR="00445E11" w:rsidRPr="004A48BF">
        <w:rPr>
          <w:szCs w:val="22"/>
        </w:rPr>
        <w:t xml:space="preserve"> should consult </w:t>
      </w:r>
      <w:r w:rsidR="00234B4B">
        <w:rPr>
          <w:szCs w:val="22"/>
        </w:rPr>
        <w:t>publications of the Governmental Accounting Standards Board,</w:t>
      </w:r>
      <w:r w:rsidR="00445E11">
        <w:rPr>
          <w:szCs w:val="22"/>
        </w:rPr>
        <w:fldChar w:fldCharType="begin"/>
      </w:r>
      <w:r w:rsidR="00445E11">
        <w:rPr>
          <w:szCs w:val="22"/>
        </w:rPr>
        <w:instrText xml:space="preserve"> XE "</w:instrText>
      </w:r>
      <w:r w:rsidR="00445E11" w:rsidRPr="00731710">
        <w:rPr>
          <w:szCs w:val="22"/>
        </w:rPr>
        <w:instrText>GASB</w:instrText>
      </w:r>
      <w:r w:rsidR="00445E11">
        <w:rPr>
          <w:szCs w:val="22"/>
        </w:rPr>
        <w:instrText xml:space="preserve">" </w:instrText>
      </w:r>
      <w:r w:rsidR="00445E11">
        <w:rPr>
          <w:szCs w:val="22"/>
        </w:rPr>
        <w:fldChar w:fldCharType="end"/>
      </w:r>
      <w:r w:rsidR="00445E11" w:rsidRPr="004A48BF">
        <w:rPr>
          <w:szCs w:val="22"/>
        </w:rPr>
        <w:t xml:space="preserve"> the</w:t>
      </w:r>
      <w:r w:rsidR="00234B4B">
        <w:rPr>
          <w:szCs w:val="22"/>
        </w:rPr>
        <w:t xml:space="preserve"> district’s</w:t>
      </w:r>
      <w:r w:rsidR="00445E11" w:rsidRPr="004A48BF">
        <w:rPr>
          <w:szCs w:val="22"/>
        </w:rPr>
        <w:t xml:space="preserve"> independent auditors, or </w:t>
      </w:r>
      <w:r w:rsidR="00445E11" w:rsidRPr="00766C1E">
        <w:rPr>
          <w:szCs w:val="22"/>
        </w:rPr>
        <w:t xml:space="preserve">the </w:t>
      </w:r>
      <w:r w:rsidR="00234B4B">
        <w:rPr>
          <w:szCs w:val="22"/>
        </w:rPr>
        <w:t>C</w:t>
      </w:r>
      <w:r w:rsidR="00445E11" w:rsidRPr="00766C1E">
        <w:rPr>
          <w:szCs w:val="22"/>
        </w:rPr>
        <w:t>SDE</w:t>
      </w:r>
      <w:r w:rsidR="00234B4B">
        <w:rPr>
          <w:szCs w:val="22"/>
        </w:rPr>
        <w:t xml:space="preserve"> </w:t>
      </w:r>
      <w:r w:rsidR="001F0DE1">
        <w:rPr>
          <w:szCs w:val="22"/>
        </w:rPr>
        <w:t xml:space="preserve">Bureau of Grants Management </w:t>
      </w:r>
      <w:r w:rsidR="00234B4B">
        <w:rPr>
          <w:szCs w:val="22"/>
        </w:rPr>
        <w:t>for techni</w:t>
      </w:r>
      <w:r w:rsidR="00445E11" w:rsidRPr="004A48BF">
        <w:rPr>
          <w:szCs w:val="22"/>
        </w:rPr>
        <w:t>cal assistance.</w:t>
      </w:r>
    </w:p>
    <w:p w14:paraId="0DD33EE0" w14:textId="77777777" w:rsidR="00322F04" w:rsidRPr="004A48BF" w:rsidRDefault="00322F04" w:rsidP="00445E11">
      <w:pPr>
        <w:spacing w:after="240"/>
        <w:rPr>
          <w:szCs w:val="22"/>
        </w:rPr>
      </w:pPr>
      <w:r>
        <w:rPr>
          <w:szCs w:val="22"/>
        </w:rPr>
        <w:t>Note that certain financial data reported annually to CSDE not typically recorded in districts’ accounting systems will continue to be collected on separate data forms, for example</w:t>
      </w:r>
      <w:r w:rsidR="00FA39AC">
        <w:rPr>
          <w:szCs w:val="22"/>
        </w:rPr>
        <w:t xml:space="preserve"> expenditures of</w:t>
      </w:r>
      <w:r>
        <w:rPr>
          <w:szCs w:val="22"/>
        </w:rPr>
        <w:t xml:space="preserve"> grant matching funds and in-kind services provided by towns or other agencies.</w:t>
      </w:r>
    </w:p>
    <w:p w14:paraId="7C1FDCC1" w14:textId="6D955336" w:rsidR="00445E11" w:rsidRDefault="00445E11" w:rsidP="00445E11">
      <w:pPr>
        <w:spacing w:after="240"/>
        <w:rPr>
          <w:szCs w:val="22"/>
        </w:rPr>
      </w:pPr>
      <w:r w:rsidRPr="004A48BF">
        <w:rPr>
          <w:szCs w:val="22"/>
        </w:rPr>
        <w:t xml:space="preserve">Suggestions and comments about the information in this </w:t>
      </w:r>
      <w:r w:rsidR="00ED1502">
        <w:rPr>
          <w:szCs w:val="22"/>
        </w:rPr>
        <w:t>guide</w:t>
      </w:r>
      <w:r w:rsidRPr="004A48BF">
        <w:rPr>
          <w:szCs w:val="22"/>
        </w:rPr>
        <w:t xml:space="preserve"> should be directed to </w:t>
      </w:r>
      <w:r w:rsidR="00573879">
        <w:rPr>
          <w:szCs w:val="22"/>
        </w:rPr>
        <w:t xml:space="preserve">the Bureau of Grants Management: </w:t>
      </w:r>
      <w:r w:rsidR="0093135C">
        <w:rPr>
          <w:szCs w:val="22"/>
        </w:rPr>
        <w:t>Mark Stange, at mark.stange@ct.gov, 860-713-6462; or David Twedt, at david.twedt@ct.gov, 860-713-6492.</w:t>
      </w:r>
    </w:p>
    <w:p w14:paraId="6D64DFF5" w14:textId="3532E157" w:rsidR="00464660" w:rsidRDefault="00445E11" w:rsidP="00445E11">
      <w:pPr>
        <w:pStyle w:val="Heading2"/>
      </w:pPr>
      <w:bookmarkStart w:id="4" w:name="_Toc464209562"/>
      <w:r>
        <w:t>Updates</w:t>
      </w:r>
      <w:bookmarkEnd w:id="4"/>
      <w:r>
        <w:t xml:space="preserve"> </w:t>
      </w:r>
    </w:p>
    <w:p w14:paraId="51F09FFB" w14:textId="71AFD56F" w:rsidR="00445E11" w:rsidRDefault="00445E11" w:rsidP="00445E11">
      <w:pPr>
        <w:spacing w:after="240"/>
        <w:rPr>
          <w:szCs w:val="22"/>
        </w:rPr>
      </w:pPr>
      <w:r>
        <w:rPr>
          <w:szCs w:val="22"/>
        </w:rPr>
        <w:t xml:space="preserve">This </w:t>
      </w:r>
      <w:r w:rsidR="00ED1502">
        <w:rPr>
          <w:szCs w:val="22"/>
        </w:rPr>
        <w:t>guide</w:t>
      </w:r>
      <w:r>
        <w:rPr>
          <w:szCs w:val="22"/>
        </w:rPr>
        <w:t xml:space="preserve"> will be updated periodically for new accounts, changes in accounts, rules, etc.  When updates are made, a notification will be provided to </w:t>
      </w:r>
      <w:r w:rsidR="005E3BE3">
        <w:rPr>
          <w:szCs w:val="22"/>
        </w:rPr>
        <w:t>district</w:t>
      </w:r>
      <w:r>
        <w:rPr>
          <w:szCs w:val="22"/>
        </w:rPr>
        <w:t xml:space="preserve">s of the update.  Each update will be documented in the Appendix section of this manual.  </w:t>
      </w:r>
    </w:p>
    <w:p w14:paraId="17364244" w14:textId="77777777" w:rsidR="00445E11" w:rsidRDefault="00445E11" w:rsidP="00445E11">
      <w:pPr>
        <w:spacing w:after="240"/>
        <w:rPr>
          <w:szCs w:val="22"/>
        </w:rPr>
      </w:pPr>
    </w:p>
    <w:p w14:paraId="1798FBA1" w14:textId="77777777" w:rsidR="00445E11" w:rsidRDefault="00445E11" w:rsidP="00445E11">
      <w:pPr>
        <w:jc w:val="center"/>
        <w:sectPr w:rsidR="00445E11" w:rsidSect="001730FB">
          <w:pgSz w:w="12240" w:h="15840"/>
          <w:pgMar w:top="1008" w:right="1440" w:bottom="1152" w:left="1440" w:header="720" w:footer="720" w:gutter="0"/>
          <w:cols w:space="720"/>
          <w:docGrid w:linePitch="360"/>
        </w:sectPr>
      </w:pPr>
      <w:r>
        <w:t>* * * * * * * * * *</w:t>
      </w:r>
    </w:p>
    <w:p w14:paraId="62FA098E" w14:textId="77777777" w:rsidR="00DC0971" w:rsidRDefault="00DC0971" w:rsidP="00DC0971">
      <w:pPr>
        <w:pStyle w:val="Heading1"/>
      </w:pPr>
      <w:bookmarkStart w:id="5" w:name="_Ref370988947"/>
      <w:bookmarkStart w:id="6" w:name="_Toc464209563"/>
      <w:r>
        <w:lastRenderedPageBreak/>
        <w:t>Design and Structure of the Chart of Accounts</w:t>
      </w:r>
      <w:bookmarkEnd w:id="5"/>
      <w:bookmarkEnd w:id="6"/>
    </w:p>
    <w:p w14:paraId="2D4D8406" w14:textId="77777777" w:rsidR="00DC0971" w:rsidRDefault="00DC0971" w:rsidP="00DC0971">
      <w:pPr>
        <w:pStyle w:val="Heading2"/>
      </w:pPr>
      <w:bookmarkStart w:id="7" w:name="_Toc464209564"/>
      <w:r>
        <w:t>Overview</w:t>
      </w:r>
      <w:bookmarkEnd w:id="7"/>
    </w:p>
    <w:p w14:paraId="11CEA230" w14:textId="0AE32C44" w:rsidR="004835B1" w:rsidRDefault="004835B1" w:rsidP="004835B1">
      <w:pPr>
        <w:rPr>
          <w:rFonts w:eastAsiaTheme="minorHAnsi"/>
        </w:rPr>
      </w:pPr>
      <w:r>
        <w:rPr>
          <w:rFonts w:eastAsiaTheme="minorHAnsi"/>
        </w:rPr>
        <w:t xml:space="preserve">Each account consists of a string of </w:t>
      </w:r>
      <w:r w:rsidR="00D3177C">
        <w:rPr>
          <w:rFonts w:eastAsiaTheme="minorHAnsi"/>
        </w:rPr>
        <w:t xml:space="preserve">six </w:t>
      </w:r>
      <w:r>
        <w:rPr>
          <w:rFonts w:eastAsiaTheme="minorHAnsi"/>
        </w:rPr>
        <w:t>standard segments:</w:t>
      </w:r>
    </w:p>
    <w:p w14:paraId="3F30D445" w14:textId="70D3CDD8" w:rsidR="004835B1" w:rsidRDefault="004835B1" w:rsidP="004835B1">
      <w:pPr>
        <w:rPr>
          <w:rFonts w:eastAsiaTheme="minorHAnsi"/>
        </w:rPr>
      </w:pPr>
      <w:r>
        <w:rPr>
          <w:rFonts w:eastAsiaTheme="minorHAnsi"/>
        </w:rPr>
        <w:t>Fund – Location – Function – Program – Object – Grant/Project</w:t>
      </w:r>
    </w:p>
    <w:p w14:paraId="4F4C23D2" w14:textId="77777777" w:rsidR="004835B1" w:rsidRPr="00345871" w:rsidRDefault="004835B1" w:rsidP="004835B1">
      <w:pPr>
        <w:pStyle w:val="ListParagraph"/>
        <w:numPr>
          <w:ilvl w:val="0"/>
          <w:numId w:val="12"/>
        </w:numPr>
        <w:ind w:left="720"/>
      </w:pPr>
      <w:r w:rsidRPr="00345871">
        <w:t xml:space="preserve">Fund </w:t>
      </w:r>
      <w:r w:rsidR="00A53ACB">
        <w:t>–</w:t>
      </w:r>
      <w:r>
        <w:t xml:space="preserve"> the </w:t>
      </w:r>
      <w:r w:rsidRPr="00345871">
        <w:t>type of source</w:t>
      </w:r>
      <w:r>
        <w:t xml:space="preserve"> </w:t>
      </w:r>
      <w:r w:rsidRPr="00345871">
        <w:t xml:space="preserve">from which funds are being expended </w:t>
      </w:r>
    </w:p>
    <w:p w14:paraId="37071771" w14:textId="77777777" w:rsidR="004835B1" w:rsidRPr="00345871" w:rsidRDefault="004835B1" w:rsidP="004835B1">
      <w:pPr>
        <w:pStyle w:val="ListParagraph"/>
        <w:numPr>
          <w:ilvl w:val="0"/>
          <w:numId w:val="12"/>
        </w:numPr>
        <w:ind w:left="720"/>
      </w:pPr>
      <w:r w:rsidRPr="00345871">
        <w:t xml:space="preserve">Location </w:t>
      </w:r>
      <w:r w:rsidR="00B96031">
        <w:t>– the school</w:t>
      </w:r>
      <w:r w:rsidRPr="00345871">
        <w:t xml:space="preserve"> </w:t>
      </w:r>
      <w:r w:rsidR="00B96031">
        <w:t>for</w:t>
      </w:r>
      <w:r w:rsidRPr="00345871">
        <w:t xml:space="preserve"> which the funds are being used</w:t>
      </w:r>
    </w:p>
    <w:p w14:paraId="261B0FF6" w14:textId="77777777" w:rsidR="004835B1" w:rsidRPr="00345871" w:rsidRDefault="004835B1" w:rsidP="004835B1">
      <w:pPr>
        <w:pStyle w:val="ListParagraph"/>
        <w:numPr>
          <w:ilvl w:val="0"/>
          <w:numId w:val="12"/>
        </w:numPr>
        <w:ind w:left="720"/>
      </w:pPr>
      <w:r w:rsidRPr="00345871">
        <w:t xml:space="preserve">Function </w:t>
      </w:r>
      <w:r w:rsidR="00B96031">
        <w:t xml:space="preserve">– the </w:t>
      </w:r>
      <w:r w:rsidRPr="00345871">
        <w:t>activity for which the funds are being used</w:t>
      </w:r>
    </w:p>
    <w:p w14:paraId="774015E6" w14:textId="77777777" w:rsidR="004835B1" w:rsidRPr="00345871" w:rsidRDefault="004835B1" w:rsidP="004835B1">
      <w:pPr>
        <w:pStyle w:val="ListParagraph"/>
        <w:numPr>
          <w:ilvl w:val="0"/>
          <w:numId w:val="12"/>
        </w:numPr>
        <w:ind w:left="720"/>
      </w:pPr>
      <w:r w:rsidRPr="00345871">
        <w:t>Program</w:t>
      </w:r>
      <w:r w:rsidR="00B96031">
        <w:t xml:space="preserve"> – the </w:t>
      </w:r>
      <w:r w:rsidRPr="00345871">
        <w:t>broad objective for which funds are used</w:t>
      </w:r>
    </w:p>
    <w:p w14:paraId="709507F8" w14:textId="77777777" w:rsidR="004835B1" w:rsidRPr="00345871" w:rsidRDefault="004835B1" w:rsidP="004835B1">
      <w:pPr>
        <w:pStyle w:val="ListParagraph"/>
        <w:numPr>
          <w:ilvl w:val="0"/>
          <w:numId w:val="12"/>
        </w:numPr>
        <w:ind w:left="720"/>
      </w:pPr>
      <w:r w:rsidRPr="00345871">
        <w:t xml:space="preserve">Object </w:t>
      </w:r>
      <w:r w:rsidR="00B96031">
        <w:t xml:space="preserve">– the </w:t>
      </w:r>
      <w:r w:rsidRPr="00345871">
        <w:t>budget classification for which the funds are used</w:t>
      </w:r>
    </w:p>
    <w:p w14:paraId="205FB932" w14:textId="77777777" w:rsidR="004835B1" w:rsidRDefault="004835B1" w:rsidP="004835B1">
      <w:pPr>
        <w:pStyle w:val="ListParagraph"/>
        <w:numPr>
          <w:ilvl w:val="0"/>
          <w:numId w:val="12"/>
        </w:numPr>
        <w:ind w:left="720"/>
      </w:pPr>
      <w:r w:rsidRPr="00345871">
        <w:t>Grant/Project</w:t>
      </w:r>
      <w:r w:rsidR="00B96031">
        <w:t xml:space="preserve"> – for grants, the </w:t>
      </w:r>
      <w:r w:rsidRPr="00345871">
        <w:t xml:space="preserve">grant year </w:t>
      </w:r>
      <w:r w:rsidR="00B96031">
        <w:t>for which</w:t>
      </w:r>
      <w:r w:rsidRPr="00345871">
        <w:t xml:space="preserve"> the funds are being expended</w:t>
      </w:r>
    </w:p>
    <w:p w14:paraId="5519DA85" w14:textId="77777777" w:rsidR="004835B1" w:rsidRDefault="00B96031" w:rsidP="00876384">
      <w:pPr>
        <w:pStyle w:val="Heading2"/>
      </w:pPr>
      <w:bookmarkStart w:id="8" w:name="_Toc464209565"/>
      <w:r>
        <w:t>UCOA structure</w:t>
      </w:r>
      <w:bookmarkEnd w:id="8"/>
    </w:p>
    <w:p w14:paraId="5BE0F522" w14:textId="6075883A" w:rsidR="00420DC1" w:rsidRPr="00345871" w:rsidRDefault="00DC0971" w:rsidP="006C16CB">
      <w:pPr>
        <w:pStyle w:val="BodyText3"/>
        <w:spacing w:after="240"/>
        <w:rPr>
          <w:sz w:val="22"/>
          <w:szCs w:val="22"/>
        </w:rPr>
      </w:pPr>
      <w:r w:rsidRPr="00345871">
        <w:rPr>
          <w:sz w:val="22"/>
        </w:rPr>
        <w:t xml:space="preserve">The </w:t>
      </w:r>
      <w:r w:rsidR="00B96031">
        <w:rPr>
          <w:sz w:val="22"/>
        </w:rPr>
        <w:t xml:space="preserve">structure of the </w:t>
      </w:r>
      <w:r w:rsidR="00420DC1" w:rsidRPr="00345871">
        <w:rPr>
          <w:sz w:val="22"/>
          <w:szCs w:val="22"/>
        </w:rPr>
        <w:t xml:space="preserve">UCOA </w:t>
      </w:r>
      <w:r w:rsidR="00B66026">
        <w:rPr>
          <w:sz w:val="22"/>
          <w:szCs w:val="22"/>
        </w:rPr>
        <w:t xml:space="preserve">for school districts </w:t>
      </w:r>
      <w:r w:rsidR="00D8711A">
        <w:rPr>
          <w:sz w:val="22"/>
          <w:szCs w:val="22"/>
        </w:rPr>
        <w:t>consists of 22 digits grouped into the six segments:</w:t>
      </w:r>
    </w:p>
    <w:tbl>
      <w:tblPr>
        <w:tblpPr w:leftFromText="180" w:rightFromText="180" w:vertAnchor="page" w:horzAnchor="margin" w:tblpY="6166"/>
        <w:tblW w:w="8508" w:type="dxa"/>
        <w:tblLook w:val="04A0" w:firstRow="1" w:lastRow="0" w:firstColumn="1" w:lastColumn="0" w:noHBand="0" w:noVBand="1"/>
      </w:tblPr>
      <w:tblGrid>
        <w:gridCol w:w="559"/>
        <w:gridCol w:w="559"/>
        <w:gridCol w:w="559"/>
        <w:gridCol w:w="571"/>
        <w:gridCol w:w="571"/>
        <w:gridCol w:w="559"/>
        <w:gridCol w:w="559"/>
        <w:gridCol w:w="620"/>
        <w:gridCol w:w="620"/>
        <w:gridCol w:w="595"/>
        <w:gridCol w:w="693"/>
        <w:gridCol w:w="595"/>
        <w:gridCol w:w="724"/>
        <w:gridCol w:w="724"/>
      </w:tblGrid>
      <w:tr w:rsidR="00F554B0" w:rsidRPr="00631139" w14:paraId="44AA1B0F" w14:textId="77777777" w:rsidTr="00F554B0">
        <w:trPr>
          <w:trHeight w:val="300"/>
        </w:trPr>
        <w:tc>
          <w:tcPr>
            <w:tcW w:w="1118" w:type="dxa"/>
            <w:gridSpan w:val="2"/>
            <w:tcBorders>
              <w:top w:val="single" w:sz="4" w:space="0" w:color="auto"/>
              <w:left w:val="single" w:sz="4" w:space="0" w:color="auto"/>
              <w:bottom w:val="nil"/>
              <w:right w:val="nil"/>
            </w:tcBorders>
            <w:shd w:val="clear" w:color="auto" w:fill="auto"/>
            <w:noWrap/>
            <w:vAlign w:val="bottom"/>
            <w:hideMark/>
          </w:tcPr>
          <w:p w14:paraId="241E69BD" w14:textId="77777777" w:rsidR="00F554B0" w:rsidRPr="00631139" w:rsidRDefault="00F554B0" w:rsidP="00F554B0">
            <w:pPr>
              <w:spacing w:after="0"/>
              <w:rPr>
                <w:color w:val="000000"/>
              </w:rPr>
            </w:pPr>
            <w:bookmarkStart w:id="9" w:name="_Ref370989279"/>
            <w:r w:rsidRPr="00631139">
              <w:rPr>
                <w:color w:val="000000"/>
              </w:rPr>
              <w:t>Fund</w:t>
            </w:r>
          </w:p>
        </w:tc>
        <w:tc>
          <w:tcPr>
            <w:tcW w:w="559" w:type="dxa"/>
            <w:tcBorders>
              <w:top w:val="single" w:sz="4" w:space="0" w:color="auto"/>
              <w:left w:val="nil"/>
              <w:bottom w:val="nil"/>
              <w:right w:val="single" w:sz="4" w:space="0" w:color="auto"/>
            </w:tcBorders>
            <w:shd w:val="clear" w:color="auto" w:fill="auto"/>
            <w:noWrap/>
            <w:vAlign w:val="bottom"/>
            <w:hideMark/>
          </w:tcPr>
          <w:p w14:paraId="3DCB4C7B" w14:textId="77777777" w:rsidR="00F554B0" w:rsidRPr="00631139" w:rsidRDefault="00F554B0" w:rsidP="00F554B0">
            <w:pPr>
              <w:spacing w:after="0"/>
              <w:rPr>
                <w:color w:val="000000"/>
              </w:rPr>
            </w:pPr>
            <w:r w:rsidRPr="00631139">
              <w:rPr>
                <w:color w:val="000000"/>
              </w:rPr>
              <w:t> </w:t>
            </w:r>
          </w:p>
        </w:tc>
        <w:tc>
          <w:tcPr>
            <w:tcW w:w="114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B41D5D6" w14:textId="77777777" w:rsidR="00F554B0" w:rsidRPr="00631139" w:rsidRDefault="00F554B0" w:rsidP="00F554B0">
            <w:pPr>
              <w:spacing w:after="0"/>
              <w:rPr>
                <w:color w:val="000000"/>
              </w:rPr>
            </w:pPr>
            <w:r w:rsidRPr="00631139">
              <w:rPr>
                <w:color w:val="000000"/>
              </w:rPr>
              <w:t>Location</w:t>
            </w:r>
          </w:p>
        </w:tc>
        <w:tc>
          <w:tcPr>
            <w:tcW w:w="1118" w:type="dxa"/>
            <w:gridSpan w:val="2"/>
            <w:tcBorders>
              <w:top w:val="single" w:sz="4" w:space="0" w:color="auto"/>
              <w:left w:val="single" w:sz="4" w:space="0" w:color="auto"/>
              <w:bottom w:val="nil"/>
              <w:right w:val="nil"/>
            </w:tcBorders>
            <w:shd w:val="clear" w:color="auto" w:fill="auto"/>
            <w:noWrap/>
            <w:vAlign w:val="bottom"/>
            <w:hideMark/>
          </w:tcPr>
          <w:p w14:paraId="67B553B3" w14:textId="77777777" w:rsidR="00F554B0" w:rsidRPr="00631139" w:rsidRDefault="00F554B0" w:rsidP="00F554B0">
            <w:pPr>
              <w:spacing w:after="0"/>
              <w:rPr>
                <w:color w:val="000000"/>
              </w:rPr>
            </w:pPr>
            <w:r w:rsidRPr="00631139">
              <w:rPr>
                <w:color w:val="000000"/>
              </w:rPr>
              <w:t>Function</w:t>
            </w:r>
          </w:p>
        </w:tc>
        <w:tc>
          <w:tcPr>
            <w:tcW w:w="124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258D584" w14:textId="77777777" w:rsidR="00F554B0" w:rsidRPr="00631139" w:rsidRDefault="00F554B0" w:rsidP="00F554B0">
            <w:pPr>
              <w:spacing w:after="0"/>
              <w:rPr>
                <w:color w:val="000000"/>
              </w:rPr>
            </w:pPr>
            <w:r w:rsidRPr="00631139">
              <w:rPr>
                <w:color w:val="000000"/>
              </w:rPr>
              <w:t>Program</w:t>
            </w:r>
          </w:p>
        </w:tc>
        <w:tc>
          <w:tcPr>
            <w:tcW w:w="1288" w:type="dxa"/>
            <w:gridSpan w:val="2"/>
            <w:tcBorders>
              <w:top w:val="single" w:sz="4" w:space="0" w:color="auto"/>
              <w:left w:val="single" w:sz="4" w:space="0" w:color="auto"/>
              <w:bottom w:val="nil"/>
              <w:right w:val="nil"/>
            </w:tcBorders>
            <w:shd w:val="clear" w:color="auto" w:fill="auto"/>
            <w:noWrap/>
            <w:vAlign w:val="bottom"/>
            <w:hideMark/>
          </w:tcPr>
          <w:p w14:paraId="1503FA7A" w14:textId="77777777" w:rsidR="00F554B0" w:rsidRPr="00631139" w:rsidRDefault="00F554B0" w:rsidP="00F554B0">
            <w:pPr>
              <w:spacing w:after="0"/>
              <w:rPr>
                <w:color w:val="000000"/>
              </w:rPr>
            </w:pPr>
            <w:r w:rsidRPr="00631139">
              <w:rPr>
                <w:color w:val="000000"/>
              </w:rPr>
              <w:t>Object</w:t>
            </w:r>
          </w:p>
        </w:tc>
        <w:tc>
          <w:tcPr>
            <w:tcW w:w="595" w:type="dxa"/>
            <w:tcBorders>
              <w:top w:val="single" w:sz="4" w:space="0" w:color="auto"/>
              <w:left w:val="nil"/>
              <w:bottom w:val="nil"/>
              <w:right w:val="single" w:sz="4" w:space="0" w:color="auto"/>
            </w:tcBorders>
            <w:shd w:val="clear" w:color="auto" w:fill="auto"/>
            <w:noWrap/>
            <w:vAlign w:val="bottom"/>
            <w:hideMark/>
          </w:tcPr>
          <w:p w14:paraId="54ACE5C6" w14:textId="77777777" w:rsidR="00F554B0" w:rsidRPr="00631139" w:rsidRDefault="00F554B0" w:rsidP="00F554B0">
            <w:pPr>
              <w:spacing w:after="0"/>
              <w:rPr>
                <w:color w:val="000000"/>
              </w:rPr>
            </w:pPr>
            <w:r w:rsidRPr="00631139">
              <w:rPr>
                <w:color w:val="000000"/>
              </w:rPr>
              <w:t> </w:t>
            </w:r>
          </w:p>
        </w:tc>
        <w:tc>
          <w:tcPr>
            <w:tcW w:w="144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7F7B367" w14:textId="77777777" w:rsidR="00F554B0" w:rsidRPr="00631139" w:rsidRDefault="00F554B0" w:rsidP="00F554B0">
            <w:pPr>
              <w:spacing w:after="0"/>
              <w:rPr>
                <w:color w:val="000000"/>
              </w:rPr>
            </w:pPr>
            <w:r w:rsidRPr="00631139">
              <w:rPr>
                <w:color w:val="000000"/>
              </w:rPr>
              <w:t>Grant/Project</w:t>
            </w:r>
          </w:p>
        </w:tc>
      </w:tr>
      <w:tr w:rsidR="00F554B0" w:rsidRPr="00631139" w14:paraId="03EA2BD7" w14:textId="77777777" w:rsidTr="00F554B0">
        <w:trPr>
          <w:trHeight w:val="300"/>
        </w:trPr>
        <w:tc>
          <w:tcPr>
            <w:tcW w:w="559" w:type="dxa"/>
            <w:tcBorders>
              <w:top w:val="nil"/>
              <w:left w:val="single" w:sz="4" w:space="0" w:color="auto"/>
              <w:bottom w:val="nil"/>
              <w:right w:val="nil"/>
            </w:tcBorders>
            <w:shd w:val="clear" w:color="auto" w:fill="auto"/>
            <w:noWrap/>
            <w:vAlign w:val="bottom"/>
            <w:hideMark/>
          </w:tcPr>
          <w:p w14:paraId="4CDCE178"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nil"/>
            </w:tcBorders>
            <w:shd w:val="clear" w:color="auto" w:fill="auto"/>
            <w:noWrap/>
            <w:vAlign w:val="bottom"/>
            <w:hideMark/>
          </w:tcPr>
          <w:p w14:paraId="50C29C53"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single" w:sz="4" w:space="0" w:color="auto"/>
            </w:tcBorders>
            <w:shd w:val="clear" w:color="auto" w:fill="auto"/>
            <w:noWrap/>
            <w:vAlign w:val="bottom"/>
            <w:hideMark/>
          </w:tcPr>
          <w:p w14:paraId="54F3ECED" w14:textId="77777777" w:rsidR="00F554B0" w:rsidRPr="00631139" w:rsidRDefault="00F554B0" w:rsidP="00F554B0">
            <w:pPr>
              <w:spacing w:after="0"/>
              <w:jc w:val="center"/>
              <w:rPr>
                <w:color w:val="000000"/>
              </w:rPr>
            </w:pPr>
            <w:r w:rsidRPr="00631139">
              <w:rPr>
                <w:color w:val="000000"/>
              </w:rPr>
              <w:t>XX</w:t>
            </w:r>
          </w:p>
        </w:tc>
        <w:tc>
          <w:tcPr>
            <w:tcW w:w="571" w:type="dxa"/>
            <w:tcBorders>
              <w:top w:val="nil"/>
              <w:left w:val="nil"/>
              <w:bottom w:val="nil"/>
              <w:right w:val="nil"/>
            </w:tcBorders>
            <w:shd w:val="clear" w:color="auto" w:fill="auto"/>
            <w:noWrap/>
            <w:vAlign w:val="bottom"/>
            <w:hideMark/>
          </w:tcPr>
          <w:p w14:paraId="2CD51298" w14:textId="77777777" w:rsidR="00F554B0" w:rsidRPr="00631139" w:rsidRDefault="00F554B0" w:rsidP="00F554B0">
            <w:pPr>
              <w:spacing w:after="0"/>
              <w:jc w:val="center"/>
              <w:rPr>
                <w:color w:val="000000"/>
              </w:rPr>
            </w:pPr>
            <w:r>
              <w:rPr>
                <w:color w:val="000000"/>
              </w:rPr>
              <w:t>X</w:t>
            </w:r>
            <w:r w:rsidRPr="00631139">
              <w:rPr>
                <w:color w:val="000000"/>
              </w:rPr>
              <w:t>X</w:t>
            </w:r>
          </w:p>
        </w:tc>
        <w:tc>
          <w:tcPr>
            <w:tcW w:w="571" w:type="dxa"/>
            <w:tcBorders>
              <w:top w:val="nil"/>
              <w:left w:val="nil"/>
              <w:bottom w:val="nil"/>
              <w:right w:val="single" w:sz="4" w:space="0" w:color="auto"/>
            </w:tcBorders>
            <w:shd w:val="clear" w:color="auto" w:fill="auto"/>
            <w:noWrap/>
            <w:vAlign w:val="bottom"/>
            <w:hideMark/>
          </w:tcPr>
          <w:p w14:paraId="05372A8A" w14:textId="77777777" w:rsidR="00F554B0" w:rsidRPr="00631139" w:rsidRDefault="00F554B0" w:rsidP="00F554B0">
            <w:pPr>
              <w:spacing w:after="0"/>
              <w:jc w:val="center"/>
              <w:rPr>
                <w:color w:val="000000"/>
              </w:rPr>
            </w:pPr>
            <w:r w:rsidRPr="00631139">
              <w:rPr>
                <w:color w:val="000000"/>
              </w:rPr>
              <w:t>X</w:t>
            </w:r>
          </w:p>
        </w:tc>
        <w:tc>
          <w:tcPr>
            <w:tcW w:w="559" w:type="dxa"/>
            <w:tcBorders>
              <w:top w:val="nil"/>
              <w:left w:val="nil"/>
              <w:bottom w:val="nil"/>
              <w:right w:val="nil"/>
            </w:tcBorders>
            <w:shd w:val="clear" w:color="auto" w:fill="auto"/>
            <w:noWrap/>
            <w:vAlign w:val="bottom"/>
            <w:hideMark/>
          </w:tcPr>
          <w:p w14:paraId="30679107" w14:textId="77777777" w:rsidR="00F554B0" w:rsidRPr="00631139" w:rsidRDefault="00F554B0" w:rsidP="00F554B0">
            <w:pPr>
              <w:spacing w:after="0"/>
              <w:jc w:val="center"/>
              <w:rPr>
                <w:color w:val="000000"/>
              </w:rPr>
            </w:pPr>
            <w:r w:rsidRPr="00631139">
              <w:rPr>
                <w:color w:val="000000"/>
              </w:rPr>
              <w:t>XX</w:t>
            </w:r>
          </w:p>
        </w:tc>
        <w:tc>
          <w:tcPr>
            <w:tcW w:w="559" w:type="dxa"/>
            <w:tcBorders>
              <w:top w:val="nil"/>
              <w:left w:val="nil"/>
              <w:bottom w:val="nil"/>
              <w:right w:val="single" w:sz="4" w:space="0" w:color="auto"/>
            </w:tcBorders>
            <w:shd w:val="clear" w:color="auto" w:fill="auto"/>
            <w:noWrap/>
            <w:vAlign w:val="bottom"/>
            <w:hideMark/>
          </w:tcPr>
          <w:p w14:paraId="1033896B" w14:textId="77777777" w:rsidR="00F554B0" w:rsidRPr="00631139" w:rsidRDefault="00F554B0" w:rsidP="00F554B0">
            <w:pPr>
              <w:spacing w:after="0"/>
              <w:jc w:val="center"/>
              <w:rPr>
                <w:color w:val="000000"/>
              </w:rPr>
            </w:pPr>
            <w:r w:rsidRPr="00631139">
              <w:rPr>
                <w:color w:val="000000"/>
              </w:rPr>
              <w:t>XX</w:t>
            </w:r>
          </w:p>
        </w:tc>
        <w:tc>
          <w:tcPr>
            <w:tcW w:w="620" w:type="dxa"/>
            <w:tcBorders>
              <w:top w:val="nil"/>
              <w:left w:val="nil"/>
              <w:bottom w:val="nil"/>
              <w:right w:val="nil"/>
            </w:tcBorders>
            <w:shd w:val="clear" w:color="auto" w:fill="auto"/>
            <w:noWrap/>
            <w:vAlign w:val="bottom"/>
            <w:hideMark/>
          </w:tcPr>
          <w:p w14:paraId="242B997A" w14:textId="77777777" w:rsidR="00F554B0" w:rsidRPr="00631139" w:rsidRDefault="00F554B0" w:rsidP="00F554B0">
            <w:pPr>
              <w:spacing w:after="0"/>
              <w:jc w:val="center"/>
              <w:rPr>
                <w:color w:val="000000"/>
              </w:rPr>
            </w:pPr>
            <w:r w:rsidRPr="00631139">
              <w:rPr>
                <w:color w:val="000000"/>
              </w:rPr>
              <w:t>X</w:t>
            </w:r>
          </w:p>
        </w:tc>
        <w:tc>
          <w:tcPr>
            <w:tcW w:w="620" w:type="dxa"/>
            <w:tcBorders>
              <w:top w:val="nil"/>
              <w:left w:val="nil"/>
              <w:bottom w:val="nil"/>
              <w:right w:val="single" w:sz="4" w:space="0" w:color="auto"/>
            </w:tcBorders>
            <w:shd w:val="clear" w:color="auto" w:fill="auto"/>
            <w:noWrap/>
            <w:vAlign w:val="bottom"/>
            <w:hideMark/>
          </w:tcPr>
          <w:p w14:paraId="37AB9B5D" w14:textId="77777777" w:rsidR="00F554B0" w:rsidRPr="00631139" w:rsidRDefault="00F554B0" w:rsidP="00F554B0">
            <w:pPr>
              <w:spacing w:after="0"/>
              <w:jc w:val="center"/>
              <w:rPr>
                <w:color w:val="000000"/>
              </w:rPr>
            </w:pPr>
            <w:r w:rsidRPr="00631139">
              <w:rPr>
                <w:color w:val="000000"/>
              </w:rPr>
              <w:t>XX</w:t>
            </w:r>
          </w:p>
        </w:tc>
        <w:tc>
          <w:tcPr>
            <w:tcW w:w="595" w:type="dxa"/>
            <w:tcBorders>
              <w:top w:val="nil"/>
              <w:left w:val="nil"/>
              <w:bottom w:val="nil"/>
              <w:right w:val="nil"/>
            </w:tcBorders>
            <w:shd w:val="clear" w:color="auto" w:fill="auto"/>
            <w:noWrap/>
            <w:vAlign w:val="bottom"/>
            <w:hideMark/>
          </w:tcPr>
          <w:p w14:paraId="4D74018C" w14:textId="77777777" w:rsidR="00F554B0" w:rsidRPr="00631139" w:rsidRDefault="00F554B0" w:rsidP="00F554B0">
            <w:pPr>
              <w:spacing w:after="0"/>
              <w:jc w:val="center"/>
              <w:rPr>
                <w:color w:val="000000"/>
              </w:rPr>
            </w:pPr>
            <w:r w:rsidRPr="00631139">
              <w:rPr>
                <w:color w:val="000000"/>
              </w:rPr>
              <w:t>X</w:t>
            </w:r>
          </w:p>
        </w:tc>
        <w:tc>
          <w:tcPr>
            <w:tcW w:w="693" w:type="dxa"/>
            <w:tcBorders>
              <w:top w:val="nil"/>
              <w:left w:val="nil"/>
              <w:bottom w:val="nil"/>
              <w:right w:val="nil"/>
            </w:tcBorders>
            <w:shd w:val="clear" w:color="auto" w:fill="auto"/>
            <w:noWrap/>
            <w:vAlign w:val="bottom"/>
            <w:hideMark/>
          </w:tcPr>
          <w:p w14:paraId="766C2BA0" w14:textId="77777777" w:rsidR="00F554B0" w:rsidRPr="00631139" w:rsidRDefault="00F554B0" w:rsidP="00F554B0">
            <w:pPr>
              <w:spacing w:after="0"/>
              <w:jc w:val="center"/>
              <w:rPr>
                <w:color w:val="000000"/>
              </w:rPr>
            </w:pPr>
            <w:r w:rsidRPr="00631139">
              <w:rPr>
                <w:color w:val="000000"/>
              </w:rPr>
              <w:t>XXX</w:t>
            </w:r>
          </w:p>
        </w:tc>
        <w:tc>
          <w:tcPr>
            <w:tcW w:w="595" w:type="dxa"/>
            <w:tcBorders>
              <w:top w:val="nil"/>
              <w:left w:val="nil"/>
              <w:bottom w:val="nil"/>
              <w:right w:val="single" w:sz="4" w:space="0" w:color="auto"/>
            </w:tcBorders>
            <w:shd w:val="clear" w:color="auto" w:fill="auto"/>
            <w:noWrap/>
            <w:vAlign w:val="bottom"/>
            <w:hideMark/>
          </w:tcPr>
          <w:p w14:paraId="2ED29C2D" w14:textId="77777777" w:rsidR="00F554B0" w:rsidRPr="00631139" w:rsidRDefault="00F554B0" w:rsidP="00F554B0">
            <w:pPr>
              <w:spacing w:after="0"/>
              <w:jc w:val="center"/>
              <w:rPr>
                <w:color w:val="000000"/>
              </w:rPr>
            </w:pPr>
            <w:r w:rsidRPr="00631139">
              <w:rPr>
                <w:color w:val="000000"/>
              </w:rPr>
              <w:t>X</w:t>
            </w:r>
          </w:p>
        </w:tc>
        <w:tc>
          <w:tcPr>
            <w:tcW w:w="724" w:type="dxa"/>
            <w:tcBorders>
              <w:top w:val="nil"/>
              <w:left w:val="nil"/>
              <w:bottom w:val="nil"/>
              <w:right w:val="nil"/>
            </w:tcBorders>
            <w:shd w:val="clear" w:color="auto" w:fill="auto"/>
            <w:noWrap/>
            <w:vAlign w:val="bottom"/>
            <w:hideMark/>
          </w:tcPr>
          <w:p w14:paraId="60BE3859" w14:textId="6DE6ED96" w:rsidR="00F554B0" w:rsidRPr="00631139" w:rsidRDefault="009F7B16" w:rsidP="00F554B0">
            <w:pPr>
              <w:spacing w:after="0"/>
              <w:jc w:val="center"/>
              <w:rPr>
                <w:color w:val="000000"/>
              </w:rPr>
            </w:pPr>
            <w:r>
              <w:rPr>
                <w:color w:val="000000"/>
              </w:rPr>
              <w:t>X</w:t>
            </w:r>
            <w:r w:rsidR="00F554B0" w:rsidRPr="00631139">
              <w:rPr>
                <w:color w:val="000000"/>
              </w:rPr>
              <w:t>X</w:t>
            </w:r>
          </w:p>
        </w:tc>
        <w:tc>
          <w:tcPr>
            <w:tcW w:w="724" w:type="dxa"/>
            <w:tcBorders>
              <w:top w:val="nil"/>
              <w:left w:val="nil"/>
              <w:bottom w:val="nil"/>
              <w:right w:val="single" w:sz="4" w:space="0" w:color="auto"/>
            </w:tcBorders>
            <w:shd w:val="clear" w:color="auto" w:fill="auto"/>
            <w:noWrap/>
            <w:vAlign w:val="bottom"/>
            <w:hideMark/>
          </w:tcPr>
          <w:p w14:paraId="7C848B8A" w14:textId="4F358FDF" w:rsidR="00F554B0" w:rsidRPr="00631139" w:rsidRDefault="00F554B0" w:rsidP="009F7B16">
            <w:pPr>
              <w:spacing w:after="0"/>
              <w:jc w:val="center"/>
              <w:rPr>
                <w:color w:val="000000"/>
              </w:rPr>
            </w:pPr>
            <w:r w:rsidRPr="00631139">
              <w:rPr>
                <w:color w:val="000000"/>
              </w:rPr>
              <w:t>X</w:t>
            </w:r>
          </w:p>
        </w:tc>
      </w:tr>
      <w:tr w:rsidR="00F554B0" w:rsidRPr="00631139" w14:paraId="786EAEAE" w14:textId="77777777" w:rsidTr="00F554B0">
        <w:trPr>
          <w:trHeight w:val="300"/>
        </w:trPr>
        <w:tc>
          <w:tcPr>
            <w:tcW w:w="559" w:type="dxa"/>
            <w:tcBorders>
              <w:top w:val="nil"/>
              <w:left w:val="single" w:sz="4" w:space="0" w:color="auto"/>
              <w:bottom w:val="single" w:sz="4" w:space="0" w:color="auto"/>
              <w:right w:val="nil"/>
            </w:tcBorders>
            <w:shd w:val="clear" w:color="auto" w:fill="auto"/>
            <w:noWrap/>
            <w:vAlign w:val="bottom"/>
            <w:hideMark/>
          </w:tcPr>
          <w:p w14:paraId="49A09093" w14:textId="77777777" w:rsidR="00F554B0" w:rsidRPr="00631139" w:rsidRDefault="00F554B0" w:rsidP="00F554B0">
            <w:pPr>
              <w:spacing w:after="0"/>
              <w:jc w:val="center"/>
              <w:rPr>
                <w:color w:val="000000"/>
              </w:rPr>
            </w:pPr>
            <w:r w:rsidRPr="00631139">
              <w:rPr>
                <w:color w:val="000000"/>
              </w:rPr>
              <w:t>Fd1</w:t>
            </w:r>
          </w:p>
        </w:tc>
        <w:tc>
          <w:tcPr>
            <w:tcW w:w="559" w:type="dxa"/>
            <w:tcBorders>
              <w:top w:val="nil"/>
              <w:left w:val="nil"/>
              <w:bottom w:val="single" w:sz="4" w:space="0" w:color="auto"/>
              <w:right w:val="nil"/>
            </w:tcBorders>
            <w:shd w:val="clear" w:color="auto" w:fill="auto"/>
            <w:noWrap/>
            <w:vAlign w:val="bottom"/>
            <w:hideMark/>
          </w:tcPr>
          <w:p w14:paraId="2FD73D75" w14:textId="77777777" w:rsidR="00F554B0" w:rsidRPr="00631139" w:rsidRDefault="00F554B0" w:rsidP="00F554B0">
            <w:pPr>
              <w:spacing w:after="0"/>
              <w:jc w:val="center"/>
              <w:rPr>
                <w:color w:val="000000"/>
              </w:rPr>
            </w:pPr>
            <w:r w:rsidRPr="00631139">
              <w:rPr>
                <w:color w:val="000000"/>
              </w:rPr>
              <w:t>Fd2</w:t>
            </w:r>
          </w:p>
        </w:tc>
        <w:tc>
          <w:tcPr>
            <w:tcW w:w="559" w:type="dxa"/>
            <w:tcBorders>
              <w:top w:val="nil"/>
              <w:left w:val="nil"/>
              <w:bottom w:val="single" w:sz="4" w:space="0" w:color="auto"/>
              <w:right w:val="single" w:sz="4" w:space="0" w:color="auto"/>
            </w:tcBorders>
            <w:shd w:val="clear" w:color="auto" w:fill="auto"/>
            <w:noWrap/>
            <w:vAlign w:val="bottom"/>
            <w:hideMark/>
          </w:tcPr>
          <w:p w14:paraId="6F5D741D" w14:textId="77777777" w:rsidR="00F554B0" w:rsidRPr="00631139" w:rsidRDefault="00F554B0" w:rsidP="00F554B0">
            <w:pPr>
              <w:spacing w:after="0"/>
              <w:jc w:val="center"/>
              <w:rPr>
                <w:color w:val="000000"/>
              </w:rPr>
            </w:pPr>
            <w:r w:rsidRPr="00631139">
              <w:rPr>
                <w:color w:val="000000"/>
              </w:rPr>
              <w:t>Fd3</w:t>
            </w:r>
          </w:p>
        </w:tc>
        <w:tc>
          <w:tcPr>
            <w:tcW w:w="571" w:type="dxa"/>
            <w:tcBorders>
              <w:top w:val="nil"/>
              <w:left w:val="nil"/>
              <w:bottom w:val="single" w:sz="4" w:space="0" w:color="auto"/>
              <w:right w:val="nil"/>
            </w:tcBorders>
            <w:shd w:val="clear" w:color="auto" w:fill="auto"/>
            <w:noWrap/>
            <w:vAlign w:val="bottom"/>
            <w:hideMark/>
          </w:tcPr>
          <w:p w14:paraId="6F3C68BB" w14:textId="77777777" w:rsidR="00F554B0" w:rsidRPr="00631139" w:rsidRDefault="00F554B0" w:rsidP="00F554B0">
            <w:pPr>
              <w:spacing w:after="0"/>
              <w:jc w:val="center"/>
              <w:rPr>
                <w:color w:val="000000"/>
              </w:rPr>
            </w:pPr>
            <w:r w:rsidRPr="00631139">
              <w:rPr>
                <w:color w:val="000000"/>
              </w:rPr>
              <w:t>Ln1</w:t>
            </w:r>
          </w:p>
        </w:tc>
        <w:tc>
          <w:tcPr>
            <w:tcW w:w="571" w:type="dxa"/>
            <w:tcBorders>
              <w:top w:val="nil"/>
              <w:left w:val="nil"/>
              <w:bottom w:val="single" w:sz="4" w:space="0" w:color="auto"/>
              <w:right w:val="single" w:sz="4" w:space="0" w:color="auto"/>
            </w:tcBorders>
            <w:shd w:val="clear" w:color="auto" w:fill="auto"/>
            <w:noWrap/>
            <w:vAlign w:val="bottom"/>
            <w:hideMark/>
          </w:tcPr>
          <w:p w14:paraId="7B8AB2DC" w14:textId="77777777" w:rsidR="00F554B0" w:rsidRPr="00631139" w:rsidRDefault="00F554B0" w:rsidP="00F554B0">
            <w:pPr>
              <w:spacing w:after="0"/>
              <w:jc w:val="center"/>
              <w:rPr>
                <w:color w:val="000000"/>
              </w:rPr>
            </w:pPr>
            <w:r w:rsidRPr="00631139">
              <w:rPr>
                <w:color w:val="000000"/>
              </w:rPr>
              <w:t>Ln2</w:t>
            </w:r>
          </w:p>
        </w:tc>
        <w:tc>
          <w:tcPr>
            <w:tcW w:w="559" w:type="dxa"/>
            <w:tcBorders>
              <w:top w:val="nil"/>
              <w:left w:val="nil"/>
              <w:bottom w:val="single" w:sz="4" w:space="0" w:color="auto"/>
              <w:right w:val="nil"/>
            </w:tcBorders>
            <w:shd w:val="clear" w:color="auto" w:fill="auto"/>
            <w:noWrap/>
            <w:vAlign w:val="bottom"/>
            <w:hideMark/>
          </w:tcPr>
          <w:p w14:paraId="12FC958A" w14:textId="77777777" w:rsidR="00F554B0" w:rsidRPr="00631139" w:rsidRDefault="00F554B0" w:rsidP="00F554B0">
            <w:pPr>
              <w:spacing w:after="0"/>
              <w:jc w:val="center"/>
              <w:rPr>
                <w:color w:val="000000"/>
              </w:rPr>
            </w:pPr>
            <w:r w:rsidRPr="00631139">
              <w:rPr>
                <w:color w:val="000000"/>
              </w:rPr>
              <w:t>Fn1</w:t>
            </w:r>
          </w:p>
        </w:tc>
        <w:tc>
          <w:tcPr>
            <w:tcW w:w="559" w:type="dxa"/>
            <w:tcBorders>
              <w:top w:val="nil"/>
              <w:left w:val="nil"/>
              <w:bottom w:val="single" w:sz="4" w:space="0" w:color="auto"/>
              <w:right w:val="nil"/>
            </w:tcBorders>
            <w:shd w:val="clear" w:color="auto" w:fill="auto"/>
            <w:noWrap/>
            <w:vAlign w:val="bottom"/>
            <w:hideMark/>
          </w:tcPr>
          <w:p w14:paraId="7F018D18" w14:textId="77777777" w:rsidR="00F554B0" w:rsidRPr="00631139" w:rsidRDefault="00F554B0" w:rsidP="00F554B0">
            <w:pPr>
              <w:spacing w:after="0"/>
              <w:jc w:val="center"/>
              <w:rPr>
                <w:color w:val="000000"/>
              </w:rPr>
            </w:pPr>
            <w:r w:rsidRPr="00631139">
              <w:rPr>
                <w:color w:val="000000"/>
              </w:rPr>
              <w:t>Fn2</w:t>
            </w:r>
          </w:p>
        </w:tc>
        <w:tc>
          <w:tcPr>
            <w:tcW w:w="620" w:type="dxa"/>
            <w:tcBorders>
              <w:top w:val="nil"/>
              <w:left w:val="single" w:sz="4" w:space="0" w:color="auto"/>
              <w:bottom w:val="single" w:sz="4" w:space="0" w:color="auto"/>
              <w:right w:val="nil"/>
            </w:tcBorders>
            <w:shd w:val="clear" w:color="auto" w:fill="auto"/>
            <w:noWrap/>
            <w:vAlign w:val="bottom"/>
            <w:hideMark/>
          </w:tcPr>
          <w:p w14:paraId="798EDA3C" w14:textId="77777777" w:rsidR="00F554B0" w:rsidRPr="00631139" w:rsidRDefault="00F554B0" w:rsidP="00F554B0">
            <w:pPr>
              <w:spacing w:after="0"/>
              <w:jc w:val="center"/>
              <w:rPr>
                <w:color w:val="000000"/>
              </w:rPr>
            </w:pPr>
            <w:r w:rsidRPr="00631139">
              <w:rPr>
                <w:color w:val="000000"/>
              </w:rPr>
              <w:t>Pm1</w:t>
            </w:r>
          </w:p>
        </w:tc>
        <w:tc>
          <w:tcPr>
            <w:tcW w:w="620" w:type="dxa"/>
            <w:tcBorders>
              <w:top w:val="nil"/>
              <w:left w:val="nil"/>
              <w:bottom w:val="single" w:sz="4" w:space="0" w:color="auto"/>
              <w:right w:val="single" w:sz="4" w:space="0" w:color="auto"/>
            </w:tcBorders>
            <w:shd w:val="clear" w:color="auto" w:fill="auto"/>
            <w:noWrap/>
            <w:vAlign w:val="bottom"/>
            <w:hideMark/>
          </w:tcPr>
          <w:p w14:paraId="78572E33" w14:textId="77777777" w:rsidR="00F554B0" w:rsidRPr="00631139" w:rsidRDefault="00F554B0" w:rsidP="00F554B0">
            <w:pPr>
              <w:spacing w:after="0"/>
              <w:jc w:val="center"/>
              <w:rPr>
                <w:color w:val="000000"/>
              </w:rPr>
            </w:pPr>
            <w:r w:rsidRPr="00631139">
              <w:rPr>
                <w:color w:val="000000"/>
              </w:rPr>
              <w:t>Pm2</w:t>
            </w:r>
          </w:p>
        </w:tc>
        <w:tc>
          <w:tcPr>
            <w:tcW w:w="595" w:type="dxa"/>
            <w:tcBorders>
              <w:top w:val="nil"/>
              <w:left w:val="nil"/>
              <w:bottom w:val="single" w:sz="4" w:space="0" w:color="auto"/>
              <w:right w:val="nil"/>
            </w:tcBorders>
            <w:shd w:val="clear" w:color="auto" w:fill="auto"/>
            <w:noWrap/>
            <w:vAlign w:val="bottom"/>
            <w:hideMark/>
          </w:tcPr>
          <w:p w14:paraId="439444DA" w14:textId="77777777" w:rsidR="00F554B0" w:rsidRPr="00631139" w:rsidRDefault="00F554B0" w:rsidP="00F554B0">
            <w:pPr>
              <w:spacing w:after="0"/>
              <w:jc w:val="center"/>
              <w:rPr>
                <w:color w:val="000000"/>
              </w:rPr>
            </w:pPr>
            <w:r w:rsidRPr="00631139">
              <w:rPr>
                <w:color w:val="000000"/>
              </w:rPr>
              <w:t>Ob1</w:t>
            </w:r>
          </w:p>
        </w:tc>
        <w:tc>
          <w:tcPr>
            <w:tcW w:w="693" w:type="dxa"/>
            <w:tcBorders>
              <w:top w:val="nil"/>
              <w:left w:val="nil"/>
              <w:bottom w:val="single" w:sz="4" w:space="0" w:color="auto"/>
              <w:right w:val="nil"/>
            </w:tcBorders>
            <w:shd w:val="clear" w:color="auto" w:fill="auto"/>
            <w:noWrap/>
            <w:vAlign w:val="bottom"/>
            <w:hideMark/>
          </w:tcPr>
          <w:p w14:paraId="2A222F72" w14:textId="77777777" w:rsidR="00F554B0" w:rsidRPr="00631139" w:rsidRDefault="00F554B0" w:rsidP="00F554B0">
            <w:pPr>
              <w:spacing w:after="0"/>
              <w:jc w:val="center"/>
              <w:rPr>
                <w:color w:val="000000"/>
              </w:rPr>
            </w:pPr>
            <w:r w:rsidRPr="00631139">
              <w:rPr>
                <w:color w:val="000000"/>
              </w:rPr>
              <w:t>Ob2</w:t>
            </w:r>
          </w:p>
        </w:tc>
        <w:tc>
          <w:tcPr>
            <w:tcW w:w="595" w:type="dxa"/>
            <w:tcBorders>
              <w:top w:val="nil"/>
              <w:left w:val="nil"/>
              <w:bottom w:val="single" w:sz="4" w:space="0" w:color="auto"/>
              <w:right w:val="single" w:sz="4" w:space="0" w:color="auto"/>
            </w:tcBorders>
            <w:shd w:val="clear" w:color="auto" w:fill="auto"/>
            <w:noWrap/>
            <w:vAlign w:val="bottom"/>
            <w:hideMark/>
          </w:tcPr>
          <w:p w14:paraId="7C82F07E" w14:textId="77777777" w:rsidR="00F554B0" w:rsidRPr="00631139" w:rsidRDefault="00F554B0" w:rsidP="00F554B0">
            <w:pPr>
              <w:spacing w:after="0"/>
              <w:jc w:val="center"/>
              <w:rPr>
                <w:color w:val="000000"/>
              </w:rPr>
            </w:pPr>
            <w:r w:rsidRPr="00631139">
              <w:rPr>
                <w:color w:val="000000"/>
              </w:rPr>
              <w:t>Ob3</w:t>
            </w:r>
          </w:p>
        </w:tc>
        <w:tc>
          <w:tcPr>
            <w:tcW w:w="724" w:type="dxa"/>
            <w:tcBorders>
              <w:top w:val="nil"/>
              <w:left w:val="nil"/>
              <w:bottom w:val="single" w:sz="4" w:space="0" w:color="auto"/>
              <w:right w:val="nil"/>
            </w:tcBorders>
            <w:shd w:val="clear" w:color="auto" w:fill="auto"/>
            <w:noWrap/>
            <w:vAlign w:val="bottom"/>
            <w:hideMark/>
          </w:tcPr>
          <w:p w14:paraId="465107EF" w14:textId="77777777" w:rsidR="00F554B0" w:rsidRPr="00631139" w:rsidRDefault="00F554B0" w:rsidP="00F554B0">
            <w:pPr>
              <w:spacing w:after="0"/>
              <w:jc w:val="center"/>
              <w:rPr>
                <w:color w:val="000000"/>
              </w:rPr>
            </w:pPr>
            <w:r w:rsidRPr="00631139">
              <w:rPr>
                <w:color w:val="000000"/>
              </w:rPr>
              <w:t>Pj1</w:t>
            </w:r>
          </w:p>
        </w:tc>
        <w:tc>
          <w:tcPr>
            <w:tcW w:w="724" w:type="dxa"/>
            <w:tcBorders>
              <w:top w:val="nil"/>
              <w:left w:val="nil"/>
              <w:bottom w:val="single" w:sz="4" w:space="0" w:color="auto"/>
              <w:right w:val="single" w:sz="4" w:space="0" w:color="auto"/>
            </w:tcBorders>
            <w:shd w:val="clear" w:color="auto" w:fill="auto"/>
            <w:noWrap/>
            <w:vAlign w:val="bottom"/>
            <w:hideMark/>
          </w:tcPr>
          <w:p w14:paraId="2DAA46E6" w14:textId="77777777" w:rsidR="00F554B0" w:rsidRPr="00631139" w:rsidRDefault="00F554B0" w:rsidP="00F554B0">
            <w:pPr>
              <w:spacing w:after="0"/>
              <w:jc w:val="center"/>
              <w:rPr>
                <w:color w:val="000000"/>
              </w:rPr>
            </w:pPr>
            <w:r w:rsidRPr="00631139">
              <w:rPr>
                <w:color w:val="000000"/>
              </w:rPr>
              <w:t>Pj2</w:t>
            </w:r>
          </w:p>
        </w:tc>
      </w:tr>
    </w:tbl>
    <w:p w14:paraId="7768882F" w14:textId="77777777" w:rsidR="00B96031" w:rsidRDefault="00B96031" w:rsidP="00B96031">
      <w:pPr>
        <w:spacing w:after="0"/>
      </w:pPr>
    </w:p>
    <w:p w14:paraId="003D6DE3" w14:textId="77777777" w:rsidR="00876384" w:rsidRDefault="00876384" w:rsidP="00B96031">
      <w:pPr>
        <w:spacing w:after="0"/>
      </w:pPr>
    </w:p>
    <w:p w14:paraId="0AFF2FBB" w14:textId="77777777" w:rsidR="00F554B0" w:rsidRDefault="00F554B0" w:rsidP="00B96031">
      <w:pPr>
        <w:spacing w:after="0"/>
        <w:rPr>
          <w:b/>
        </w:rPr>
      </w:pPr>
    </w:p>
    <w:p w14:paraId="7AD6C656" w14:textId="77777777" w:rsidR="00F554B0" w:rsidRDefault="00F554B0" w:rsidP="00B96031">
      <w:pPr>
        <w:spacing w:after="0"/>
        <w:rPr>
          <w:b/>
        </w:rPr>
      </w:pPr>
    </w:p>
    <w:p w14:paraId="1C83D44B" w14:textId="77777777" w:rsidR="00F554B0" w:rsidRDefault="00F554B0" w:rsidP="00B96031">
      <w:pPr>
        <w:spacing w:after="0"/>
        <w:rPr>
          <w:b/>
        </w:rPr>
      </w:pPr>
    </w:p>
    <w:p w14:paraId="08740F40" w14:textId="6C99E422" w:rsidR="00F554B0" w:rsidRPr="00A7736D" w:rsidRDefault="00D8711A" w:rsidP="00A7736D">
      <w:r w:rsidRPr="00D8711A">
        <w:rPr>
          <w:szCs w:val="22"/>
        </w:rPr>
        <w:t>Each segment and its structure is described further below.</w:t>
      </w:r>
      <w:r>
        <w:rPr>
          <w:szCs w:val="22"/>
        </w:rPr>
        <w:t xml:space="preserve">  </w:t>
      </w:r>
      <w:r w:rsidR="00791567">
        <w:rPr>
          <w:szCs w:val="22"/>
        </w:rPr>
        <w:t xml:space="preserve">References to “Tabs” relate to the UCOA file at </w:t>
      </w:r>
      <w:hyperlink r:id="rId15" w:history="1">
        <w:r w:rsidR="00840731">
          <w:rPr>
            <w:rStyle w:val="Hyperlink"/>
            <w:rFonts w:eastAsiaTheme="majorEastAsia"/>
          </w:rPr>
          <w:t>http://www.sde.ct.gov/sde/cwp/view.asp?a=2680&amp;q=334400</w:t>
        </w:r>
      </w:hyperlink>
      <w:r w:rsidR="00791567" w:rsidRPr="00791567">
        <w:rPr>
          <w:szCs w:val="22"/>
        </w:rPr>
        <w:t>, which list t</w:t>
      </w:r>
      <w:r w:rsidRPr="00791567">
        <w:rPr>
          <w:szCs w:val="22"/>
        </w:rPr>
        <w:t>he</w:t>
      </w:r>
      <w:r w:rsidR="00791567">
        <w:rPr>
          <w:szCs w:val="22"/>
        </w:rPr>
        <w:t xml:space="preserve"> valid codes for each segment</w:t>
      </w:r>
      <w:r w:rsidR="00B66026">
        <w:t xml:space="preserve">. </w:t>
      </w:r>
      <w:r w:rsidR="000456A9">
        <w:t xml:space="preserve"> </w:t>
      </w:r>
      <w:r w:rsidR="00791567">
        <w:rPr>
          <w:szCs w:val="22"/>
        </w:rPr>
        <w:t xml:space="preserve">Digits shown </w:t>
      </w:r>
      <w:r w:rsidR="000456A9">
        <w:rPr>
          <w:szCs w:val="22"/>
        </w:rPr>
        <w:t xml:space="preserve">below </w:t>
      </w:r>
      <w:r w:rsidR="00791567">
        <w:rPr>
          <w:szCs w:val="22"/>
        </w:rPr>
        <w:t xml:space="preserve">as “Mandatory” are necessary for state and/or federal reporting; other digits may be used as needed by districts.  </w:t>
      </w:r>
      <w:r w:rsidR="00791567">
        <w:t>References to “Balance Sheet” apply</w:t>
      </w:r>
      <w:r w:rsidR="00791567" w:rsidRPr="004D0BF4">
        <w:t xml:space="preserve"> </w:t>
      </w:r>
      <w:r w:rsidR="00791567">
        <w:t>only to those districts that are required to maintain a balance sheet.</w:t>
      </w:r>
      <w:r w:rsidR="00B66026">
        <w:t xml:space="preserve">  </w:t>
      </w:r>
    </w:p>
    <w:p w14:paraId="140D7746" w14:textId="77777777" w:rsidR="00D8711A" w:rsidRDefault="00D8711A" w:rsidP="00B96031">
      <w:pPr>
        <w:spacing w:after="0"/>
        <w:rPr>
          <w:b/>
        </w:rPr>
      </w:pPr>
    </w:p>
    <w:p w14:paraId="63A58095" w14:textId="77777777" w:rsidR="00D8711A" w:rsidRDefault="00D8711A" w:rsidP="00B96031">
      <w:pPr>
        <w:spacing w:after="0"/>
        <w:rPr>
          <w:b/>
        </w:rPr>
      </w:pPr>
    </w:p>
    <w:p w14:paraId="4FAD45DA" w14:textId="45BBE726" w:rsidR="00B96031" w:rsidRDefault="00B96031" w:rsidP="00B96031">
      <w:pPr>
        <w:spacing w:after="0"/>
        <w:rPr>
          <w:b/>
        </w:rPr>
      </w:pPr>
      <w:r w:rsidRPr="005C25CD">
        <w:rPr>
          <w:b/>
        </w:rPr>
        <w:t>Fund – 4 digits</w:t>
      </w:r>
      <w:r w:rsidR="00C31B81" w:rsidRPr="005C25CD">
        <w:rPr>
          <w:b/>
        </w:rPr>
        <w:t xml:space="preserve"> </w:t>
      </w:r>
    </w:p>
    <w:p w14:paraId="455D925D" w14:textId="77777777" w:rsidR="00D408E9" w:rsidRDefault="00D408E9" w:rsidP="00B96031">
      <w:pPr>
        <w:spacing w:after="0"/>
        <w:rPr>
          <w:b/>
        </w:rPr>
      </w:pPr>
    </w:p>
    <w:p w14:paraId="31C4DDAA" w14:textId="77777777" w:rsidR="00D408E9" w:rsidRPr="00345871" w:rsidRDefault="00D408E9" w:rsidP="00D408E9">
      <w:pPr>
        <w:spacing w:after="240"/>
        <w:rPr>
          <w:szCs w:val="22"/>
        </w:rPr>
      </w:pPr>
      <w:r w:rsidRPr="00345871">
        <w:rPr>
          <w:szCs w:val="22"/>
        </w:rPr>
        <w:t>A Fund is a fiscal and accounting entity with a self-balancing set of accounts in which cash and other financial resources, all related liabilities, and residual equities, or balances, and changes therein, are recorded and segregated to carry on specific activities or to attain certain objectives in accordance with special regulations, restrictions, or limitations.  District accounting systems must be organized and operated on a fund basis.</w:t>
      </w:r>
    </w:p>
    <w:p w14:paraId="6878A177" w14:textId="77777777" w:rsidR="00D408E9" w:rsidRDefault="00D408E9" w:rsidP="00D408E9">
      <w:pPr>
        <w:spacing w:after="240"/>
        <w:rPr>
          <w:szCs w:val="22"/>
        </w:rPr>
      </w:pPr>
      <w:r w:rsidRPr="00345871">
        <w:rPr>
          <w:szCs w:val="22"/>
        </w:rPr>
        <w:t xml:space="preserve">The intent of the Fund segment is to segregate or isolate </w:t>
      </w:r>
      <w:r w:rsidRPr="00345871">
        <w:rPr>
          <w:szCs w:val="22"/>
          <w:u w:val="single"/>
        </w:rPr>
        <w:t>types</w:t>
      </w:r>
      <w:r w:rsidRPr="00345871">
        <w:rPr>
          <w:szCs w:val="22"/>
        </w:rPr>
        <w:t xml:space="preserve"> of funding and activities that are associated with the various fund types.</w:t>
      </w:r>
    </w:p>
    <w:p w14:paraId="76D742D8" w14:textId="2896F369" w:rsidR="00B5477B" w:rsidRDefault="00B5477B" w:rsidP="00D408E9">
      <w:pPr>
        <w:spacing w:after="240"/>
        <w:rPr>
          <w:szCs w:val="22"/>
        </w:rPr>
      </w:pPr>
      <w:r w:rsidRPr="00345871">
        <w:rPr>
          <w:spacing w:val="3"/>
          <w:szCs w:val="22"/>
        </w:rPr>
        <w:t xml:space="preserve">The Fund number is composed of four digits.  The first digit </w:t>
      </w:r>
      <w:r w:rsidRPr="00B5477B">
        <w:rPr>
          <w:spacing w:val="3"/>
          <w:szCs w:val="22"/>
        </w:rPr>
        <w:t>provides a fund type designation</w:t>
      </w:r>
      <w:r>
        <w:rPr>
          <w:spacing w:val="3"/>
          <w:szCs w:val="22"/>
        </w:rPr>
        <w:t>, which is consistent with the Federal Handbook</w:t>
      </w:r>
      <w:r w:rsidRPr="00345871">
        <w:rPr>
          <w:spacing w:val="3"/>
          <w:szCs w:val="22"/>
        </w:rPr>
        <w:t xml:space="preserve">.  The remaining digits </w:t>
      </w:r>
      <w:r>
        <w:rPr>
          <w:spacing w:val="3"/>
          <w:szCs w:val="22"/>
        </w:rPr>
        <w:t xml:space="preserve">are used to </w:t>
      </w:r>
      <w:r w:rsidRPr="00345871">
        <w:rPr>
          <w:spacing w:val="3"/>
          <w:szCs w:val="22"/>
        </w:rPr>
        <w:t xml:space="preserve">designate </w:t>
      </w:r>
      <w:r>
        <w:rPr>
          <w:spacing w:val="3"/>
          <w:szCs w:val="22"/>
        </w:rPr>
        <w:t>the funding source for</w:t>
      </w:r>
      <w:r w:rsidRPr="00345871">
        <w:rPr>
          <w:spacing w:val="3"/>
          <w:szCs w:val="22"/>
        </w:rPr>
        <w:t xml:space="preserve"> </w:t>
      </w:r>
      <w:r>
        <w:rPr>
          <w:spacing w:val="3"/>
          <w:szCs w:val="22"/>
        </w:rPr>
        <w:t>s</w:t>
      </w:r>
      <w:r w:rsidRPr="00345871">
        <w:rPr>
          <w:spacing w:val="3"/>
          <w:szCs w:val="22"/>
        </w:rPr>
        <w:t xml:space="preserve">pecial </w:t>
      </w:r>
      <w:r>
        <w:rPr>
          <w:spacing w:val="3"/>
          <w:szCs w:val="22"/>
        </w:rPr>
        <w:t>r</w:t>
      </w:r>
      <w:r w:rsidRPr="00345871">
        <w:rPr>
          <w:spacing w:val="3"/>
          <w:szCs w:val="22"/>
        </w:rPr>
        <w:t>evenue funds</w:t>
      </w:r>
      <w:r>
        <w:rPr>
          <w:spacing w:val="3"/>
          <w:szCs w:val="22"/>
        </w:rPr>
        <w:t>.</w:t>
      </w:r>
      <w:r w:rsidR="004E22FA">
        <w:rPr>
          <w:spacing w:val="3"/>
          <w:szCs w:val="22"/>
        </w:rPr>
        <w:t xml:space="preserve">  The following table outlines those digits in the Fund number that will be</w:t>
      </w:r>
      <w:r w:rsidR="005346ED">
        <w:rPr>
          <w:spacing w:val="3"/>
          <w:szCs w:val="22"/>
        </w:rPr>
        <w:t xml:space="preserve"> used </w:t>
      </w:r>
      <w:r w:rsidR="005346ED">
        <w:rPr>
          <w:spacing w:val="3"/>
          <w:szCs w:val="22"/>
        </w:rPr>
        <w:lastRenderedPageBreak/>
        <w:t xml:space="preserve">for reporting purposes. </w:t>
      </w:r>
      <w:r w:rsidR="000456A9">
        <w:rPr>
          <w:spacing w:val="3"/>
          <w:szCs w:val="22"/>
        </w:rPr>
        <w:t xml:space="preserve"> See Tabs “BOTH-Fund Ranges” and BOTH-Fund Codes”.</w:t>
      </w:r>
    </w:p>
    <w:p w14:paraId="3B2C58E5" w14:textId="77777777" w:rsidR="00D408E9" w:rsidRDefault="00D408E9">
      <w:pPr>
        <w:spacing w:after="160" w:line="259" w:lineRule="auto"/>
        <w:rPr>
          <w:szCs w:val="22"/>
        </w:rPr>
      </w:pPr>
      <w:r>
        <w:rPr>
          <w:szCs w:val="22"/>
        </w:rPr>
        <w:br w:type="page"/>
      </w:r>
    </w:p>
    <w:p w14:paraId="584A2555" w14:textId="0A3A259D" w:rsidR="00C31B81" w:rsidRDefault="00D408E9" w:rsidP="00F5463C">
      <w:pPr>
        <w:spacing w:after="240"/>
      </w:pPr>
      <w:r w:rsidRPr="005C25CD">
        <w:rPr>
          <w:b/>
        </w:rPr>
        <w:lastRenderedPageBreak/>
        <w:t>Fund</w:t>
      </w:r>
      <w:r>
        <w:rPr>
          <w:b/>
        </w:rPr>
        <w:t xml:space="preserve"> (continued)</w:t>
      </w:r>
    </w:p>
    <w:tbl>
      <w:tblPr>
        <w:tblW w:w="7220" w:type="dxa"/>
        <w:tblInd w:w="413" w:type="dxa"/>
        <w:tblLook w:val="04A0" w:firstRow="1" w:lastRow="0" w:firstColumn="1" w:lastColumn="0" w:noHBand="0" w:noVBand="1"/>
      </w:tblPr>
      <w:tblGrid>
        <w:gridCol w:w="1460"/>
        <w:gridCol w:w="2020"/>
        <w:gridCol w:w="2020"/>
        <w:gridCol w:w="1720"/>
      </w:tblGrid>
      <w:tr w:rsidR="00C31B81" w:rsidRPr="00D01C6A" w14:paraId="1D4BEE77" w14:textId="77777777" w:rsidTr="0019377A">
        <w:trPr>
          <w:trHeight w:val="555"/>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F871B5A" w14:textId="77777777" w:rsidR="00C31B81" w:rsidRPr="00D01C6A" w:rsidRDefault="00C31B81" w:rsidP="00C31B81">
            <w:pPr>
              <w:spacing w:after="0"/>
              <w:rPr>
                <w:b/>
                <w:color w:val="000000"/>
                <w:szCs w:val="22"/>
              </w:rPr>
            </w:pPr>
            <w:r w:rsidRPr="00D01C6A">
              <w:rPr>
                <w:b/>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6D310DA1" w14:textId="77777777" w:rsidR="00C31B81" w:rsidRPr="00D01C6A" w:rsidRDefault="00C31B81" w:rsidP="00C31B81">
            <w:pPr>
              <w:spacing w:after="0"/>
              <w:rPr>
                <w:b/>
                <w:color w:val="000000"/>
                <w:szCs w:val="22"/>
              </w:rPr>
            </w:pPr>
            <w:r w:rsidRPr="00D01C6A">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0DE4D3B3" w14:textId="77777777" w:rsidR="00C31B81" w:rsidRPr="00D01C6A" w:rsidRDefault="00C31B81" w:rsidP="00C31B81">
            <w:pPr>
              <w:spacing w:after="0"/>
              <w:rPr>
                <w:b/>
                <w:color w:val="000000"/>
                <w:szCs w:val="22"/>
              </w:rPr>
            </w:pPr>
            <w:r w:rsidRPr="00D01C6A">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1E9A3765" w14:textId="4B11345A" w:rsidR="00C31B81" w:rsidRPr="00D01C6A" w:rsidRDefault="00C31B81" w:rsidP="00791567">
            <w:pPr>
              <w:spacing w:after="0"/>
              <w:rPr>
                <w:b/>
                <w:color w:val="000000"/>
                <w:szCs w:val="22"/>
              </w:rPr>
            </w:pPr>
            <w:r w:rsidRPr="00D01C6A">
              <w:rPr>
                <w:b/>
                <w:color w:val="000000"/>
                <w:szCs w:val="22"/>
              </w:rPr>
              <w:t>Balance Sheet</w:t>
            </w:r>
          </w:p>
        </w:tc>
      </w:tr>
      <w:tr w:rsidR="00C31B81" w:rsidRPr="00D01C6A" w14:paraId="54925E3B" w14:textId="77777777" w:rsidTr="0019377A">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05081DBB" w14:textId="77777777" w:rsidR="00C31B81" w:rsidRPr="00D01C6A" w:rsidRDefault="00C31B81" w:rsidP="00C31B81">
            <w:pPr>
              <w:spacing w:after="0"/>
              <w:rPr>
                <w:b/>
                <w:color w:val="000000"/>
                <w:szCs w:val="22"/>
              </w:rPr>
            </w:pPr>
            <w:r w:rsidRPr="00D01C6A">
              <w:rPr>
                <w:b/>
                <w:color w:val="000000"/>
                <w:szCs w:val="22"/>
              </w:rPr>
              <w:t>Fd1 - 1 digit</w:t>
            </w:r>
          </w:p>
        </w:tc>
        <w:tc>
          <w:tcPr>
            <w:tcW w:w="2020" w:type="dxa"/>
            <w:tcBorders>
              <w:top w:val="nil"/>
              <w:left w:val="nil"/>
              <w:bottom w:val="single" w:sz="4" w:space="0" w:color="auto"/>
              <w:right w:val="single" w:sz="4" w:space="0" w:color="auto"/>
            </w:tcBorders>
            <w:shd w:val="clear" w:color="auto" w:fill="auto"/>
            <w:hideMark/>
          </w:tcPr>
          <w:p w14:paraId="236941E3" w14:textId="77777777" w:rsidR="00C31B81" w:rsidRPr="00D01C6A" w:rsidRDefault="00C31B81" w:rsidP="00C31B81">
            <w:pPr>
              <w:spacing w:after="0"/>
              <w:rPr>
                <w:color w:val="000000"/>
                <w:szCs w:val="22"/>
              </w:rPr>
            </w:pPr>
            <w:r w:rsidRPr="00D01C6A">
              <w:rPr>
                <w:color w:val="000000"/>
                <w:szCs w:val="22"/>
              </w:rPr>
              <w:t>Mandatory</w:t>
            </w:r>
          </w:p>
        </w:tc>
        <w:tc>
          <w:tcPr>
            <w:tcW w:w="2020" w:type="dxa"/>
            <w:tcBorders>
              <w:top w:val="nil"/>
              <w:left w:val="nil"/>
              <w:bottom w:val="single" w:sz="4" w:space="0" w:color="auto"/>
              <w:right w:val="single" w:sz="4" w:space="0" w:color="auto"/>
            </w:tcBorders>
            <w:shd w:val="clear" w:color="auto" w:fill="auto"/>
            <w:hideMark/>
          </w:tcPr>
          <w:p w14:paraId="181168B9" w14:textId="77777777" w:rsidR="00C31B81" w:rsidRPr="00D01C6A" w:rsidRDefault="00C31B81" w:rsidP="00C31B81">
            <w:pPr>
              <w:spacing w:after="0"/>
              <w:rPr>
                <w:color w:val="000000"/>
                <w:szCs w:val="22"/>
              </w:rPr>
            </w:pPr>
            <w:r w:rsidRPr="00D01C6A">
              <w:rPr>
                <w:color w:val="000000"/>
                <w:szCs w:val="22"/>
              </w:rPr>
              <w:t>Mandatory</w:t>
            </w:r>
          </w:p>
        </w:tc>
        <w:tc>
          <w:tcPr>
            <w:tcW w:w="1720" w:type="dxa"/>
            <w:tcBorders>
              <w:top w:val="nil"/>
              <w:left w:val="nil"/>
              <w:bottom w:val="single" w:sz="4" w:space="0" w:color="auto"/>
              <w:right w:val="single" w:sz="4" w:space="0" w:color="auto"/>
            </w:tcBorders>
            <w:shd w:val="clear" w:color="auto" w:fill="auto"/>
            <w:hideMark/>
          </w:tcPr>
          <w:p w14:paraId="6EEB5114" w14:textId="77777777" w:rsidR="00C31B81" w:rsidRPr="00D01C6A" w:rsidRDefault="00C31B81" w:rsidP="00C31B81">
            <w:pPr>
              <w:spacing w:after="0"/>
              <w:rPr>
                <w:color w:val="000000"/>
                <w:szCs w:val="22"/>
              </w:rPr>
            </w:pPr>
            <w:r w:rsidRPr="00D01C6A">
              <w:rPr>
                <w:color w:val="000000"/>
                <w:szCs w:val="22"/>
              </w:rPr>
              <w:t>Mandatory</w:t>
            </w:r>
          </w:p>
        </w:tc>
      </w:tr>
      <w:tr w:rsidR="00C31B81" w:rsidRPr="00D01C6A" w14:paraId="2CDDAF3F" w14:textId="77777777" w:rsidTr="0019377A">
        <w:trPr>
          <w:trHeight w:val="1200"/>
        </w:trPr>
        <w:tc>
          <w:tcPr>
            <w:tcW w:w="1460" w:type="dxa"/>
            <w:tcBorders>
              <w:top w:val="nil"/>
              <w:left w:val="single" w:sz="4" w:space="0" w:color="auto"/>
              <w:bottom w:val="single" w:sz="4" w:space="0" w:color="auto"/>
              <w:right w:val="single" w:sz="4" w:space="0" w:color="auto"/>
            </w:tcBorders>
            <w:shd w:val="clear" w:color="auto" w:fill="auto"/>
            <w:hideMark/>
          </w:tcPr>
          <w:p w14:paraId="0E35E1EA" w14:textId="77777777" w:rsidR="00C31B81" w:rsidRPr="00D01C6A" w:rsidRDefault="00C31B81" w:rsidP="00C31B81">
            <w:pPr>
              <w:spacing w:after="0"/>
              <w:rPr>
                <w:b/>
                <w:color w:val="000000"/>
                <w:szCs w:val="22"/>
              </w:rPr>
            </w:pPr>
            <w:r w:rsidRPr="00D01C6A">
              <w:rPr>
                <w:b/>
                <w:color w:val="000000"/>
                <w:szCs w:val="22"/>
              </w:rPr>
              <w:t>Fd2 - 1 digit</w:t>
            </w:r>
          </w:p>
        </w:tc>
        <w:tc>
          <w:tcPr>
            <w:tcW w:w="2020" w:type="dxa"/>
            <w:tcBorders>
              <w:top w:val="nil"/>
              <w:left w:val="nil"/>
              <w:bottom w:val="single" w:sz="4" w:space="0" w:color="auto"/>
              <w:right w:val="single" w:sz="4" w:space="0" w:color="auto"/>
            </w:tcBorders>
            <w:shd w:val="clear" w:color="auto" w:fill="auto"/>
            <w:hideMark/>
          </w:tcPr>
          <w:p w14:paraId="442897BD" w14:textId="77777777" w:rsidR="00C31B81" w:rsidRPr="00D01C6A" w:rsidRDefault="00C31B81" w:rsidP="00C31B81">
            <w:pPr>
              <w:spacing w:after="0"/>
              <w:rPr>
                <w:color w:val="000000"/>
                <w:szCs w:val="22"/>
              </w:rPr>
            </w:pPr>
            <w:r w:rsidRPr="00D01C6A">
              <w:rPr>
                <w:color w:val="000000"/>
                <w:szCs w:val="22"/>
              </w:rPr>
              <w:t>Mandatory for all Special Revenue fund accounts</w:t>
            </w:r>
          </w:p>
        </w:tc>
        <w:tc>
          <w:tcPr>
            <w:tcW w:w="2020" w:type="dxa"/>
            <w:tcBorders>
              <w:top w:val="nil"/>
              <w:left w:val="nil"/>
              <w:bottom w:val="single" w:sz="4" w:space="0" w:color="auto"/>
              <w:right w:val="single" w:sz="4" w:space="0" w:color="auto"/>
            </w:tcBorders>
            <w:shd w:val="clear" w:color="auto" w:fill="auto"/>
            <w:hideMark/>
          </w:tcPr>
          <w:p w14:paraId="6451FD4F" w14:textId="77777777" w:rsidR="00C31B81" w:rsidRPr="00D01C6A" w:rsidRDefault="00464359" w:rsidP="00C31B81">
            <w:pPr>
              <w:spacing w:after="0"/>
              <w:rPr>
                <w:color w:val="000000"/>
                <w:szCs w:val="22"/>
              </w:rPr>
            </w:pPr>
            <w:r w:rsidRPr="00D01C6A">
              <w:rPr>
                <w:color w:val="000000"/>
                <w:szCs w:val="22"/>
              </w:rPr>
              <w:t>Mandatory for all Special Revenue fund accounts</w:t>
            </w:r>
          </w:p>
        </w:tc>
        <w:tc>
          <w:tcPr>
            <w:tcW w:w="1720" w:type="dxa"/>
            <w:tcBorders>
              <w:top w:val="nil"/>
              <w:left w:val="nil"/>
              <w:bottom w:val="single" w:sz="4" w:space="0" w:color="auto"/>
              <w:right w:val="single" w:sz="4" w:space="0" w:color="auto"/>
            </w:tcBorders>
            <w:shd w:val="clear" w:color="auto" w:fill="auto"/>
            <w:hideMark/>
          </w:tcPr>
          <w:p w14:paraId="386F9CC3" w14:textId="77777777" w:rsidR="00C31B81" w:rsidRPr="00D01C6A" w:rsidRDefault="00C31B81" w:rsidP="00C31B81">
            <w:pPr>
              <w:spacing w:after="0"/>
              <w:rPr>
                <w:color w:val="000000"/>
                <w:szCs w:val="22"/>
              </w:rPr>
            </w:pPr>
            <w:r w:rsidRPr="00D01C6A">
              <w:rPr>
                <w:color w:val="000000"/>
                <w:szCs w:val="22"/>
              </w:rPr>
              <w:t>Not required</w:t>
            </w:r>
          </w:p>
        </w:tc>
      </w:tr>
      <w:tr w:rsidR="00C31B81" w:rsidRPr="00D01C6A" w14:paraId="44A76D5D" w14:textId="77777777" w:rsidTr="0019377A">
        <w:trPr>
          <w:trHeight w:val="1800"/>
        </w:trPr>
        <w:tc>
          <w:tcPr>
            <w:tcW w:w="1460" w:type="dxa"/>
            <w:tcBorders>
              <w:top w:val="nil"/>
              <w:left w:val="single" w:sz="4" w:space="0" w:color="auto"/>
              <w:bottom w:val="single" w:sz="4" w:space="0" w:color="auto"/>
              <w:right w:val="single" w:sz="4" w:space="0" w:color="auto"/>
            </w:tcBorders>
            <w:shd w:val="clear" w:color="auto" w:fill="auto"/>
            <w:hideMark/>
          </w:tcPr>
          <w:p w14:paraId="4F98C586" w14:textId="77777777" w:rsidR="00C31B81" w:rsidRPr="00D01C6A" w:rsidRDefault="00C31B81" w:rsidP="00C31B81">
            <w:pPr>
              <w:spacing w:after="0"/>
              <w:rPr>
                <w:b/>
                <w:color w:val="000000"/>
                <w:szCs w:val="22"/>
              </w:rPr>
            </w:pPr>
            <w:r w:rsidRPr="00D01C6A">
              <w:rPr>
                <w:b/>
                <w:color w:val="000000"/>
                <w:szCs w:val="22"/>
              </w:rPr>
              <w:t>Fd3 - 2 digits</w:t>
            </w:r>
          </w:p>
        </w:tc>
        <w:tc>
          <w:tcPr>
            <w:tcW w:w="2020" w:type="dxa"/>
            <w:tcBorders>
              <w:top w:val="nil"/>
              <w:left w:val="nil"/>
              <w:bottom w:val="single" w:sz="4" w:space="0" w:color="auto"/>
              <w:right w:val="single" w:sz="4" w:space="0" w:color="auto"/>
            </w:tcBorders>
            <w:shd w:val="clear" w:color="auto" w:fill="auto"/>
            <w:hideMark/>
          </w:tcPr>
          <w:p w14:paraId="32DE8404" w14:textId="33091491" w:rsidR="00C31B81" w:rsidRPr="00D01C6A" w:rsidRDefault="00C31B81" w:rsidP="009F7B16">
            <w:pPr>
              <w:spacing w:after="0"/>
              <w:rPr>
                <w:color w:val="000000"/>
                <w:szCs w:val="22"/>
              </w:rPr>
            </w:pPr>
            <w:r w:rsidRPr="00D01C6A">
              <w:rPr>
                <w:color w:val="000000"/>
                <w:szCs w:val="22"/>
              </w:rPr>
              <w:t xml:space="preserve">Mandatory for state and federal grants paid by or passed through CSDE - See </w:t>
            </w:r>
            <w:r w:rsidR="009F7B16">
              <w:rPr>
                <w:color w:val="000000"/>
                <w:szCs w:val="22"/>
              </w:rPr>
              <w:t>Tabs ED-SRFunds_Fed and ED-SRFunds_CT</w:t>
            </w:r>
          </w:p>
        </w:tc>
        <w:tc>
          <w:tcPr>
            <w:tcW w:w="2020" w:type="dxa"/>
            <w:tcBorders>
              <w:top w:val="nil"/>
              <w:left w:val="nil"/>
              <w:bottom w:val="single" w:sz="4" w:space="0" w:color="auto"/>
              <w:right w:val="single" w:sz="4" w:space="0" w:color="auto"/>
            </w:tcBorders>
            <w:shd w:val="clear" w:color="auto" w:fill="auto"/>
            <w:hideMark/>
          </w:tcPr>
          <w:p w14:paraId="1D7B5B3B" w14:textId="438A836C" w:rsidR="00C31B81" w:rsidRPr="00D01C6A" w:rsidRDefault="009F7B16" w:rsidP="00C31B81">
            <w:pPr>
              <w:spacing w:after="0"/>
              <w:rPr>
                <w:color w:val="000000"/>
                <w:szCs w:val="22"/>
              </w:rPr>
            </w:pPr>
            <w:r w:rsidRPr="00D01C6A">
              <w:rPr>
                <w:color w:val="000000"/>
                <w:szCs w:val="22"/>
              </w:rPr>
              <w:t xml:space="preserve">Mandatory for state and federal grants paid by or passed through CSDE - See </w:t>
            </w:r>
            <w:r>
              <w:rPr>
                <w:color w:val="000000"/>
                <w:szCs w:val="22"/>
              </w:rPr>
              <w:t>Tabs ED-SRFunds_Fed and ED-SRFunds_CT</w:t>
            </w:r>
          </w:p>
        </w:tc>
        <w:tc>
          <w:tcPr>
            <w:tcW w:w="1720" w:type="dxa"/>
            <w:tcBorders>
              <w:top w:val="nil"/>
              <w:left w:val="nil"/>
              <w:bottom w:val="single" w:sz="4" w:space="0" w:color="auto"/>
              <w:right w:val="single" w:sz="4" w:space="0" w:color="auto"/>
            </w:tcBorders>
            <w:shd w:val="clear" w:color="auto" w:fill="auto"/>
            <w:hideMark/>
          </w:tcPr>
          <w:p w14:paraId="2067AEBE" w14:textId="77777777" w:rsidR="00C31B81" w:rsidRPr="00D01C6A" w:rsidRDefault="00C31B81" w:rsidP="00C31B81">
            <w:pPr>
              <w:spacing w:after="0"/>
              <w:rPr>
                <w:color w:val="000000"/>
                <w:szCs w:val="22"/>
              </w:rPr>
            </w:pPr>
            <w:r w:rsidRPr="00D01C6A">
              <w:rPr>
                <w:color w:val="000000"/>
                <w:szCs w:val="22"/>
              </w:rPr>
              <w:t>Not required</w:t>
            </w:r>
          </w:p>
        </w:tc>
      </w:tr>
    </w:tbl>
    <w:p w14:paraId="445B5D85" w14:textId="77777777" w:rsidR="00C31B81" w:rsidRDefault="00C31B81" w:rsidP="00B96031">
      <w:pPr>
        <w:spacing w:after="0"/>
      </w:pPr>
    </w:p>
    <w:p w14:paraId="56B735B3" w14:textId="77777777" w:rsidR="00C31B81" w:rsidRDefault="00C31B81" w:rsidP="00B96031">
      <w:pPr>
        <w:spacing w:after="0"/>
      </w:pPr>
    </w:p>
    <w:p w14:paraId="4D940AF1" w14:textId="77777777" w:rsidR="00B96031" w:rsidRDefault="00B96031" w:rsidP="00D408E9">
      <w:pPr>
        <w:spacing w:after="160" w:line="259" w:lineRule="auto"/>
        <w:rPr>
          <w:b/>
        </w:rPr>
      </w:pPr>
      <w:r w:rsidRPr="005C25CD">
        <w:rPr>
          <w:b/>
        </w:rPr>
        <w:t>Location – 3 digits</w:t>
      </w:r>
    </w:p>
    <w:p w14:paraId="44C95950" w14:textId="5779F839" w:rsidR="00F554B0" w:rsidRDefault="00D408E9" w:rsidP="009E7B8F">
      <w:pPr>
        <w:spacing w:after="240"/>
        <w:rPr>
          <w:spacing w:val="3"/>
          <w:szCs w:val="22"/>
        </w:rPr>
      </w:pPr>
      <w:r w:rsidRPr="00345871">
        <w:rPr>
          <w:spacing w:val="3"/>
          <w:szCs w:val="22"/>
        </w:rPr>
        <w:t xml:space="preserve">The Location represents either a specific school or a department within a </w:t>
      </w:r>
      <w:r w:rsidR="005E3BE3">
        <w:rPr>
          <w:spacing w:val="3"/>
          <w:szCs w:val="22"/>
        </w:rPr>
        <w:t>district</w:t>
      </w:r>
      <w:r>
        <w:rPr>
          <w:spacing w:val="3"/>
          <w:szCs w:val="22"/>
        </w:rPr>
        <w:t xml:space="preserve"> and is specific to the UCOA</w:t>
      </w:r>
      <w:r w:rsidRPr="00345871">
        <w:rPr>
          <w:spacing w:val="3"/>
          <w:szCs w:val="22"/>
        </w:rPr>
        <w:t xml:space="preserve">.  </w:t>
      </w:r>
      <w:r w:rsidRPr="00345871">
        <w:rPr>
          <w:color w:val="000000"/>
          <w:szCs w:val="22"/>
        </w:rPr>
        <w:t xml:space="preserve">The Location segment </w:t>
      </w:r>
      <w:r>
        <w:rPr>
          <w:color w:val="000000"/>
          <w:szCs w:val="22"/>
        </w:rPr>
        <w:t>identifies</w:t>
      </w:r>
      <w:r w:rsidRPr="00345871">
        <w:rPr>
          <w:color w:val="000000"/>
          <w:szCs w:val="22"/>
        </w:rPr>
        <w:t xml:space="preserve"> </w:t>
      </w:r>
      <w:r>
        <w:rPr>
          <w:color w:val="000000"/>
          <w:szCs w:val="22"/>
        </w:rPr>
        <w:t xml:space="preserve">the </w:t>
      </w:r>
      <w:r w:rsidRPr="00345871">
        <w:rPr>
          <w:color w:val="000000"/>
          <w:szCs w:val="22"/>
        </w:rPr>
        <w:t>physical location</w:t>
      </w:r>
      <w:r>
        <w:rPr>
          <w:color w:val="000000"/>
          <w:szCs w:val="22"/>
        </w:rPr>
        <w:t xml:space="preserve"> where</w:t>
      </w:r>
      <w:r w:rsidRPr="00345871">
        <w:rPr>
          <w:color w:val="000000"/>
          <w:szCs w:val="22"/>
        </w:rPr>
        <w:t xml:space="preserve"> funds are being used.</w:t>
      </w:r>
      <w:r>
        <w:rPr>
          <w:szCs w:val="22"/>
        </w:rPr>
        <w:t xml:space="preserve">  The Location field consists of three digits, with the first two digits representing the school code in the CSDE directory manager</w:t>
      </w:r>
      <w:r w:rsidR="000456A9">
        <w:rPr>
          <w:szCs w:val="22"/>
        </w:rPr>
        <w:t xml:space="preserve">, </w:t>
      </w:r>
      <w:r>
        <w:rPr>
          <w:szCs w:val="22"/>
        </w:rPr>
        <w:t xml:space="preserve">and the third digit used for further delineation if needed. </w:t>
      </w:r>
      <w:r w:rsidR="005346ED">
        <w:rPr>
          <w:spacing w:val="3"/>
          <w:szCs w:val="22"/>
        </w:rPr>
        <w:t xml:space="preserve"> The following table outlines those digits in the Location number that will</w:t>
      </w:r>
      <w:r w:rsidR="000456A9">
        <w:rPr>
          <w:spacing w:val="3"/>
          <w:szCs w:val="22"/>
        </w:rPr>
        <w:t xml:space="preserve"> be used for reporting purposes</w:t>
      </w:r>
      <w:r w:rsidR="005346ED">
        <w:rPr>
          <w:spacing w:val="3"/>
          <w:szCs w:val="22"/>
        </w:rPr>
        <w:t xml:space="preserve">. </w:t>
      </w:r>
      <w:r w:rsidR="00F554B0">
        <w:rPr>
          <w:spacing w:val="3"/>
          <w:szCs w:val="22"/>
        </w:rPr>
        <w:t xml:space="preserve"> </w:t>
      </w:r>
      <w:r w:rsidR="000456A9">
        <w:rPr>
          <w:szCs w:val="22"/>
        </w:rPr>
        <w:t>Codes for Ln1 are listed on Tab “ED-Location”.</w:t>
      </w:r>
    </w:p>
    <w:tbl>
      <w:tblPr>
        <w:tblW w:w="7220" w:type="dxa"/>
        <w:tblInd w:w="500" w:type="dxa"/>
        <w:tblLook w:val="04A0" w:firstRow="1" w:lastRow="0" w:firstColumn="1" w:lastColumn="0" w:noHBand="0" w:noVBand="1"/>
      </w:tblPr>
      <w:tblGrid>
        <w:gridCol w:w="1460"/>
        <w:gridCol w:w="2020"/>
        <w:gridCol w:w="2020"/>
        <w:gridCol w:w="1720"/>
      </w:tblGrid>
      <w:tr w:rsidR="00FC5352" w:rsidRPr="00D01C6A" w14:paraId="6DD2262D" w14:textId="77777777" w:rsidTr="0019377A">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16594A9F" w14:textId="6AEF8178" w:rsidR="00FC5352" w:rsidRPr="00D01C6A" w:rsidRDefault="00FC5352" w:rsidP="00FC5352">
            <w:pPr>
              <w:spacing w:after="0"/>
              <w:rPr>
                <w:b/>
                <w:color w:val="000000"/>
                <w:szCs w:val="22"/>
              </w:rPr>
            </w:pPr>
            <w:r w:rsidRPr="00D01C6A">
              <w:rPr>
                <w:b/>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7A90650A" w14:textId="77777777" w:rsidR="00FC5352" w:rsidRPr="00D01C6A" w:rsidRDefault="00FC5352" w:rsidP="00FC5352">
            <w:pPr>
              <w:spacing w:after="0"/>
              <w:rPr>
                <w:b/>
                <w:color w:val="000000"/>
                <w:szCs w:val="22"/>
              </w:rPr>
            </w:pPr>
            <w:r w:rsidRPr="00D01C6A">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10812214" w14:textId="77777777" w:rsidR="00FC5352" w:rsidRPr="00D01C6A" w:rsidRDefault="00FC5352" w:rsidP="00FC5352">
            <w:pPr>
              <w:spacing w:after="0"/>
              <w:rPr>
                <w:b/>
                <w:color w:val="000000"/>
                <w:szCs w:val="22"/>
              </w:rPr>
            </w:pPr>
            <w:r w:rsidRPr="00D01C6A">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45050D0B" w14:textId="744CC404" w:rsidR="00FC5352" w:rsidRPr="00D01C6A" w:rsidRDefault="00FC5352" w:rsidP="004D3C7C">
            <w:pPr>
              <w:spacing w:after="0"/>
              <w:rPr>
                <w:b/>
                <w:color w:val="000000"/>
                <w:szCs w:val="22"/>
              </w:rPr>
            </w:pPr>
            <w:r w:rsidRPr="00D01C6A">
              <w:rPr>
                <w:b/>
                <w:color w:val="000000"/>
                <w:szCs w:val="22"/>
              </w:rPr>
              <w:t>Balance Sheet</w:t>
            </w:r>
          </w:p>
        </w:tc>
      </w:tr>
      <w:tr w:rsidR="00D408E9" w:rsidRPr="00D01C6A" w14:paraId="7A00F79E" w14:textId="77777777" w:rsidTr="0019377A">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320F7B9E" w14:textId="77777777" w:rsidR="00D408E9" w:rsidRPr="00D01C6A" w:rsidRDefault="00D408E9" w:rsidP="00D408E9">
            <w:pPr>
              <w:spacing w:after="0"/>
              <w:rPr>
                <w:b/>
                <w:color w:val="000000"/>
                <w:szCs w:val="22"/>
              </w:rPr>
            </w:pPr>
            <w:r w:rsidRPr="00D01C6A">
              <w:rPr>
                <w:b/>
                <w:color w:val="000000"/>
                <w:szCs w:val="22"/>
              </w:rPr>
              <w:t xml:space="preserve">Ln1 - </w:t>
            </w:r>
            <w:r>
              <w:rPr>
                <w:b/>
                <w:color w:val="000000"/>
                <w:szCs w:val="22"/>
              </w:rPr>
              <w:t>2</w:t>
            </w:r>
            <w:r w:rsidRPr="00D01C6A">
              <w:rPr>
                <w:b/>
                <w:color w:val="000000"/>
                <w:szCs w:val="22"/>
              </w:rPr>
              <w:t xml:space="preserve"> digit</w:t>
            </w:r>
            <w:r>
              <w:rPr>
                <w:b/>
                <w:color w:val="000000"/>
                <w:szCs w:val="22"/>
              </w:rPr>
              <w:t>s</w:t>
            </w:r>
          </w:p>
        </w:tc>
        <w:tc>
          <w:tcPr>
            <w:tcW w:w="2020" w:type="dxa"/>
            <w:tcBorders>
              <w:top w:val="nil"/>
              <w:left w:val="nil"/>
              <w:bottom w:val="single" w:sz="4" w:space="0" w:color="auto"/>
              <w:right w:val="single" w:sz="4" w:space="0" w:color="auto"/>
            </w:tcBorders>
            <w:shd w:val="clear" w:color="auto" w:fill="auto"/>
            <w:hideMark/>
          </w:tcPr>
          <w:p w14:paraId="17062C33" w14:textId="77777777" w:rsidR="00D408E9" w:rsidRPr="00D01C6A" w:rsidRDefault="00D408E9" w:rsidP="00FC5352">
            <w:pPr>
              <w:spacing w:after="0"/>
              <w:rPr>
                <w:color w:val="000000"/>
                <w:szCs w:val="22"/>
              </w:rPr>
            </w:pPr>
            <w:r w:rsidRPr="00D01C6A">
              <w:rPr>
                <w:color w:val="000000"/>
                <w:szCs w:val="22"/>
              </w:rPr>
              <w:t>Mandatory - see note below</w:t>
            </w:r>
          </w:p>
        </w:tc>
        <w:tc>
          <w:tcPr>
            <w:tcW w:w="2020" w:type="dxa"/>
            <w:tcBorders>
              <w:top w:val="nil"/>
              <w:left w:val="nil"/>
              <w:bottom w:val="single" w:sz="4" w:space="0" w:color="auto"/>
              <w:right w:val="single" w:sz="4" w:space="0" w:color="auto"/>
            </w:tcBorders>
            <w:shd w:val="clear" w:color="auto" w:fill="auto"/>
            <w:hideMark/>
          </w:tcPr>
          <w:p w14:paraId="62DA6529" w14:textId="77777777" w:rsidR="00D408E9" w:rsidRPr="00D01C6A" w:rsidRDefault="00D408E9" w:rsidP="00907307">
            <w:pPr>
              <w:spacing w:after="0"/>
              <w:rPr>
                <w:color w:val="000000"/>
                <w:szCs w:val="22"/>
              </w:rPr>
            </w:pPr>
            <w:r w:rsidRPr="00D01C6A">
              <w:rPr>
                <w:color w:val="000000"/>
                <w:szCs w:val="22"/>
              </w:rPr>
              <w:t>Mandatory - see note below</w:t>
            </w:r>
          </w:p>
        </w:tc>
        <w:tc>
          <w:tcPr>
            <w:tcW w:w="1720" w:type="dxa"/>
            <w:tcBorders>
              <w:top w:val="nil"/>
              <w:left w:val="nil"/>
              <w:bottom w:val="single" w:sz="4" w:space="0" w:color="auto"/>
              <w:right w:val="single" w:sz="4" w:space="0" w:color="auto"/>
            </w:tcBorders>
            <w:shd w:val="clear" w:color="auto" w:fill="auto"/>
            <w:hideMark/>
          </w:tcPr>
          <w:p w14:paraId="6F67BE6B" w14:textId="77777777" w:rsidR="00D408E9" w:rsidRPr="00D01C6A" w:rsidRDefault="00D408E9" w:rsidP="00FC5352">
            <w:pPr>
              <w:spacing w:after="0"/>
              <w:rPr>
                <w:color w:val="000000"/>
                <w:szCs w:val="22"/>
              </w:rPr>
            </w:pPr>
            <w:r w:rsidRPr="00D01C6A">
              <w:rPr>
                <w:color w:val="000000"/>
                <w:szCs w:val="22"/>
              </w:rPr>
              <w:t>Not required</w:t>
            </w:r>
          </w:p>
        </w:tc>
      </w:tr>
      <w:tr w:rsidR="00D408E9" w:rsidRPr="00D01C6A" w14:paraId="34D90ED2" w14:textId="77777777" w:rsidTr="0019377A">
        <w:trPr>
          <w:trHeight w:val="600"/>
        </w:trPr>
        <w:tc>
          <w:tcPr>
            <w:tcW w:w="1460" w:type="dxa"/>
            <w:tcBorders>
              <w:top w:val="nil"/>
              <w:left w:val="single" w:sz="4" w:space="0" w:color="auto"/>
              <w:bottom w:val="single" w:sz="4" w:space="0" w:color="auto"/>
              <w:right w:val="single" w:sz="4" w:space="0" w:color="auto"/>
            </w:tcBorders>
            <w:shd w:val="clear" w:color="auto" w:fill="auto"/>
            <w:hideMark/>
          </w:tcPr>
          <w:p w14:paraId="12286635" w14:textId="77777777" w:rsidR="00D408E9" w:rsidRPr="00D01C6A" w:rsidRDefault="00D408E9" w:rsidP="00D408E9">
            <w:pPr>
              <w:spacing w:after="0"/>
              <w:rPr>
                <w:b/>
                <w:color w:val="000000"/>
                <w:szCs w:val="22"/>
              </w:rPr>
            </w:pPr>
            <w:r w:rsidRPr="00D01C6A">
              <w:rPr>
                <w:b/>
                <w:color w:val="000000"/>
                <w:szCs w:val="22"/>
              </w:rPr>
              <w:t xml:space="preserve">Ln2 - </w:t>
            </w:r>
            <w:r>
              <w:rPr>
                <w:b/>
                <w:color w:val="000000"/>
                <w:szCs w:val="22"/>
              </w:rPr>
              <w:t>1</w:t>
            </w:r>
            <w:r w:rsidRPr="00D01C6A">
              <w:rPr>
                <w:b/>
                <w:color w:val="000000"/>
                <w:szCs w:val="22"/>
              </w:rPr>
              <w:t xml:space="preserve"> digit</w:t>
            </w:r>
          </w:p>
        </w:tc>
        <w:tc>
          <w:tcPr>
            <w:tcW w:w="2020" w:type="dxa"/>
            <w:tcBorders>
              <w:top w:val="nil"/>
              <w:left w:val="nil"/>
              <w:bottom w:val="single" w:sz="4" w:space="0" w:color="auto"/>
              <w:right w:val="single" w:sz="4" w:space="0" w:color="auto"/>
            </w:tcBorders>
            <w:shd w:val="clear" w:color="auto" w:fill="auto"/>
            <w:hideMark/>
          </w:tcPr>
          <w:p w14:paraId="32E5B1D5" w14:textId="4AAF1649" w:rsidR="00D408E9" w:rsidRPr="00D01C6A" w:rsidRDefault="00D408E9" w:rsidP="00FC5352">
            <w:pPr>
              <w:spacing w:after="0"/>
              <w:rPr>
                <w:color w:val="000000"/>
                <w:szCs w:val="22"/>
              </w:rPr>
            </w:pPr>
            <w:r>
              <w:rPr>
                <w:color w:val="000000"/>
                <w:szCs w:val="22"/>
              </w:rPr>
              <w:t xml:space="preserve"> </w:t>
            </w:r>
            <w:r w:rsidR="00ED3511" w:rsidRPr="00D01C6A">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30E40329" w14:textId="29A56F64" w:rsidR="00D408E9" w:rsidRPr="00D01C6A" w:rsidRDefault="00D408E9" w:rsidP="00ED3511">
            <w:pPr>
              <w:spacing w:after="0"/>
              <w:rPr>
                <w:color w:val="000000"/>
                <w:szCs w:val="22"/>
              </w:rPr>
            </w:pPr>
            <w:r>
              <w:rPr>
                <w:color w:val="000000"/>
                <w:szCs w:val="22"/>
              </w:rPr>
              <w:t xml:space="preserve"> </w:t>
            </w:r>
            <w:r w:rsidR="00ED3511" w:rsidRPr="00D01C6A">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3659FA03" w14:textId="77777777" w:rsidR="00D408E9" w:rsidRPr="00D01C6A" w:rsidRDefault="00D408E9" w:rsidP="00FC5352">
            <w:pPr>
              <w:spacing w:after="0"/>
              <w:rPr>
                <w:color w:val="000000"/>
                <w:szCs w:val="22"/>
              </w:rPr>
            </w:pPr>
            <w:r w:rsidRPr="00D01C6A">
              <w:rPr>
                <w:color w:val="000000"/>
                <w:szCs w:val="22"/>
              </w:rPr>
              <w:t>Not required</w:t>
            </w:r>
          </w:p>
        </w:tc>
      </w:tr>
    </w:tbl>
    <w:p w14:paraId="061A5DF1" w14:textId="77777777" w:rsidR="00FC5352" w:rsidRDefault="00FC5352" w:rsidP="00B96031">
      <w:pPr>
        <w:tabs>
          <w:tab w:val="left" w:pos="0"/>
        </w:tabs>
        <w:spacing w:after="0"/>
      </w:pPr>
    </w:p>
    <w:p w14:paraId="3C929D40" w14:textId="1DA539F5" w:rsidR="00B96031" w:rsidRDefault="00FC5352" w:rsidP="00FC5352">
      <w:pPr>
        <w:tabs>
          <w:tab w:val="left" w:pos="900"/>
        </w:tabs>
        <w:spacing w:after="0"/>
        <w:ind w:left="360"/>
      </w:pPr>
      <w:r>
        <w:t xml:space="preserve">Note: </w:t>
      </w:r>
      <w:r w:rsidR="00EB5D2C">
        <w:t>Ln1</w:t>
      </w:r>
      <w:r w:rsidR="00F554B0">
        <w:t xml:space="preserve"> </w:t>
      </w:r>
      <w:r>
        <w:t>is the</w:t>
      </w:r>
      <w:r w:rsidR="00B96031">
        <w:t xml:space="preserve"> School Code per CSDE Directory Manager for schools operated by the district, for school-level accounts.  For district-level accounts, and balance sheet accounts (if applicable), “00”.  All expenditure accounts are school-level accounts except for:</w:t>
      </w:r>
    </w:p>
    <w:p w14:paraId="5FA76AA7" w14:textId="77777777" w:rsidR="00B96031" w:rsidRDefault="00B96031" w:rsidP="00B96031">
      <w:pPr>
        <w:numPr>
          <w:ilvl w:val="0"/>
          <w:numId w:val="36"/>
        </w:numPr>
        <w:spacing w:after="0" w:line="276" w:lineRule="auto"/>
        <w:ind w:left="1440"/>
      </w:pPr>
      <w:r>
        <w:t>Food services</w:t>
      </w:r>
    </w:p>
    <w:p w14:paraId="34B370AB" w14:textId="77777777" w:rsidR="00B96031" w:rsidRDefault="00B96031" w:rsidP="00B96031">
      <w:pPr>
        <w:numPr>
          <w:ilvl w:val="0"/>
          <w:numId w:val="36"/>
        </w:numPr>
        <w:spacing w:after="0" w:line="276" w:lineRule="auto"/>
        <w:ind w:left="1440"/>
      </w:pPr>
      <w:r>
        <w:t>Transportation</w:t>
      </w:r>
    </w:p>
    <w:p w14:paraId="62F62E74" w14:textId="77777777" w:rsidR="00B96031" w:rsidRDefault="00B96031" w:rsidP="00B96031">
      <w:pPr>
        <w:numPr>
          <w:ilvl w:val="0"/>
          <w:numId w:val="36"/>
        </w:numPr>
        <w:spacing w:after="0" w:line="276" w:lineRule="auto"/>
        <w:ind w:left="1440"/>
      </w:pPr>
      <w:r>
        <w:t>Tuition expenditures for outplaced students/students educated in other districts</w:t>
      </w:r>
    </w:p>
    <w:p w14:paraId="19610C48" w14:textId="77777777" w:rsidR="00B96031" w:rsidRDefault="00B96031" w:rsidP="00B96031">
      <w:pPr>
        <w:numPr>
          <w:ilvl w:val="0"/>
          <w:numId w:val="36"/>
        </w:numPr>
        <w:spacing w:after="0" w:line="276" w:lineRule="auto"/>
        <w:ind w:left="1440"/>
      </w:pPr>
      <w:r>
        <w:t>Summer school</w:t>
      </w:r>
    </w:p>
    <w:p w14:paraId="0AB9B3A1" w14:textId="112CCD55" w:rsidR="007847E7" w:rsidRDefault="007847E7" w:rsidP="00B96031">
      <w:pPr>
        <w:numPr>
          <w:ilvl w:val="0"/>
          <w:numId w:val="36"/>
        </w:numPr>
        <w:spacing w:after="0" w:line="276" w:lineRule="auto"/>
        <w:ind w:left="1440"/>
      </w:pPr>
      <w:r>
        <w:t>Student activity</w:t>
      </w:r>
    </w:p>
    <w:p w14:paraId="3B20EE76" w14:textId="77777777" w:rsidR="00B96031" w:rsidRDefault="00B96031" w:rsidP="00B96031">
      <w:pPr>
        <w:numPr>
          <w:ilvl w:val="0"/>
          <w:numId w:val="36"/>
        </w:numPr>
        <w:spacing w:after="0" w:line="276" w:lineRule="auto"/>
        <w:ind w:left="1440"/>
      </w:pPr>
      <w:r>
        <w:t>Adult education</w:t>
      </w:r>
    </w:p>
    <w:p w14:paraId="79690991" w14:textId="77777777" w:rsidR="00B96031" w:rsidRDefault="00B96031" w:rsidP="00B96031">
      <w:pPr>
        <w:numPr>
          <w:ilvl w:val="0"/>
          <w:numId w:val="36"/>
        </w:numPr>
        <w:spacing w:after="0" w:line="276" w:lineRule="auto"/>
        <w:ind w:left="1440"/>
      </w:pPr>
      <w:r>
        <w:t>Enterprise operations</w:t>
      </w:r>
    </w:p>
    <w:p w14:paraId="4DA104AC" w14:textId="77777777" w:rsidR="00B96031" w:rsidRDefault="00B96031" w:rsidP="00B96031">
      <w:pPr>
        <w:numPr>
          <w:ilvl w:val="0"/>
          <w:numId w:val="36"/>
        </w:numPr>
        <w:spacing w:after="0" w:line="276" w:lineRule="auto"/>
        <w:ind w:left="1440"/>
      </w:pPr>
      <w:r>
        <w:t>Those relating only to the district central offices.</w:t>
      </w:r>
    </w:p>
    <w:p w14:paraId="1D044AD5" w14:textId="5E141950" w:rsidR="004D3C7C" w:rsidRDefault="004D3C7C">
      <w:pPr>
        <w:spacing w:after="160" w:line="259" w:lineRule="auto"/>
        <w:rPr>
          <w:b/>
        </w:rPr>
      </w:pPr>
      <w:r>
        <w:rPr>
          <w:b/>
        </w:rPr>
        <w:br w:type="page"/>
      </w:r>
    </w:p>
    <w:p w14:paraId="05A2EA69" w14:textId="1345C95D" w:rsidR="00B96031" w:rsidRDefault="00B96031" w:rsidP="00F554B0">
      <w:pPr>
        <w:spacing w:after="160" w:line="259" w:lineRule="auto"/>
        <w:rPr>
          <w:b/>
        </w:rPr>
      </w:pPr>
      <w:r w:rsidRPr="005C25CD">
        <w:rPr>
          <w:b/>
        </w:rPr>
        <w:lastRenderedPageBreak/>
        <w:t>Function – 4 digits</w:t>
      </w:r>
      <w:r w:rsidR="00D01C6A" w:rsidRPr="005C25CD">
        <w:rPr>
          <w:b/>
        </w:rPr>
        <w:t xml:space="preserve"> </w:t>
      </w:r>
    </w:p>
    <w:p w14:paraId="77DAE434" w14:textId="570807D4" w:rsidR="00FC5352" w:rsidRDefault="00B5477B" w:rsidP="00F554B0">
      <w:pPr>
        <w:spacing w:after="240"/>
      </w:pPr>
      <w:r w:rsidRPr="00345871">
        <w:rPr>
          <w:spacing w:val="3"/>
          <w:szCs w:val="22"/>
        </w:rPr>
        <w:t xml:space="preserve">A Function is a group of related activities aimed at accomplishing a major service for which the </w:t>
      </w:r>
      <w:r>
        <w:rPr>
          <w:spacing w:val="3"/>
          <w:szCs w:val="22"/>
        </w:rPr>
        <w:t>d</w:t>
      </w:r>
      <w:r w:rsidRPr="00345871">
        <w:rPr>
          <w:spacing w:val="3"/>
          <w:szCs w:val="22"/>
        </w:rPr>
        <w:t>istrict</w:t>
      </w:r>
      <w:r w:rsidRPr="00345871">
        <w:rPr>
          <w:spacing w:val="-3"/>
          <w:szCs w:val="22"/>
        </w:rPr>
        <w:t xml:space="preserve"> is responsible.  </w:t>
      </w:r>
      <w:r w:rsidRPr="00345871">
        <w:rPr>
          <w:color w:val="000000"/>
          <w:szCs w:val="22"/>
        </w:rPr>
        <w:t xml:space="preserve">The Function describes the activity for which a service or material object is acquired.  </w:t>
      </w:r>
      <w:r>
        <w:rPr>
          <w:szCs w:val="22"/>
        </w:rPr>
        <w:t xml:space="preserve">The numbering scheme in the UCOA follows the function descriptions from the </w:t>
      </w:r>
      <w:r>
        <w:t>Federal Handbook</w:t>
      </w:r>
      <w:r>
        <w:rPr>
          <w:szCs w:val="22"/>
        </w:rPr>
        <w:t>.</w:t>
      </w:r>
      <w:r w:rsidR="005346ED">
        <w:rPr>
          <w:szCs w:val="22"/>
        </w:rPr>
        <w:t xml:space="preserve">  </w:t>
      </w:r>
      <w:r w:rsidR="005346ED">
        <w:rPr>
          <w:spacing w:val="3"/>
          <w:szCs w:val="22"/>
        </w:rPr>
        <w:t xml:space="preserve">The following table outlines those digits in the Function number that will be used for reporting purposes. </w:t>
      </w:r>
      <w:r w:rsidR="00D42A4A">
        <w:rPr>
          <w:spacing w:val="3"/>
          <w:szCs w:val="22"/>
        </w:rPr>
        <w:t>Codes for Function are listed on Tab “ED-</w:t>
      </w:r>
      <w:r w:rsidR="00CE00A8">
        <w:rPr>
          <w:spacing w:val="3"/>
          <w:szCs w:val="22"/>
        </w:rPr>
        <w:t>Functions</w:t>
      </w:r>
      <w:r w:rsidR="00D42A4A">
        <w:rPr>
          <w:spacing w:val="3"/>
          <w:szCs w:val="22"/>
        </w:rPr>
        <w:t>”.</w:t>
      </w:r>
    </w:p>
    <w:tbl>
      <w:tblPr>
        <w:tblW w:w="7195" w:type="dxa"/>
        <w:tblInd w:w="439" w:type="dxa"/>
        <w:tblLook w:val="04A0" w:firstRow="1" w:lastRow="0" w:firstColumn="1" w:lastColumn="0" w:noHBand="0" w:noVBand="1"/>
      </w:tblPr>
      <w:tblGrid>
        <w:gridCol w:w="1455"/>
        <w:gridCol w:w="2013"/>
        <w:gridCol w:w="2013"/>
        <w:gridCol w:w="1714"/>
      </w:tblGrid>
      <w:tr w:rsidR="0019377A" w:rsidRPr="00D01C6A" w14:paraId="40B031F7" w14:textId="77777777" w:rsidTr="00D01C6A">
        <w:trPr>
          <w:trHeight w:val="214"/>
        </w:trPr>
        <w:tc>
          <w:tcPr>
            <w:tcW w:w="1455" w:type="dxa"/>
            <w:tcBorders>
              <w:top w:val="single" w:sz="4" w:space="0" w:color="auto"/>
              <w:left w:val="single" w:sz="4" w:space="0" w:color="auto"/>
              <w:bottom w:val="single" w:sz="4" w:space="0" w:color="auto"/>
              <w:right w:val="single" w:sz="4" w:space="0" w:color="auto"/>
            </w:tcBorders>
            <w:shd w:val="clear" w:color="auto" w:fill="auto"/>
            <w:hideMark/>
          </w:tcPr>
          <w:p w14:paraId="2371A5B0" w14:textId="77777777" w:rsidR="0019377A" w:rsidRPr="00D01C6A" w:rsidRDefault="0019377A" w:rsidP="0019377A">
            <w:pPr>
              <w:spacing w:after="0"/>
              <w:rPr>
                <w:b/>
                <w:color w:val="000000"/>
                <w:szCs w:val="22"/>
              </w:rPr>
            </w:pPr>
            <w:r w:rsidRPr="00D01C6A">
              <w:rPr>
                <w:b/>
                <w:color w:val="000000"/>
                <w:szCs w:val="22"/>
              </w:rPr>
              <w:t> </w:t>
            </w:r>
          </w:p>
        </w:tc>
        <w:tc>
          <w:tcPr>
            <w:tcW w:w="2013" w:type="dxa"/>
            <w:tcBorders>
              <w:top w:val="single" w:sz="4" w:space="0" w:color="auto"/>
              <w:left w:val="nil"/>
              <w:bottom w:val="single" w:sz="4" w:space="0" w:color="auto"/>
              <w:right w:val="single" w:sz="4" w:space="0" w:color="auto"/>
            </w:tcBorders>
            <w:shd w:val="clear" w:color="auto" w:fill="auto"/>
            <w:hideMark/>
          </w:tcPr>
          <w:p w14:paraId="59EE2215" w14:textId="77777777" w:rsidR="0019377A" w:rsidRPr="00D01C6A" w:rsidRDefault="0019377A" w:rsidP="0019377A">
            <w:pPr>
              <w:spacing w:after="0"/>
              <w:rPr>
                <w:b/>
                <w:color w:val="000000"/>
                <w:szCs w:val="22"/>
              </w:rPr>
            </w:pPr>
            <w:r w:rsidRPr="00D01C6A">
              <w:rPr>
                <w:b/>
                <w:color w:val="000000"/>
                <w:szCs w:val="22"/>
              </w:rPr>
              <w:t>Revenue</w:t>
            </w:r>
          </w:p>
        </w:tc>
        <w:tc>
          <w:tcPr>
            <w:tcW w:w="2013" w:type="dxa"/>
            <w:tcBorders>
              <w:top w:val="single" w:sz="4" w:space="0" w:color="auto"/>
              <w:left w:val="nil"/>
              <w:bottom w:val="single" w:sz="4" w:space="0" w:color="auto"/>
              <w:right w:val="single" w:sz="4" w:space="0" w:color="auto"/>
            </w:tcBorders>
            <w:shd w:val="clear" w:color="auto" w:fill="auto"/>
            <w:hideMark/>
          </w:tcPr>
          <w:p w14:paraId="1F9E74F8" w14:textId="77777777" w:rsidR="0019377A" w:rsidRPr="00D01C6A" w:rsidRDefault="0019377A" w:rsidP="0019377A">
            <w:pPr>
              <w:spacing w:after="0"/>
              <w:rPr>
                <w:b/>
                <w:color w:val="000000"/>
                <w:szCs w:val="22"/>
              </w:rPr>
            </w:pPr>
            <w:r w:rsidRPr="00D01C6A">
              <w:rPr>
                <w:b/>
                <w:color w:val="000000"/>
                <w:szCs w:val="22"/>
              </w:rPr>
              <w:t>Expenditure</w:t>
            </w:r>
          </w:p>
        </w:tc>
        <w:tc>
          <w:tcPr>
            <w:tcW w:w="1714" w:type="dxa"/>
            <w:tcBorders>
              <w:top w:val="single" w:sz="4" w:space="0" w:color="auto"/>
              <w:left w:val="nil"/>
              <w:bottom w:val="single" w:sz="4" w:space="0" w:color="auto"/>
              <w:right w:val="single" w:sz="4" w:space="0" w:color="auto"/>
            </w:tcBorders>
            <w:shd w:val="clear" w:color="auto" w:fill="auto"/>
            <w:hideMark/>
          </w:tcPr>
          <w:p w14:paraId="1CFA12CE" w14:textId="4008D3CD" w:rsidR="0019377A" w:rsidRPr="00D01C6A" w:rsidRDefault="0019377A" w:rsidP="004D3C7C">
            <w:pPr>
              <w:spacing w:after="0"/>
              <w:rPr>
                <w:b/>
                <w:color w:val="000000"/>
                <w:szCs w:val="22"/>
              </w:rPr>
            </w:pPr>
            <w:r w:rsidRPr="00D01C6A">
              <w:rPr>
                <w:b/>
                <w:color w:val="000000"/>
                <w:szCs w:val="22"/>
              </w:rPr>
              <w:t>Balance Sheet</w:t>
            </w:r>
          </w:p>
        </w:tc>
      </w:tr>
      <w:tr w:rsidR="0019377A" w:rsidRPr="00D01C6A" w14:paraId="5F027307" w14:textId="77777777" w:rsidTr="00D01C6A">
        <w:trPr>
          <w:trHeight w:val="323"/>
        </w:trPr>
        <w:tc>
          <w:tcPr>
            <w:tcW w:w="1455" w:type="dxa"/>
            <w:tcBorders>
              <w:top w:val="nil"/>
              <w:left w:val="single" w:sz="4" w:space="0" w:color="auto"/>
              <w:bottom w:val="single" w:sz="4" w:space="0" w:color="auto"/>
              <w:right w:val="single" w:sz="4" w:space="0" w:color="auto"/>
            </w:tcBorders>
            <w:shd w:val="clear" w:color="auto" w:fill="auto"/>
            <w:hideMark/>
          </w:tcPr>
          <w:p w14:paraId="4279B55C" w14:textId="77777777" w:rsidR="0019377A" w:rsidRPr="00D01C6A" w:rsidRDefault="0019377A" w:rsidP="0019377A">
            <w:pPr>
              <w:spacing w:after="0"/>
              <w:rPr>
                <w:b/>
                <w:color w:val="000000"/>
                <w:szCs w:val="22"/>
              </w:rPr>
            </w:pPr>
            <w:r w:rsidRPr="00D01C6A">
              <w:rPr>
                <w:b/>
                <w:color w:val="000000"/>
                <w:szCs w:val="22"/>
              </w:rPr>
              <w:t>Fn1 - 2 digits</w:t>
            </w:r>
          </w:p>
        </w:tc>
        <w:tc>
          <w:tcPr>
            <w:tcW w:w="2013" w:type="dxa"/>
            <w:tcBorders>
              <w:top w:val="nil"/>
              <w:left w:val="nil"/>
              <w:bottom w:val="single" w:sz="4" w:space="0" w:color="auto"/>
              <w:right w:val="single" w:sz="4" w:space="0" w:color="auto"/>
            </w:tcBorders>
            <w:shd w:val="clear" w:color="auto" w:fill="auto"/>
            <w:hideMark/>
          </w:tcPr>
          <w:p w14:paraId="522F6216" w14:textId="77777777" w:rsidR="0019377A" w:rsidRPr="00D01C6A" w:rsidRDefault="0019377A" w:rsidP="0019377A">
            <w:pPr>
              <w:spacing w:after="0"/>
              <w:rPr>
                <w:color w:val="000000"/>
                <w:szCs w:val="22"/>
              </w:rPr>
            </w:pPr>
            <w:r w:rsidRPr="00D01C6A">
              <w:rPr>
                <w:color w:val="000000"/>
                <w:szCs w:val="22"/>
              </w:rPr>
              <w:t>Mandatory</w:t>
            </w:r>
            <w:r w:rsidR="005C25CD">
              <w:rPr>
                <w:color w:val="000000"/>
                <w:szCs w:val="22"/>
              </w:rPr>
              <w:t xml:space="preserve"> – see note below</w:t>
            </w:r>
          </w:p>
        </w:tc>
        <w:tc>
          <w:tcPr>
            <w:tcW w:w="2013" w:type="dxa"/>
            <w:tcBorders>
              <w:top w:val="nil"/>
              <w:left w:val="nil"/>
              <w:bottom w:val="single" w:sz="4" w:space="0" w:color="auto"/>
              <w:right w:val="single" w:sz="4" w:space="0" w:color="auto"/>
            </w:tcBorders>
            <w:shd w:val="clear" w:color="auto" w:fill="auto"/>
            <w:hideMark/>
          </w:tcPr>
          <w:p w14:paraId="7ED2D3C2" w14:textId="77777777" w:rsidR="0019377A" w:rsidRPr="00D01C6A" w:rsidRDefault="005C25CD" w:rsidP="0019377A">
            <w:pPr>
              <w:spacing w:after="0"/>
              <w:rPr>
                <w:color w:val="000000"/>
                <w:szCs w:val="22"/>
              </w:rPr>
            </w:pPr>
            <w:r w:rsidRPr="00D01C6A">
              <w:rPr>
                <w:color w:val="000000"/>
                <w:szCs w:val="22"/>
              </w:rPr>
              <w:t>Mandatory</w:t>
            </w:r>
            <w:r>
              <w:rPr>
                <w:color w:val="000000"/>
                <w:szCs w:val="22"/>
              </w:rPr>
              <w:t xml:space="preserve"> – see note below</w:t>
            </w:r>
          </w:p>
        </w:tc>
        <w:tc>
          <w:tcPr>
            <w:tcW w:w="1714" w:type="dxa"/>
            <w:tcBorders>
              <w:top w:val="nil"/>
              <w:left w:val="nil"/>
              <w:bottom w:val="single" w:sz="4" w:space="0" w:color="auto"/>
              <w:right w:val="single" w:sz="4" w:space="0" w:color="auto"/>
            </w:tcBorders>
            <w:shd w:val="clear" w:color="auto" w:fill="auto"/>
            <w:hideMark/>
          </w:tcPr>
          <w:p w14:paraId="7912BDA6" w14:textId="77777777" w:rsidR="0019377A" w:rsidRPr="00D01C6A" w:rsidRDefault="0019377A" w:rsidP="0019377A">
            <w:pPr>
              <w:spacing w:after="0"/>
              <w:rPr>
                <w:color w:val="000000"/>
                <w:szCs w:val="22"/>
              </w:rPr>
            </w:pPr>
            <w:r w:rsidRPr="00D01C6A">
              <w:rPr>
                <w:color w:val="000000"/>
                <w:szCs w:val="22"/>
              </w:rPr>
              <w:t>Not required</w:t>
            </w:r>
          </w:p>
        </w:tc>
      </w:tr>
      <w:tr w:rsidR="0019377A" w:rsidRPr="00D01C6A" w14:paraId="3363FD93" w14:textId="77777777" w:rsidTr="00D01C6A">
        <w:trPr>
          <w:trHeight w:val="422"/>
        </w:trPr>
        <w:tc>
          <w:tcPr>
            <w:tcW w:w="1455" w:type="dxa"/>
            <w:tcBorders>
              <w:top w:val="nil"/>
              <w:left w:val="single" w:sz="4" w:space="0" w:color="auto"/>
              <w:bottom w:val="single" w:sz="4" w:space="0" w:color="auto"/>
              <w:right w:val="single" w:sz="4" w:space="0" w:color="auto"/>
            </w:tcBorders>
            <w:shd w:val="clear" w:color="auto" w:fill="auto"/>
            <w:hideMark/>
          </w:tcPr>
          <w:p w14:paraId="7C03B8C5" w14:textId="77777777" w:rsidR="0019377A" w:rsidRPr="00D01C6A" w:rsidRDefault="0019377A" w:rsidP="0019377A">
            <w:pPr>
              <w:spacing w:after="0"/>
              <w:rPr>
                <w:b/>
                <w:color w:val="000000"/>
                <w:szCs w:val="22"/>
              </w:rPr>
            </w:pPr>
            <w:r w:rsidRPr="00D01C6A">
              <w:rPr>
                <w:b/>
                <w:color w:val="000000"/>
                <w:szCs w:val="22"/>
              </w:rPr>
              <w:t>Fn2 - 2 digits</w:t>
            </w:r>
          </w:p>
        </w:tc>
        <w:tc>
          <w:tcPr>
            <w:tcW w:w="2013" w:type="dxa"/>
            <w:tcBorders>
              <w:top w:val="nil"/>
              <w:left w:val="nil"/>
              <w:bottom w:val="single" w:sz="4" w:space="0" w:color="auto"/>
              <w:right w:val="single" w:sz="4" w:space="0" w:color="auto"/>
            </w:tcBorders>
            <w:shd w:val="clear" w:color="auto" w:fill="auto"/>
            <w:hideMark/>
          </w:tcPr>
          <w:p w14:paraId="35D4469E" w14:textId="77777777" w:rsidR="0019377A" w:rsidRPr="00D01C6A" w:rsidRDefault="0019377A" w:rsidP="0019377A">
            <w:pPr>
              <w:spacing w:after="0"/>
              <w:rPr>
                <w:color w:val="000000"/>
                <w:szCs w:val="22"/>
              </w:rPr>
            </w:pPr>
            <w:r w:rsidRPr="00D01C6A">
              <w:rPr>
                <w:color w:val="000000"/>
                <w:szCs w:val="22"/>
              </w:rPr>
              <w:t>Not required</w:t>
            </w:r>
          </w:p>
        </w:tc>
        <w:tc>
          <w:tcPr>
            <w:tcW w:w="2013" w:type="dxa"/>
            <w:tcBorders>
              <w:top w:val="nil"/>
              <w:left w:val="nil"/>
              <w:bottom w:val="single" w:sz="4" w:space="0" w:color="auto"/>
              <w:right w:val="single" w:sz="4" w:space="0" w:color="auto"/>
            </w:tcBorders>
            <w:shd w:val="clear" w:color="auto" w:fill="auto"/>
            <w:hideMark/>
          </w:tcPr>
          <w:p w14:paraId="2BA5E85A" w14:textId="77777777" w:rsidR="0019377A" w:rsidRPr="00D01C6A" w:rsidRDefault="0019377A" w:rsidP="0019377A">
            <w:pPr>
              <w:spacing w:after="0"/>
              <w:rPr>
                <w:color w:val="000000"/>
                <w:szCs w:val="22"/>
              </w:rPr>
            </w:pPr>
            <w:r w:rsidRPr="00D01C6A">
              <w:rPr>
                <w:color w:val="000000"/>
                <w:szCs w:val="22"/>
              </w:rPr>
              <w:t>Not required</w:t>
            </w:r>
          </w:p>
        </w:tc>
        <w:tc>
          <w:tcPr>
            <w:tcW w:w="1714" w:type="dxa"/>
            <w:tcBorders>
              <w:top w:val="nil"/>
              <w:left w:val="nil"/>
              <w:bottom w:val="single" w:sz="4" w:space="0" w:color="auto"/>
              <w:right w:val="single" w:sz="4" w:space="0" w:color="auto"/>
            </w:tcBorders>
            <w:shd w:val="clear" w:color="auto" w:fill="auto"/>
            <w:hideMark/>
          </w:tcPr>
          <w:p w14:paraId="16CF8D14" w14:textId="77777777" w:rsidR="0019377A" w:rsidRPr="00D01C6A" w:rsidRDefault="0019377A" w:rsidP="0019377A">
            <w:pPr>
              <w:spacing w:after="0"/>
              <w:rPr>
                <w:color w:val="000000"/>
                <w:szCs w:val="22"/>
              </w:rPr>
            </w:pPr>
            <w:r w:rsidRPr="00D01C6A">
              <w:rPr>
                <w:color w:val="000000"/>
                <w:szCs w:val="22"/>
              </w:rPr>
              <w:t>Not required</w:t>
            </w:r>
          </w:p>
        </w:tc>
      </w:tr>
    </w:tbl>
    <w:p w14:paraId="1E03CAEB" w14:textId="77777777" w:rsidR="0019377A" w:rsidRDefault="0019377A" w:rsidP="00B96031">
      <w:pPr>
        <w:tabs>
          <w:tab w:val="left" w:pos="1260"/>
        </w:tabs>
        <w:spacing w:after="0"/>
        <w:ind w:left="540" w:hanging="540"/>
      </w:pPr>
    </w:p>
    <w:p w14:paraId="128C5D09" w14:textId="77777777" w:rsidR="00B96031" w:rsidRDefault="005C25CD" w:rsidP="00B96031">
      <w:pPr>
        <w:tabs>
          <w:tab w:val="left" w:pos="1260"/>
        </w:tabs>
        <w:spacing w:after="0"/>
        <w:ind w:left="900" w:hanging="540"/>
      </w:pPr>
      <w:r>
        <w:t>Note: Function codes are per the Federal Handbook, but only the first two digits are recognized by CSDE. For the Inst</w:t>
      </w:r>
      <w:r w:rsidR="00B96031">
        <w:t>ructional “1000” and Debt Service “5000” accounts</w:t>
      </w:r>
      <w:r>
        <w:t>, only the 1</w:t>
      </w:r>
      <w:r w:rsidRPr="005C25CD">
        <w:rPr>
          <w:vertAlign w:val="superscript"/>
        </w:rPr>
        <w:t>st</w:t>
      </w:r>
      <w:r>
        <w:t xml:space="preserve"> digit is recognized</w:t>
      </w:r>
      <w:r w:rsidR="00B96031">
        <w:t>.</w:t>
      </w:r>
    </w:p>
    <w:p w14:paraId="2DD9D692" w14:textId="77777777" w:rsidR="00B96031" w:rsidRDefault="00B96031" w:rsidP="00B96031">
      <w:pPr>
        <w:tabs>
          <w:tab w:val="left" w:pos="1260"/>
        </w:tabs>
        <w:spacing w:after="0"/>
        <w:ind w:left="1080" w:hanging="540"/>
      </w:pPr>
    </w:p>
    <w:p w14:paraId="190970A4" w14:textId="27EE1570" w:rsidR="00B96031" w:rsidRDefault="00B96031" w:rsidP="00B96031">
      <w:pPr>
        <w:tabs>
          <w:tab w:val="left" w:pos="1260"/>
        </w:tabs>
        <w:spacing w:after="0"/>
        <w:ind w:left="1080" w:hanging="1080"/>
        <w:rPr>
          <w:b/>
        </w:rPr>
      </w:pPr>
      <w:r w:rsidRPr="009405CC">
        <w:rPr>
          <w:b/>
        </w:rPr>
        <w:t>Program – 3 digits</w:t>
      </w:r>
    </w:p>
    <w:p w14:paraId="1A32EFA3" w14:textId="77777777" w:rsidR="00B5477B" w:rsidRDefault="00B5477B" w:rsidP="00B96031">
      <w:pPr>
        <w:tabs>
          <w:tab w:val="left" w:pos="1260"/>
        </w:tabs>
        <w:spacing w:after="0"/>
        <w:ind w:left="1080" w:hanging="1080"/>
        <w:rPr>
          <w:b/>
        </w:rPr>
      </w:pPr>
    </w:p>
    <w:p w14:paraId="7C74E9B0" w14:textId="081F44D9" w:rsidR="009405CC" w:rsidRDefault="00B5477B" w:rsidP="00F5463C">
      <w:pPr>
        <w:spacing w:after="240"/>
      </w:pPr>
      <w:r w:rsidRPr="00345871">
        <w:rPr>
          <w:color w:val="000000"/>
          <w:szCs w:val="22"/>
        </w:rPr>
        <w:t xml:space="preserve">A Program is a plan of activities and procedures designed to accomplish a predetermined objective or set of objectives.  Several broad program areas have been identified that are intended to capture similar instructional services delivered to </w:t>
      </w:r>
      <w:r w:rsidR="00CF7C43">
        <w:rPr>
          <w:color w:val="000000"/>
          <w:szCs w:val="22"/>
        </w:rPr>
        <w:t>each</w:t>
      </w:r>
      <w:r w:rsidRPr="00345871">
        <w:rPr>
          <w:color w:val="000000"/>
          <w:szCs w:val="22"/>
        </w:rPr>
        <w:t xml:space="preserve"> school.  </w:t>
      </w:r>
      <w:r>
        <w:rPr>
          <w:szCs w:val="22"/>
        </w:rPr>
        <w:t xml:space="preserve">The numbering scheme in the UCOA follows the program descriptions from the </w:t>
      </w:r>
      <w:r w:rsidR="00CF7C43">
        <w:t>Federal Handbook</w:t>
      </w:r>
      <w:r w:rsidR="00CF7C43">
        <w:rPr>
          <w:szCs w:val="22"/>
        </w:rPr>
        <w:t xml:space="preserve"> </w:t>
      </w:r>
      <w:r>
        <w:rPr>
          <w:szCs w:val="22"/>
        </w:rPr>
        <w:t>for each major category</w:t>
      </w:r>
      <w:r w:rsidR="00D42A4A">
        <w:rPr>
          <w:szCs w:val="22"/>
        </w:rPr>
        <w:t xml:space="preserve"> (Pm1)</w:t>
      </w:r>
      <w:r>
        <w:rPr>
          <w:szCs w:val="22"/>
        </w:rPr>
        <w:t xml:space="preserve">; </w:t>
      </w:r>
      <w:r w:rsidR="00D42A4A">
        <w:rPr>
          <w:szCs w:val="22"/>
        </w:rPr>
        <w:t xml:space="preserve">detail </w:t>
      </w:r>
      <w:r>
        <w:rPr>
          <w:szCs w:val="22"/>
        </w:rPr>
        <w:t xml:space="preserve">codes </w:t>
      </w:r>
      <w:r w:rsidR="00D42A4A">
        <w:rPr>
          <w:szCs w:val="22"/>
        </w:rPr>
        <w:t>(Pm2) are available for district use</w:t>
      </w:r>
      <w:r>
        <w:rPr>
          <w:szCs w:val="22"/>
        </w:rPr>
        <w:t>.</w:t>
      </w:r>
      <w:r w:rsidR="00355D48">
        <w:rPr>
          <w:szCs w:val="22"/>
        </w:rPr>
        <w:t xml:space="preserve"> </w:t>
      </w:r>
      <w:r w:rsidR="00355D48">
        <w:rPr>
          <w:spacing w:val="3"/>
          <w:szCs w:val="22"/>
        </w:rPr>
        <w:t xml:space="preserve"> The following table outlines those digits in the Program number that will be used for reporting purposes.</w:t>
      </w:r>
      <w:r w:rsidR="00D42A4A">
        <w:rPr>
          <w:spacing w:val="3"/>
          <w:szCs w:val="22"/>
        </w:rPr>
        <w:t xml:space="preserve">  Codes for Program are listed on Tab “ED-Program”.</w:t>
      </w:r>
      <w:r w:rsidR="00355D48">
        <w:rPr>
          <w:spacing w:val="3"/>
          <w:szCs w:val="22"/>
        </w:rPr>
        <w:t xml:space="preserve"> </w:t>
      </w:r>
    </w:p>
    <w:tbl>
      <w:tblPr>
        <w:tblW w:w="7220" w:type="dxa"/>
        <w:tblInd w:w="413" w:type="dxa"/>
        <w:tblLook w:val="04A0" w:firstRow="1" w:lastRow="0" w:firstColumn="1" w:lastColumn="0" w:noHBand="0" w:noVBand="1"/>
      </w:tblPr>
      <w:tblGrid>
        <w:gridCol w:w="1597"/>
        <w:gridCol w:w="1883"/>
        <w:gridCol w:w="2020"/>
        <w:gridCol w:w="1720"/>
      </w:tblGrid>
      <w:tr w:rsidR="009405CC" w:rsidRPr="009405CC" w14:paraId="7B98345E" w14:textId="77777777" w:rsidTr="00A619D9">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2C35FACD" w14:textId="77777777" w:rsidR="009405CC" w:rsidRPr="009405CC" w:rsidRDefault="009405CC" w:rsidP="009405CC">
            <w:pPr>
              <w:spacing w:after="0"/>
              <w:rPr>
                <w:b/>
                <w:color w:val="000000"/>
                <w:szCs w:val="22"/>
              </w:rPr>
            </w:pPr>
            <w:r w:rsidRPr="009405CC">
              <w:rPr>
                <w:b/>
                <w:color w:val="000000"/>
                <w:szCs w:val="22"/>
              </w:rPr>
              <w:t> </w:t>
            </w:r>
          </w:p>
        </w:tc>
        <w:tc>
          <w:tcPr>
            <w:tcW w:w="1883" w:type="dxa"/>
            <w:tcBorders>
              <w:top w:val="single" w:sz="4" w:space="0" w:color="auto"/>
              <w:left w:val="nil"/>
              <w:bottom w:val="single" w:sz="4" w:space="0" w:color="auto"/>
              <w:right w:val="single" w:sz="4" w:space="0" w:color="auto"/>
            </w:tcBorders>
            <w:shd w:val="clear" w:color="auto" w:fill="auto"/>
            <w:hideMark/>
          </w:tcPr>
          <w:p w14:paraId="2DE359AC" w14:textId="77777777" w:rsidR="009405CC" w:rsidRPr="009405CC" w:rsidRDefault="009405CC" w:rsidP="009405CC">
            <w:pPr>
              <w:spacing w:after="0"/>
              <w:rPr>
                <w:b/>
                <w:color w:val="000000"/>
                <w:szCs w:val="22"/>
              </w:rPr>
            </w:pPr>
            <w:r w:rsidRPr="009405CC">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05F3F51A" w14:textId="77777777" w:rsidR="009405CC" w:rsidRPr="009405CC" w:rsidRDefault="009405CC" w:rsidP="009405CC">
            <w:pPr>
              <w:spacing w:after="0"/>
              <w:rPr>
                <w:b/>
                <w:color w:val="000000"/>
                <w:szCs w:val="22"/>
              </w:rPr>
            </w:pPr>
            <w:r w:rsidRPr="009405CC">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7B0EA335" w14:textId="2DB22D2D" w:rsidR="009405CC" w:rsidRPr="009405CC" w:rsidRDefault="009405CC" w:rsidP="004D3C7C">
            <w:pPr>
              <w:spacing w:after="0"/>
              <w:rPr>
                <w:b/>
                <w:color w:val="000000"/>
                <w:szCs w:val="22"/>
              </w:rPr>
            </w:pPr>
            <w:r w:rsidRPr="009405CC">
              <w:rPr>
                <w:b/>
                <w:color w:val="000000"/>
                <w:szCs w:val="22"/>
              </w:rPr>
              <w:t>Balance Sheet</w:t>
            </w:r>
          </w:p>
        </w:tc>
      </w:tr>
      <w:tr w:rsidR="009405CC" w:rsidRPr="009405CC" w14:paraId="4386E263" w14:textId="77777777" w:rsidTr="00A619D9">
        <w:trPr>
          <w:trHeight w:val="300"/>
        </w:trPr>
        <w:tc>
          <w:tcPr>
            <w:tcW w:w="1597" w:type="dxa"/>
            <w:tcBorders>
              <w:top w:val="nil"/>
              <w:left w:val="single" w:sz="4" w:space="0" w:color="auto"/>
              <w:bottom w:val="single" w:sz="4" w:space="0" w:color="auto"/>
              <w:right w:val="single" w:sz="4" w:space="0" w:color="auto"/>
            </w:tcBorders>
            <w:shd w:val="clear" w:color="auto" w:fill="auto"/>
            <w:hideMark/>
          </w:tcPr>
          <w:p w14:paraId="191DEDC4" w14:textId="77777777" w:rsidR="009405CC" w:rsidRPr="009405CC" w:rsidRDefault="009405CC" w:rsidP="00D94681">
            <w:pPr>
              <w:spacing w:after="0"/>
              <w:rPr>
                <w:b/>
                <w:color w:val="000000"/>
                <w:szCs w:val="22"/>
              </w:rPr>
            </w:pPr>
            <w:r w:rsidRPr="009405CC">
              <w:rPr>
                <w:b/>
                <w:color w:val="000000"/>
                <w:szCs w:val="22"/>
              </w:rPr>
              <w:t>Pm1 - 1 digit</w:t>
            </w:r>
          </w:p>
        </w:tc>
        <w:tc>
          <w:tcPr>
            <w:tcW w:w="1883" w:type="dxa"/>
            <w:tcBorders>
              <w:top w:val="nil"/>
              <w:left w:val="nil"/>
              <w:bottom w:val="single" w:sz="4" w:space="0" w:color="auto"/>
              <w:right w:val="single" w:sz="4" w:space="0" w:color="auto"/>
            </w:tcBorders>
            <w:shd w:val="clear" w:color="auto" w:fill="auto"/>
            <w:hideMark/>
          </w:tcPr>
          <w:p w14:paraId="2C37362C" w14:textId="77777777" w:rsidR="009405CC" w:rsidRPr="009405CC" w:rsidRDefault="009405CC" w:rsidP="009405CC">
            <w:pPr>
              <w:spacing w:after="0"/>
              <w:rPr>
                <w:color w:val="000000"/>
                <w:szCs w:val="22"/>
              </w:rPr>
            </w:pPr>
            <w:r w:rsidRPr="009405CC">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5D25F1C7" w14:textId="77777777" w:rsidR="009405CC" w:rsidRPr="009405CC" w:rsidRDefault="009405CC" w:rsidP="009405CC">
            <w:pPr>
              <w:spacing w:after="0"/>
              <w:rPr>
                <w:color w:val="000000"/>
                <w:szCs w:val="22"/>
              </w:rPr>
            </w:pPr>
            <w:r w:rsidRPr="009405CC">
              <w:rPr>
                <w:color w:val="000000"/>
                <w:szCs w:val="22"/>
              </w:rPr>
              <w:t>Mandatory</w:t>
            </w:r>
          </w:p>
        </w:tc>
        <w:tc>
          <w:tcPr>
            <w:tcW w:w="1720" w:type="dxa"/>
            <w:tcBorders>
              <w:top w:val="nil"/>
              <w:left w:val="nil"/>
              <w:bottom w:val="single" w:sz="4" w:space="0" w:color="auto"/>
              <w:right w:val="single" w:sz="4" w:space="0" w:color="auto"/>
            </w:tcBorders>
            <w:shd w:val="clear" w:color="auto" w:fill="auto"/>
            <w:hideMark/>
          </w:tcPr>
          <w:p w14:paraId="13B93730" w14:textId="77777777" w:rsidR="009405CC" w:rsidRPr="009405CC" w:rsidRDefault="009405CC" w:rsidP="009405CC">
            <w:pPr>
              <w:spacing w:after="0"/>
              <w:rPr>
                <w:color w:val="000000"/>
                <w:szCs w:val="22"/>
              </w:rPr>
            </w:pPr>
            <w:r w:rsidRPr="009405CC">
              <w:rPr>
                <w:color w:val="000000"/>
                <w:szCs w:val="22"/>
              </w:rPr>
              <w:t>Not required</w:t>
            </w:r>
          </w:p>
        </w:tc>
      </w:tr>
      <w:tr w:rsidR="004D3C7C" w:rsidRPr="009405CC" w14:paraId="5DE3B88C" w14:textId="77777777" w:rsidTr="004D3C7C">
        <w:trPr>
          <w:trHeight w:val="458"/>
        </w:trPr>
        <w:tc>
          <w:tcPr>
            <w:tcW w:w="1597" w:type="dxa"/>
            <w:tcBorders>
              <w:top w:val="nil"/>
              <w:left w:val="single" w:sz="4" w:space="0" w:color="auto"/>
              <w:bottom w:val="single" w:sz="4" w:space="0" w:color="auto"/>
              <w:right w:val="single" w:sz="4" w:space="0" w:color="auto"/>
            </w:tcBorders>
            <w:shd w:val="clear" w:color="auto" w:fill="auto"/>
            <w:hideMark/>
          </w:tcPr>
          <w:p w14:paraId="28A7C16A" w14:textId="77777777" w:rsidR="004D3C7C" w:rsidRPr="009405CC" w:rsidRDefault="004D3C7C" w:rsidP="004D3C7C">
            <w:pPr>
              <w:spacing w:after="0"/>
              <w:rPr>
                <w:b/>
                <w:color w:val="000000"/>
                <w:szCs w:val="22"/>
              </w:rPr>
            </w:pPr>
            <w:r w:rsidRPr="009405CC">
              <w:rPr>
                <w:b/>
                <w:color w:val="000000"/>
                <w:szCs w:val="22"/>
              </w:rPr>
              <w:t>Pm2 - 2 digits</w:t>
            </w:r>
          </w:p>
        </w:tc>
        <w:tc>
          <w:tcPr>
            <w:tcW w:w="1883" w:type="dxa"/>
            <w:tcBorders>
              <w:top w:val="nil"/>
              <w:left w:val="nil"/>
              <w:bottom w:val="single" w:sz="4" w:space="0" w:color="auto"/>
              <w:right w:val="single" w:sz="4" w:space="0" w:color="auto"/>
            </w:tcBorders>
            <w:shd w:val="clear" w:color="auto" w:fill="auto"/>
            <w:hideMark/>
          </w:tcPr>
          <w:p w14:paraId="46B3C3FE" w14:textId="77777777" w:rsidR="004D3C7C" w:rsidRPr="009405CC" w:rsidRDefault="004D3C7C" w:rsidP="004D3C7C">
            <w:pPr>
              <w:spacing w:after="0"/>
              <w:rPr>
                <w:color w:val="000000"/>
                <w:szCs w:val="22"/>
              </w:rPr>
            </w:pPr>
            <w:r w:rsidRPr="009405CC">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7972C1DC" w14:textId="068F4912" w:rsidR="004D3C7C" w:rsidRPr="009405CC" w:rsidRDefault="004D3C7C" w:rsidP="004D3C7C">
            <w:pPr>
              <w:spacing w:after="0"/>
              <w:rPr>
                <w:color w:val="000000"/>
                <w:szCs w:val="22"/>
              </w:rPr>
            </w:pPr>
            <w:r w:rsidRPr="009405CC">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428405EA" w14:textId="77777777" w:rsidR="004D3C7C" w:rsidRPr="009405CC" w:rsidRDefault="004D3C7C" w:rsidP="004D3C7C">
            <w:pPr>
              <w:spacing w:after="0"/>
              <w:rPr>
                <w:color w:val="000000"/>
                <w:szCs w:val="22"/>
              </w:rPr>
            </w:pPr>
            <w:r w:rsidRPr="009405CC">
              <w:rPr>
                <w:color w:val="000000"/>
                <w:szCs w:val="22"/>
              </w:rPr>
              <w:t>Not required</w:t>
            </w:r>
          </w:p>
        </w:tc>
      </w:tr>
    </w:tbl>
    <w:p w14:paraId="042BCB33" w14:textId="77777777" w:rsidR="009405CC" w:rsidRDefault="009405CC" w:rsidP="00B96031">
      <w:pPr>
        <w:tabs>
          <w:tab w:val="left" w:pos="1260"/>
        </w:tabs>
        <w:spacing w:after="0"/>
        <w:ind w:left="1080" w:hanging="1080"/>
      </w:pPr>
    </w:p>
    <w:p w14:paraId="1F1F0C11" w14:textId="6967608B" w:rsidR="00F5463C" w:rsidRDefault="00F5463C" w:rsidP="00B96031">
      <w:pPr>
        <w:tabs>
          <w:tab w:val="left" w:pos="1260"/>
        </w:tabs>
        <w:spacing w:after="0"/>
        <w:ind w:left="1080" w:hanging="1080"/>
      </w:pPr>
      <w:r>
        <w:br w:type="page"/>
      </w:r>
    </w:p>
    <w:p w14:paraId="3DEF98D3" w14:textId="77777777" w:rsidR="009405CC" w:rsidRDefault="009405CC" w:rsidP="00B96031">
      <w:pPr>
        <w:tabs>
          <w:tab w:val="left" w:pos="1260"/>
        </w:tabs>
        <w:spacing w:after="0"/>
        <w:ind w:left="1080" w:hanging="1080"/>
      </w:pPr>
    </w:p>
    <w:p w14:paraId="051EA5EC" w14:textId="4B8DE3D2" w:rsidR="00B96031" w:rsidRDefault="00B96031" w:rsidP="00CF7C43">
      <w:pPr>
        <w:spacing w:after="160" w:line="259" w:lineRule="auto"/>
        <w:rPr>
          <w:b/>
        </w:rPr>
      </w:pPr>
      <w:r w:rsidRPr="004B2405">
        <w:rPr>
          <w:b/>
        </w:rPr>
        <w:t>Object – 5 digits</w:t>
      </w:r>
      <w:r w:rsidR="004B2405">
        <w:rPr>
          <w:b/>
        </w:rPr>
        <w:t xml:space="preserve"> </w:t>
      </w:r>
    </w:p>
    <w:p w14:paraId="03CFF5A0" w14:textId="77777777" w:rsidR="00EA15B7" w:rsidRDefault="00CF7C43" w:rsidP="00EA15B7">
      <w:pPr>
        <w:tabs>
          <w:tab w:val="left" w:pos="-720"/>
        </w:tabs>
        <w:suppressAutoHyphens/>
        <w:spacing w:after="240"/>
        <w:rPr>
          <w:spacing w:val="3"/>
          <w:szCs w:val="22"/>
        </w:rPr>
      </w:pPr>
      <w:r w:rsidRPr="00345871">
        <w:rPr>
          <w:spacing w:val="3"/>
          <w:szCs w:val="22"/>
        </w:rPr>
        <w:t>An Object is t</w:t>
      </w:r>
      <w:r w:rsidRPr="00345871">
        <w:rPr>
          <w:szCs w:val="22"/>
        </w:rPr>
        <w:t>he segment that contains the specific balance sheet, revenue, or expenditure accounts for which transactions are classified.</w:t>
      </w:r>
      <w:r w:rsidR="00EA15B7" w:rsidRPr="00EA15B7">
        <w:rPr>
          <w:spacing w:val="3"/>
          <w:szCs w:val="22"/>
        </w:rPr>
        <w:t xml:space="preserve"> </w:t>
      </w:r>
    </w:p>
    <w:p w14:paraId="5C0EB904" w14:textId="77777777" w:rsidR="00EA15B7" w:rsidRPr="00345871" w:rsidRDefault="00EA15B7" w:rsidP="00EA15B7">
      <w:pPr>
        <w:tabs>
          <w:tab w:val="left" w:pos="-720"/>
        </w:tabs>
        <w:suppressAutoHyphens/>
        <w:spacing w:after="240"/>
        <w:rPr>
          <w:szCs w:val="22"/>
        </w:rPr>
      </w:pPr>
      <w:r>
        <w:rPr>
          <w:szCs w:val="22"/>
        </w:rPr>
        <w:t>The first digit in the Object</w:t>
      </w:r>
      <w:r w:rsidRPr="00345871">
        <w:rPr>
          <w:szCs w:val="22"/>
        </w:rPr>
        <w:t xml:space="preserve"> segment is used to designate the </w:t>
      </w:r>
      <w:r>
        <w:rPr>
          <w:szCs w:val="22"/>
        </w:rPr>
        <w:t>type of account</w:t>
      </w:r>
      <w:r w:rsidRPr="00345871">
        <w:rPr>
          <w:szCs w:val="22"/>
        </w:rPr>
        <w:t>:</w:t>
      </w:r>
    </w:p>
    <w:p w14:paraId="3BDCA9A4" w14:textId="77777777" w:rsidR="00EA15B7" w:rsidRPr="00345871" w:rsidRDefault="00EA15B7" w:rsidP="00EA15B7">
      <w:pPr>
        <w:tabs>
          <w:tab w:val="left" w:pos="-720"/>
          <w:tab w:val="left" w:pos="360"/>
        </w:tabs>
        <w:suppressAutoHyphens/>
        <w:spacing w:after="120"/>
        <w:ind w:left="720"/>
        <w:jc w:val="both"/>
        <w:rPr>
          <w:spacing w:val="2"/>
          <w:szCs w:val="22"/>
        </w:rPr>
      </w:pPr>
      <w:r>
        <w:rPr>
          <w:szCs w:val="22"/>
        </w:rPr>
        <w:t>1</w:t>
      </w:r>
      <w:r>
        <w:rPr>
          <w:szCs w:val="22"/>
        </w:rPr>
        <w:tab/>
        <w:t xml:space="preserve">= </w:t>
      </w:r>
      <w:r>
        <w:rPr>
          <w:szCs w:val="22"/>
        </w:rPr>
        <w:tab/>
        <w:t>Asset</w:t>
      </w:r>
    </w:p>
    <w:p w14:paraId="1B64D498" w14:textId="77777777" w:rsidR="00EA15B7" w:rsidRPr="00345871" w:rsidRDefault="00EA15B7" w:rsidP="00EA15B7">
      <w:pPr>
        <w:tabs>
          <w:tab w:val="left" w:pos="-720"/>
          <w:tab w:val="left" w:pos="360"/>
        </w:tabs>
        <w:suppressAutoHyphens/>
        <w:spacing w:after="120"/>
        <w:ind w:left="720"/>
        <w:jc w:val="both"/>
        <w:rPr>
          <w:spacing w:val="2"/>
          <w:szCs w:val="22"/>
        </w:rPr>
      </w:pPr>
      <w:r>
        <w:rPr>
          <w:szCs w:val="22"/>
        </w:rPr>
        <w:t>2</w:t>
      </w:r>
      <w:r>
        <w:rPr>
          <w:szCs w:val="22"/>
        </w:rPr>
        <w:tab/>
        <w:t>=</w:t>
      </w:r>
      <w:r>
        <w:rPr>
          <w:szCs w:val="22"/>
        </w:rPr>
        <w:tab/>
        <w:t>Liability</w:t>
      </w:r>
    </w:p>
    <w:p w14:paraId="063C80CC" w14:textId="77777777" w:rsidR="00EA15B7" w:rsidRPr="00345871" w:rsidRDefault="00EA15B7" w:rsidP="00EA15B7">
      <w:pPr>
        <w:tabs>
          <w:tab w:val="left" w:pos="-720"/>
          <w:tab w:val="left" w:pos="360"/>
        </w:tabs>
        <w:suppressAutoHyphens/>
        <w:spacing w:after="120"/>
        <w:ind w:left="720"/>
        <w:jc w:val="both"/>
        <w:rPr>
          <w:spacing w:val="2"/>
          <w:szCs w:val="22"/>
        </w:rPr>
      </w:pPr>
      <w:r w:rsidRPr="00345871">
        <w:rPr>
          <w:szCs w:val="22"/>
        </w:rPr>
        <w:t>3</w:t>
      </w:r>
      <w:r w:rsidRPr="00345871">
        <w:rPr>
          <w:szCs w:val="22"/>
        </w:rPr>
        <w:tab/>
        <w:t>=</w:t>
      </w:r>
      <w:r w:rsidRPr="00345871">
        <w:rPr>
          <w:szCs w:val="22"/>
        </w:rPr>
        <w:tab/>
        <w:t>Fund Equity</w:t>
      </w:r>
    </w:p>
    <w:p w14:paraId="5A25C0B7" w14:textId="77777777" w:rsidR="00EA15B7" w:rsidRPr="00345871" w:rsidRDefault="00EA15B7" w:rsidP="00EA15B7">
      <w:pPr>
        <w:tabs>
          <w:tab w:val="left" w:pos="-720"/>
          <w:tab w:val="left" w:pos="360"/>
        </w:tabs>
        <w:suppressAutoHyphens/>
        <w:spacing w:after="120"/>
        <w:ind w:left="720"/>
        <w:jc w:val="both"/>
        <w:rPr>
          <w:spacing w:val="2"/>
          <w:szCs w:val="22"/>
        </w:rPr>
      </w:pPr>
      <w:r w:rsidRPr="00345871">
        <w:rPr>
          <w:szCs w:val="22"/>
        </w:rPr>
        <w:t>4</w:t>
      </w:r>
      <w:r w:rsidRPr="00345871">
        <w:rPr>
          <w:szCs w:val="22"/>
        </w:rPr>
        <w:tab/>
        <w:t>=</w:t>
      </w:r>
      <w:r w:rsidRPr="00345871">
        <w:rPr>
          <w:szCs w:val="22"/>
        </w:rPr>
        <w:tab/>
        <w:t>Revenue</w:t>
      </w:r>
    </w:p>
    <w:p w14:paraId="755F0591" w14:textId="77777777" w:rsidR="00EA15B7" w:rsidRDefault="00EA15B7" w:rsidP="00EA15B7">
      <w:pPr>
        <w:tabs>
          <w:tab w:val="left" w:pos="-720"/>
          <w:tab w:val="left" w:pos="360"/>
        </w:tabs>
        <w:suppressAutoHyphens/>
        <w:spacing w:after="120"/>
        <w:ind w:left="720"/>
        <w:jc w:val="both"/>
        <w:rPr>
          <w:szCs w:val="22"/>
        </w:rPr>
      </w:pPr>
      <w:r>
        <w:rPr>
          <w:szCs w:val="22"/>
        </w:rPr>
        <w:t>5</w:t>
      </w:r>
      <w:r>
        <w:rPr>
          <w:szCs w:val="22"/>
        </w:rPr>
        <w:tab/>
        <w:t>=</w:t>
      </w:r>
      <w:r>
        <w:rPr>
          <w:szCs w:val="22"/>
        </w:rPr>
        <w:tab/>
        <w:t>Expenditure</w:t>
      </w:r>
    </w:p>
    <w:p w14:paraId="59658AC1" w14:textId="77777777" w:rsidR="00CF7C43" w:rsidRPr="00345871" w:rsidRDefault="00CF7C43" w:rsidP="00CF7C43">
      <w:pPr>
        <w:spacing w:after="240"/>
        <w:rPr>
          <w:szCs w:val="22"/>
        </w:rPr>
      </w:pPr>
    </w:p>
    <w:p w14:paraId="2788EA5A" w14:textId="169BDCDC" w:rsidR="00CF7C43" w:rsidRPr="00D42A4A" w:rsidRDefault="00CF7C43" w:rsidP="00CF7C43">
      <w:pPr>
        <w:spacing w:after="240"/>
        <w:rPr>
          <w:spacing w:val="3"/>
          <w:szCs w:val="22"/>
        </w:rPr>
      </w:pPr>
      <w:r w:rsidRPr="00EA15B7">
        <w:rPr>
          <w:b/>
          <w:szCs w:val="22"/>
        </w:rPr>
        <w:t>Balance Sheet</w:t>
      </w:r>
      <w:r w:rsidRPr="00EA15B7">
        <w:rPr>
          <w:szCs w:val="22"/>
        </w:rPr>
        <w:t xml:space="preserve"> </w:t>
      </w:r>
      <w:r w:rsidR="00EA15B7">
        <w:rPr>
          <w:szCs w:val="22"/>
        </w:rPr>
        <w:t>(asset, liability</w:t>
      </w:r>
      <w:r w:rsidRPr="00EA15B7">
        <w:rPr>
          <w:szCs w:val="22"/>
        </w:rPr>
        <w:t>, and equity</w:t>
      </w:r>
      <w:r w:rsidR="00EA15B7">
        <w:rPr>
          <w:szCs w:val="22"/>
        </w:rPr>
        <w:t>)</w:t>
      </w:r>
      <w:r w:rsidRPr="00EA15B7">
        <w:rPr>
          <w:szCs w:val="22"/>
        </w:rPr>
        <w:t xml:space="preserve"> Object</w:t>
      </w:r>
      <w:r w:rsidR="00EA15B7">
        <w:rPr>
          <w:szCs w:val="22"/>
        </w:rPr>
        <w:t>s</w:t>
      </w:r>
      <w:r w:rsidRPr="00EA15B7">
        <w:rPr>
          <w:szCs w:val="22"/>
        </w:rPr>
        <w:t xml:space="preserve"> are </w:t>
      </w:r>
      <w:r w:rsidR="00EA15B7">
        <w:rPr>
          <w:szCs w:val="22"/>
        </w:rPr>
        <w:t xml:space="preserve">included </w:t>
      </w:r>
      <w:r w:rsidRPr="00EA15B7">
        <w:rPr>
          <w:szCs w:val="22"/>
        </w:rPr>
        <w:t xml:space="preserve">to enable accounting and reporting by </w:t>
      </w:r>
      <w:r w:rsidR="00EA15B7">
        <w:rPr>
          <w:szCs w:val="22"/>
        </w:rPr>
        <w:t>c</w:t>
      </w:r>
      <w:r w:rsidRPr="00EA15B7">
        <w:rPr>
          <w:szCs w:val="22"/>
        </w:rPr>
        <w:t xml:space="preserve">harter </w:t>
      </w:r>
      <w:r w:rsidR="00EA15B7">
        <w:rPr>
          <w:szCs w:val="22"/>
        </w:rPr>
        <w:t>s</w:t>
      </w:r>
      <w:r w:rsidRPr="00EA15B7">
        <w:rPr>
          <w:szCs w:val="22"/>
        </w:rPr>
        <w:t xml:space="preserve">chools and other organizations with expanded balance sheet needs.  </w:t>
      </w:r>
      <w:r w:rsidR="00EA15B7">
        <w:rPr>
          <w:szCs w:val="22"/>
        </w:rPr>
        <w:t>They are not applicable to districts that do not maintain balance sheet accounts</w:t>
      </w:r>
      <w:r w:rsidRPr="00EA15B7">
        <w:rPr>
          <w:szCs w:val="22"/>
        </w:rPr>
        <w:t xml:space="preserve">. </w:t>
      </w:r>
      <w:r w:rsidR="00EA15B7">
        <w:rPr>
          <w:szCs w:val="22"/>
        </w:rPr>
        <w:t xml:space="preserve"> The balance sheet object codes are comprehensive in the UCOA to include a combined municipal and education account structure.  As such, the account numbering does not align to the Federal Handbook and includes more accounts than are applicable for a district only</w:t>
      </w:r>
      <w:r w:rsidR="00100230">
        <w:rPr>
          <w:szCs w:val="22"/>
        </w:rPr>
        <w:t>; definitions are provided in Appendix A</w:t>
      </w:r>
      <w:r w:rsidR="00EA15B7">
        <w:rPr>
          <w:szCs w:val="22"/>
        </w:rPr>
        <w:t>.</w:t>
      </w:r>
      <w:r w:rsidR="00D3177C">
        <w:rPr>
          <w:szCs w:val="22"/>
        </w:rPr>
        <w:t xml:space="preserve"> </w:t>
      </w:r>
      <w:r w:rsidR="00D42A4A">
        <w:rPr>
          <w:szCs w:val="22"/>
        </w:rPr>
        <w:t xml:space="preserve"> </w:t>
      </w:r>
      <w:r w:rsidR="00D42A4A">
        <w:rPr>
          <w:spacing w:val="3"/>
          <w:szCs w:val="22"/>
        </w:rPr>
        <w:t>Codes for Balance Sheet are listed on Tab “BOTH-</w:t>
      </w:r>
      <w:r w:rsidR="00D42A4A" w:rsidRPr="00D42A4A">
        <w:rPr>
          <w:spacing w:val="3"/>
          <w:szCs w:val="22"/>
        </w:rPr>
        <w:t>BalSheetO</w:t>
      </w:r>
      <w:r w:rsidR="00D42A4A">
        <w:rPr>
          <w:spacing w:val="3"/>
          <w:szCs w:val="22"/>
        </w:rPr>
        <w:t>b</w:t>
      </w:r>
      <w:r w:rsidR="00D42A4A" w:rsidRPr="00D42A4A">
        <w:rPr>
          <w:spacing w:val="3"/>
          <w:szCs w:val="22"/>
        </w:rPr>
        <w:t>j</w:t>
      </w:r>
      <w:r w:rsidR="00D42A4A">
        <w:rPr>
          <w:spacing w:val="3"/>
          <w:szCs w:val="22"/>
        </w:rPr>
        <w:t>”.</w:t>
      </w:r>
    </w:p>
    <w:p w14:paraId="4A93492C" w14:textId="2AD63125" w:rsidR="00CF7C43" w:rsidRPr="00345871" w:rsidRDefault="00CF7C43" w:rsidP="00CF7C43">
      <w:pPr>
        <w:spacing w:after="240"/>
        <w:rPr>
          <w:szCs w:val="22"/>
        </w:rPr>
      </w:pPr>
      <w:r w:rsidRPr="006A41B2">
        <w:rPr>
          <w:b/>
          <w:szCs w:val="22"/>
        </w:rPr>
        <w:t>Revenue</w:t>
      </w:r>
      <w:r w:rsidRPr="00345871">
        <w:rPr>
          <w:szCs w:val="22"/>
        </w:rPr>
        <w:t xml:space="preserve"> </w:t>
      </w:r>
      <w:r w:rsidR="00EA15B7">
        <w:rPr>
          <w:szCs w:val="22"/>
        </w:rPr>
        <w:t xml:space="preserve">Objects </w:t>
      </w:r>
      <w:r w:rsidRPr="00345871">
        <w:rPr>
          <w:szCs w:val="22"/>
        </w:rPr>
        <w:t>are segregated by source and specific category, also by each Fund.</w:t>
      </w:r>
      <w:r w:rsidR="00EA15B7">
        <w:rPr>
          <w:szCs w:val="22"/>
        </w:rPr>
        <w:t xml:space="preserve"> </w:t>
      </w:r>
      <w:r w:rsidR="00EA15B7" w:rsidRPr="00EA15B7">
        <w:rPr>
          <w:szCs w:val="22"/>
        </w:rPr>
        <w:t xml:space="preserve"> </w:t>
      </w:r>
      <w:r w:rsidR="00EA15B7">
        <w:rPr>
          <w:szCs w:val="22"/>
        </w:rPr>
        <w:t>The revenue object codes are comprehensive in the UCOA to include a combined municipal and education account structure.  As such, the account numbering does not align to the Federal Handbook and includes more accounts than are applicable for a district only.</w:t>
      </w:r>
      <w:r w:rsidR="00D42A4A" w:rsidRPr="00D42A4A">
        <w:rPr>
          <w:spacing w:val="3"/>
          <w:szCs w:val="22"/>
        </w:rPr>
        <w:t xml:space="preserve"> </w:t>
      </w:r>
      <w:r w:rsidR="00D42A4A">
        <w:rPr>
          <w:spacing w:val="3"/>
          <w:szCs w:val="22"/>
        </w:rPr>
        <w:t xml:space="preserve"> Codes for Revenue are listed on Tab “</w:t>
      </w:r>
      <w:r w:rsidR="00D42A4A" w:rsidRPr="00D42A4A">
        <w:rPr>
          <w:spacing w:val="3"/>
          <w:szCs w:val="22"/>
        </w:rPr>
        <w:t>BOTH-RevObj</w:t>
      </w:r>
      <w:r w:rsidR="00D42A4A">
        <w:rPr>
          <w:spacing w:val="3"/>
          <w:szCs w:val="22"/>
        </w:rPr>
        <w:t>”.</w:t>
      </w:r>
    </w:p>
    <w:p w14:paraId="63AFC752" w14:textId="2E51D7CA" w:rsidR="00CC6074" w:rsidRDefault="00CF7C43" w:rsidP="00754A00">
      <w:pPr>
        <w:spacing w:after="240"/>
        <w:rPr>
          <w:spacing w:val="3"/>
          <w:szCs w:val="22"/>
        </w:rPr>
      </w:pPr>
      <w:r w:rsidRPr="006A41B2">
        <w:rPr>
          <w:b/>
          <w:szCs w:val="22"/>
        </w:rPr>
        <w:t>Expenditure</w:t>
      </w:r>
      <w:r w:rsidRPr="00345871">
        <w:rPr>
          <w:szCs w:val="22"/>
        </w:rPr>
        <w:t xml:space="preserve"> </w:t>
      </w:r>
      <w:r w:rsidR="00295DB9">
        <w:rPr>
          <w:szCs w:val="22"/>
        </w:rPr>
        <w:t>O</w:t>
      </w:r>
      <w:r w:rsidRPr="00345871">
        <w:rPr>
          <w:szCs w:val="22"/>
        </w:rPr>
        <w:t>bject</w:t>
      </w:r>
      <w:r w:rsidR="00295DB9">
        <w:rPr>
          <w:szCs w:val="22"/>
        </w:rPr>
        <w:t>s</w:t>
      </w:r>
      <w:r w:rsidRPr="00345871">
        <w:rPr>
          <w:szCs w:val="22"/>
        </w:rPr>
        <w:t xml:space="preserve"> classify in detail the services or commodities bought from the financial resources in the fund source from which the expenditure is being made.</w:t>
      </w:r>
      <w:r w:rsidR="00295DB9">
        <w:rPr>
          <w:szCs w:val="22"/>
        </w:rPr>
        <w:t xml:space="preserve">  </w:t>
      </w:r>
      <w:r>
        <w:rPr>
          <w:szCs w:val="22"/>
        </w:rPr>
        <w:t xml:space="preserve">The </w:t>
      </w:r>
      <w:r w:rsidR="00CC6074">
        <w:rPr>
          <w:szCs w:val="22"/>
        </w:rPr>
        <w:t xml:space="preserve">three </w:t>
      </w:r>
      <w:r>
        <w:rPr>
          <w:szCs w:val="22"/>
        </w:rPr>
        <w:t xml:space="preserve">digits following </w:t>
      </w:r>
      <w:r w:rsidR="00295DB9">
        <w:rPr>
          <w:szCs w:val="22"/>
        </w:rPr>
        <w:t>the</w:t>
      </w:r>
      <w:r>
        <w:rPr>
          <w:szCs w:val="22"/>
        </w:rPr>
        <w:t xml:space="preserve"> first digit</w:t>
      </w:r>
      <w:r w:rsidR="00CC6074">
        <w:rPr>
          <w:szCs w:val="22"/>
        </w:rPr>
        <w:t xml:space="preserve"> (Ob2) </w:t>
      </w:r>
      <w:r>
        <w:rPr>
          <w:szCs w:val="22"/>
        </w:rPr>
        <w:t xml:space="preserve">are aligned to the </w:t>
      </w:r>
      <w:r w:rsidR="00295DB9">
        <w:rPr>
          <w:szCs w:val="22"/>
        </w:rPr>
        <w:t>Federal Handbook</w:t>
      </w:r>
      <w:r w:rsidR="00355D48">
        <w:rPr>
          <w:spacing w:val="3"/>
          <w:szCs w:val="22"/>
        </w:rPr>
        <w:t xml:space="preserve">.  </w:t>
      </w:r>
      <w:r w:rsidR="00680184">
        <w:rPr>
          <w:spacing w:val="3"/>
          <w:szCs w:val="22"/>
        </w:rPr>
        <w:t>Codes for</w:t>
      </w:r>
      <w:r w:rsidR="00CC6074">
        <w:rPr>
          <w:spacing w:val="3"/>
          <w:szCs w:val="22"/>
        </w:rPr>
        <w:t xml:space="preserve"> </w:t>
      </w:r>
      <w:r w:rsidR="00D42A4A">
        <w:rPr>
          <w:spacing w:val="3"/>
          <w:szCs w:val="22"/>
        </w:rPr>
        <w:t>E</w:t>
      </w:r>
      <w:r w:rsidR="00CC6074">
        <w:rPr>
          <w:spacing w:val="3"/>
          <w:szCs w:val="22"/>
        </w:rPr>
        <w:t>xpenditure</w:t>
      </w:r>
      <w:r w:rsidR="00680184">
        <w:rPr>
          <w:spacing w:val="3"/>
          <w:szCs w:val="22"/>
        </w:rPr>
        <w:t>s are listed</w:t>
      </w:r>
      <w:r w:rsidR="0031724D">
        <w:rPr>
          <w:spacing w:val="3"/>
          <w:szCs w:val="22"/>
        </w:rPr>
        <w:t xml:space="preserve"> on Tab “</w:t>
      </w:r>
      <w:r w:rsidR="0031724D" w:rsidRPr="00D42A4A">
        <w:rPr>
          <w:spacing w:val="3"/>
          <w:szCs w:val="22"/>
        </w:rPr>
        <w:t>BOTH-</w:t>
      </w:r>
      <w:r w:rsidR="0031724D">
        <w:rPr>
          <w:spacing w:val="3"/>
          <w:szCs w:val="22"/>
        </w:rPr>
        <w:t>Exp</w:t>
      </w:r>
      <w:r w:rsidR="0031724D" w:rsidRPr="00D42A4A">
        <w:rPr>
          <w:spacing w:val="3"/>
          <w:szCs w:val="22"/>
        </w:rPr>
        <w:t>Obj</w:t>
      </w:r>
      <w:r w:rsidR="0031724D">
        <w:rPr>
          <w:spacing w:val="3"/>
          <w:szCs w:val="22"/>
        </w:rPr>
        <w:t>”</w:t>
      </w:r>
      <w:r w:rsidR="00CC6074">
        <w:rPr>
          <w:spacing w:val="3"/>
          <w:szCs w:val="22"/>
        </w:rPr>
        <w:t xml:space="preserve">. </w:t>
      </w:r>
    </w:p>
    <w:p w14:paraId="71E1C1BC" w14:textId="4BE75CCF" w:rsidR="00754A00" w:rsidRDefault="00355D48" w:rsidP="00754A00">
      <w:pPr>
        <w:spacing w:after="240"/>
      </w:pPr>
      <w:r>
        <w:rPr>
          <w:spacing w:val="3"/>
          <w:szCs w:val="22"/>
        </w:rPr>
        <w:t xml:space="preserve">The following table outlines those digits in the Object number that will be used for reporting purposes. </w:t>
      </w:r>
    </w:p>
    <w:tbl>
      <w:tblPr>
        <w:tblW w:w="7491" w:type="dxa"/>
        <w:tblInd w:w="476" w:type="dxa"/>
        <w:tblLook w:val="04A0" w:firstRow="1" w:lastRow="0" w:firstColumn="1" w:lastColumn="0" w:noHBand="0" w:noVBand="1"/>
      </w:tblPr>
      <w:tblGrid>
        <w:gridCol w:w="1551"/>
        <w:gridCol w:w="1929"/>
        <w:gridCol w:w="2121"/>
        <w:gridCol w:w="1890"/>
      </w:tblGrid>
      <w:tr w:rsidR="004B2405" w:rsidRPr="004B2405" w14:paraId="03A60609" w14:textId="77777777" w:rsidTr="008875D6">
        <w:trPr>
          <w:trHeight w:val="300"/>
        </w:trPr>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2A123EE7" w14:textId="77777777" w:rsidR="004B2405" w:rsidRPr="004B2405" w:rsidRDefault="004B2405" w:rsidP="004B2405">
            <w:pPr>
              <w:spacing w:after="0"/>
              <w:rPr>
                <w:b/>
                <w:color w:val="000000"/>
                <w:szCs w:val="22"/>
              </w:rPr>
            </w:pPr>
            <w:r w:rsidRPr="004B2405">
              <w:rPr>
                <w:b/>
                <w:color w:val="000000"/>
                <w:szCs w:val="22"/>
              </w:rPr>
              <w:t> </w:t>
            </w:r>
          </w:p>
        </w:tc>
        <w:tc>
          <w:tcPr>
            <w:tcW w:w="1929" w:type="dxa"/>
            <w:tcBorders>
              <w:top w:val="single" w:sz="4" w:space="0" w:color="auto"/>
              <w:left w:val="nil"/>
              <w:bottom w:val="single" w:sz="4" w:space="0" w:color="auto"/>
              <w:right w:val="single" w:sz="4" w:space="0" w:color="auto"/>
            </w:tcBorders>
            <w:shd w:val="clear" w:color="auto" w:fill="auto"/>
            <w:hideMark/>
          </w:tcPr>
          <w:p w14:paraId="1903F405" w14:textId="77777777" w:rsidR="004B2405" w:rsidRPr="004B2405" w:rsidRDefault="004B2405" w:rsidP="004B2405">
            <w:pPr>
              <w:tabs>
                <w:tab w:val="right" w:pos="1804"/>
              </w:tabs>
              <w:spacing w:after="0"/>
              <w:rPr>
                <w:b/>
                <w:color w:val="000000"/>
                <w:szCs w:val="22"/>
              </w:rPr>
            </w:pPr>
            <w:r w:rsidRPr="004B2405">
              <w:rPr>
                <w:b/>
                <w:color w:val="000000"/>
                <w:szCs w:val="22"/>
              </w:rPr>
              <w:t>Revenue</w:t>
            </w:r>
            <w:r w:rsidRPr="004B2405">
              <w:rPr>
                <w:b/>
                <w:color w:val="000000"/>
                <w:szCs w:val="22"/>
              </w:rPr>
              <w:tab/>
            </w:r>
          </w:p>
        </w:tc>
        <w:tc>
          <w:tcPr>
            <w:tcW w:w="2121" w:type="dxa"/>
            <w:tcBorders>
              <w:top w:val="single" w:sz="4" w:space="0" w:color="auto"/>
              <w:left w:val="nil"/>
              <w:bottom w:val="single" w:sz="4" w:space="0" w:color="auto"/>
              <w:right w:val="single" w:sz="4" w:space="0" w:color="auto"/>
            </w:tcBorders>
            <w:shd w:val="clear" w:color="auto" w:fill="auto"/>
            <w:hideMark/>
          </w:tcPr>
          <w:p w14:paraId="47B51DF6" w14:textId="77777777" w:rsidR="004B2405" w:rsidRPr="004B2405" w:rsidRDefault="004B2405" w:rsidP="004B2405">
            <w:pPr>
              <w:spacing w:after="0"/>
              <w:rPr>
                <w:b/>
                <w:color w:val="000000"/>
                <w:szCs w:val="22"/>
              </w:rPr>
            </w:pPr>
            <w:r w:rsidRPr="004B2405">
              <w:rPr>
                <w:b/>
                <w:color w:val="000000"/>
                <w:szCs w:val="22"/>
              </w:rPr>
              <w:t>Expenditure</w:t>
            </w:r>
          </w:p>
        </w:tc>
        <w:tc>
          <w:tcPr>
            <w:tcW w:w="1890" w:type="dxa"/>
            <w:tcBorders>
              <w:top w:val="single" w:sz="4" w:space="0" w:color="auto"/>
              <w:left w:val="nil"/>
              <w:bottom w:val="single" w:sz="4" w:space="0" w:color="auto"/>
              <w:right w:val="single" w:sz="4" w:space="0" w:color="auto"/>
            </w:tcBorders>
            <w:shd w:val="clear" w:color="auto" w:fill="auto"/>
            <w:hideMark/>
          </w:tcPr>
          <w:p w14:paraId="0A4B3E69" w14:textId="277BD8B0" w:rsidR="004B2405" w:rsidRPr="004B2405" w:rsidRDefault="004B2405" w:rsidP="004D3C7C">
            <w:pPr>
              <w:spacing w:after="0"/>
              <w:rPr>
                <w:b/>
                <w:color w:val="000000"/>
                <w:szCs w:val="22"/>
              </w:rPr>
            </w:pPr>
            <w:r w:rsidRPr="004B2405">
              <w:rPr>
                <w:b/>
                <w:color w:val="000000"/>
                <w:szCs w:val="22"/>
              </w:rPr>
              <w:t>Balance Sheet</w:t>
            </w:r>
          </w:p>
        </w:tc>
      </w:tr>
      <w:tr w:rsidR="004B2405" w:rsidRPr="004B2405" w14:paraId="5EF13995" w14:textId="77777777" w:rsidTr="008875D6">
        <w:trPr>
          <w:trHeight w:val="300"/>
        </w:trPr>
        <w:tc>
          <w:tcPr>
            <w:tcW w:w="1551" w:type="dxa"/>
            <w:tcBorders>
              <w:top w:val="nil"/>
              <w:left w:val="single" w:sz="4" w:space="0" w:color="auto"/>
              <w:bottom w:val="single" w:sz="4" w:space="0" w:color="auto"/>
              <w:right w:val="single" w:sz="4" w:space="0" w:color="auto"/>
            </w:tcBorders>
            <w:shd w:val="clear" w:color="auto" w:fill="auto"/>
            <w:hideMark/>
          </w:tcPr>
          <w:p w14:paraId="13422A1D" w14:textId="77777777" w:rsidR="004B2405" w:rsidRPr="004B2405" w:rsidRDefault="004B2405" w:rsidP="004B2405">
            <w:pPr>
              <w:spacing w:after="0"/>
              <w:rPr>
                <w:b/>
                <w:color w:val="000000"/>
                <w:szCs w:val="22"/>
              </w:rPr>
            </w:pPr>
            <w:r w:rsidRPr="004B2405">
              <w:rPr>
                <w:b/>
                <w:color w:val="000000"/>
                <w:szCs w:val="22"/>
              </w:rPr>
              <w:t>Ob1 - 1 digit</w:t>
            </w:r>
          </w:p>
        </w:tc>
        <w:tc>
          <w:tcPr>
            <w:tcW w:w="1929" w:type="dxa"/>
            <w:tcBorders>
              <w:top w:val="nil"/>
              <w:left w:val="nil"/>
              <w:bottom w:val="single" w:sz="4" w:space="0" w:color="auto"/>
              <w:right w:val="single" w:sz="4" w:space="0" w:color="auto"/>
            </w:tcBorders>
            <w:shd w:val="clear" w:color="auto" w:fill="auto"/>
            <w:hideMark/>
          </w:tcPr>
          <w:p w14:paraId="6C565FC4" w14:textId="77777777" w:rsidR="004B2405" w:rsidRPr="004B2405" w:rsidRDefault="004B2405" w:rsidP="004B2405">
            <w:pPr>
              <w:spacing w:after="0"/>
              <w:rPr>
                <w:color w:val="000000"/>
                <w:szCs w:val="22"/>
              </w:rPr>
            </w:pPr>
            <w:r w:rsidRPr="004B2405">
              <w:rPr>
                <w:color w:val="000000"/>
                <w:szCs w:val="22"/>
              </w:rPr>
              <w:t>Mandatory</w:t>
            </w:r>
          </w:p>
        </w:tc>
        <w:tc>
          <w:tcPr>
            <w:tcW w:w="2121" w:type="dxa"/>
            <w:tcBorders>
              <w:top w:val="nil"/>
              <w:left w:val="nil"/>
              <w:bottom w:val="single" w:sz="4" w:space="0" w:color="auto"/>
              <w:right w:val="single" w:sz="4" w:space="0" w:color="auto"/>
            </w:tcBorders>
            <w:shd w:val="clear" w:color="auto" w:fill="auto"/>
            <w:hideMark/>
          </w:tcPr>
          <w:p w14:paraId="48A4DC1C" w14:textId="77777777" w:rsidR="004B2405" w:rsidRPr="004B2405" w:rsidRDefault="004B2405" w:rsidP="004B2405">
            <w:pPr>
              <w:spacing w:after="0"/>
              <w:rPr>
                <w:color w:val="000000"/>
                <w:szCs w:val="22"/>
              </w:rPr>
            </w:pPr>
            <w:r w:rsidRPr="004B2405">
              <w:rPr>
                <w:color w:val="000000"/>
                <w:szCs w:val="22"/>
              </w:rPr>
              <w:t>Mandatory</w:t>
            </w:r>
          </w:p>
        </w:tc>
        <w:tc>
          <w:tcPr>
            <w:tcW w:w="1890" w:type="dxa"/>
            <w:tcBorders>
              <w:top w:val="nil"/>
              <w:left w:val="nil"/>
              <w:bottom w:val="single" w:sz="4" w:space="0" w:color="auto"/>
              <w:right w:val="single" w:sz="4" w:space="0" w:color="auto"/>
            </w:tcBorders>
            <w:shd w:val="clear" w:color="auto" w:fill="auto"/>
            <w:hideMark/>
          </w:tcPr>
          <w:p w14:paraId="779D0C63" w14:textId="77777777" w:rsidR="004B2405" w:rsidRPr="004B2405" w:rsidRDefault="004B2405" w:rsidP="004B2405">
            <w:pPr>
              <w:spacing w:after="0"/>
              <w:rPr>
                <w:color w:val="000000"/>
                <w:szCs w:val="22"/>
              </w:rPr>
            </w:pPr>
            <w:r w:rsidRPr="004B2405">
              <w:rPr>
                <w:color w:val="000000"/>
                <w:szCs w:val="22"/>
              </w:rPr>
              <w:t>Mandatory</w:t>
            </w:r>
          </w:p>
        </w:tc>
      </w:tr>
      <w:tr w:rsidR="004B2405" w:rsidRPr="004B2405" w14:paraId="74868949" w14:textId="77777777" w:rsidTr="00680184">
        <w:trPr>
          <w:trHeight w:val="845"/>
        </w:trPr>
        <w:tc>
          <w:tcPr>
            <w:tcW w:w="1551" w:type="dxa"/>
            <w:tcBorders>
              <w:top w:val="nil"/>
              <w:left w:val="single" w:sz="4" w:space="0" w:color="auto"/>
              <w:bottom w:val="single" w:sz="4" w:space="0" w:color="auto"/>
              <w:right w:val="single" w:sz="4" w:space="0" w:color="auto"/>
            </w:tcBorders>
            <w:shd w:val="clear" w:color="auto" w:fill="auto"/>
            <w:hideMark/>
          </w:tcPr>
          <w:p w14:paraId="673B00A3" w14:textId="77777777" w:rsidR="004B2405" w:rsidRPr="004B2405" w:rsidRDefault="004B2405" w:rsidP="008C2C44">
            <w:pPr>
              <w:spacing w:after="0"/>
              <w:rPr>
                <w:b/>
                <w:color w:val="000000"/>
                <w:szCs w:val="22"/>
              </w:rPr>
            </w:pPr>
            <w:r w:rsidRPr="004B2405">
              <w:rPr>
                <w:b/>
                <w:color w:val="000000"/>
                <w:szCs w:val="22"/>
              </w:rPr>
              <w:t>O</w:t>
            </w:r>
            <w:r w:rsidR="008C2C44">
              <w:rPr>
                <w:b/>
                <w:color w:val="000000"/>
                <w:szCs w:val="22"/>
              </w:rPr>
              <w:t>b</w:t>
            </w:r>
            <w:r w:rsidRPr="004B2405">
              <w:rPr>
                <w:b/>
                <w:color w:val="000000"/>
                <w:szCs w:val="22"/>
              </w:rPr>
              <w:t>2 - 3 digits</w:t>
            </w:r>
          </w:p>
        </w:tc>
        <w:tc>
          <w:tcPr>
            <w:tcW w:w="1929" w:type="dxa"/>
            <w:tcBorders>
              <w:top w:val="nil"/>
              <w:left w:val="nil"/>
              <w:bottom w:val="single" w:sz="4" w:space="0" w:color="auto"/>
              <w:right w:val="single" w:sz="4" w:space="0" w:color="auto"/>
            </w:tcBorders>
            <w:shd w:val="clear" w:color="auto" w:fill="auto"/>
            <w:hideMark/>
          </w:tcPr>
          <w:p w14:paraId="5D94628D" w14:textId="773E8182" w:rsidR="004B2405" w:rsidRPr="004B2405" w:rsidRDefault="005D6092" w:rsidP="005D6092">
            <w:pPr>
              <w:spacing w:after="0"/>
              <w:rPr>
                <w:color w:val="000000"/>
                <w:szCs w:val="22"/>
              </w:rPr>
            </w:pPr>
            <w:r>
              <w:rPr>
                <w:color w:val="000000"/>
                <w:szCs w:val="22"/>
              </w:rPr>
              <w:t>1st digit mandatory</w:t>
            </w:r>
          </w:p>
        </w:tc>
        <w:tc>
          <w:tcPr>
            <w:tcW w:w="2121" w:type="dxa"/>
            <w:tcBorders>
              <w:top w:val="nil"/>
              <w:left w:val="nil"/>
              <w:bottom w:val="single" w:sz="4" w:space="0" w:color="auto"/>
              <w:right w:val="single" w:sz="4" w:space="0" w:color="auto"/>
            </w:tcBorders>
            <w:shd w:val="clear" w:color="auto" w:fill="auto"/>
            <w:hideMark/>
          </w:tcPr>
          <w:p w14:paraId="2095A64C" w14:textId="5E671653" w:rsidR="004B2405" w:rsidRPr="004B2405" w:rsidRDefault="00680184" w:rsidP="00680184">
            <w:pPr>
              <w:spacing w:after="0"/>
              <w:rPr>
                <w:color w:val="000000"/>
                <w:szCs w:val="22"/>
              </w:rPr>
            </w:pPr>
            <w:r>
              <w:rPr>
                <w:color w:val="000000"/>
                <w:szCs w:val="22"/>
              </w:rPr>
              <w:t>1st digit mandatory</w:t>
            </w:r>
          </w:p>
        </w:tc>
        <w:tc>
          <w:tcPr>
            <w:tcW w:w="1890" w:type="dxa"/>
            <w:tcBorders>
              <w:top w:val="nil"/>
              <w:left w:val="nil"/>
              <w:bottom w:val="single" w:sz="4" w:space="0" w:color="auto"/>
              <w:right w:val="single" w:sz="4" w:space="0" w:color="auto"/>
            </w:tcBorders>
            <w:shd w:val="clear" w:color="auto" w:fill="auto"/>
            <w:hideMark/>
          </w:tcPr>
          <w:p w14:paraId="28197ABE" w14:textId="0460B17E" w:rsidR="004B2405" w:rsidRPr="004B2405" w:rsidRDefault="004B2405" w:rsidP="005B1EF0">
            <w:pPr>
              <w:spacing w:after="0"/>
              <w:rPr>
                <w:color w:val="000000"/>
                <w:szCs w:val="22"/>
              </w:rPr>
            </w:pPr>
            <w:r w:rsidRPr="004B2405">
              <w:rPr>
                <w:color w:val="000000"/>
                <w:szCs w:val="22"/>
              </w:rPr>
              <w:t>1st dig</w:t>
            </w:r>
            <w:r w:rsidR="005B1EF0">
              <w:rPr>
                <w:color w:val="000000"/>
                <w:szCs w:val="22"/>
              </w:rPr>
              <w:t>it mandatory</w:t>
            </w:r>
          </w:p>
        </w:tc>
      </w:tr>
      <w:tr w:rsidR="004B2405" w:rsidRPr="004B2405" w14:paraId="3DE35470" w14:textId="77777777" w:rsidTr="008875D6">
        <w:trPr>
          <w:trHeight w:val="300"/>
        </w:trPr>
        <w:tc>
          <w:tcPr>
            <w:tcW w:w="1551" w:type="dxa"/>
            <w:tcBorders>
              <w:top w:val="nil"/>
              <w:left w:val="single" w:sz="4" w:space="0" w:color="auto"/>
              <w:bottom w:val="single" w:sz="4" w:space="0" w:color="auto"/>
              <w:right w:val="single" w:sz="4" w:space="0" w:color="auto"/>
            </w:tcBorders>
            <w:shd w:val="clear" w:color="auto" w:fill="auto"/>
            <w:hideMark/>
          </w:tcPr>
          <w:p w14:paraId="684DB38C" w14:textId="77777777" w:rsidR="004B2405" w:rsidRPr="004B2405" w:rsidRDefault="004B2405" w:rsidP="004B2405">
            <w:pPr>
              <w:spacing w:after="0"/>
              <w:rPr>
                <w:b/>
                <w:color w:val="000000"/>
                <w:szCs w:val="22"/>
              </w:rPr>
            </w:pPr>
            <w:r w:rsidRPr="004B2405">
              <w:rPr>
                <w:b/>
                <w:color w:val="000000"/>
                <w:szCs w:val="22"/>
              </w:rPr>
              <w:t>Ob3 - 1 digit</w:t>
            </w:r>
          </w:p>
        </w:tc>
        <w:tc>
          <w:tcPr>
            <w:tcW w:w="1929" w:type="dxa"/>
            <w:tcBorders>
              <w:top w:val="nil"/>
              <w:left w:val="nil"/>
              <w:bottom w:val="single" w:sz="4" w:space="0" w:color="auto"/>
              <w:right w:val="single" w:sz="4" w:space="0" w:color="auto"/>
            </w:tcBorders>
            <w:shd w:val="clear" w:color="auto" w:fill="auto"/>
            <w:hideMark/>
          </w:tcPr>
          <w:p w14:paraId="07EDEFC8" w14:textId="77777777" w:rsidR="004B2405" w:rsidRPr="004B2405" w:rsidRDefault="004B2405" w:rsidP="004B2405">
            <w:pPr>
              <w:spacing w:after="0"/>
              <w:rPr>
                <w:color w:val="000000"/>
                <w:szCs w:val="22"/>
              </w:rPr>
            </w:pPr>
            <w:r w:rsidRPr="004B2405">
              <w:rPr>
                <w:color w:val="000000"/>
                <w:szCs w:val="22"/>
              </w:rPr>
              <w:t>Not required</w:t>
            </w:r>
          </w:p>
        </w:tc>
        <w:tc>
          <w:tcPr>
            <w:tcW w:w="2121" w:type="dxa"/>
            <w:tcBorders>
              <w:top w:val="nil"/>
              <w:left w:val="nil"/>
              <w:bottom w:val="single" w:sz="4" w:space="0" w:color="auto"/>
              <w:right w:val="single" w:sz="4" w:space="0" w:color="auto"/>
            </w:tcBorders>
            <w:shd w:val="clear" w:color="auto" w:fill="auto"/>
            <w:hideMark/>
          </w:tcPr>
          <w:p w14:paraId="4E14910A" w14:textId="77777777" w:rsidR="004B2405" w:rsidRPr="004B2405" w:rsidRDefault="004B2405" w:rsidP="004B2405">
            <w:pPr>
              <w:spacing w:after="0"/>
              <w:rPr>
                <w:color w:val="000000"/>
                <w:szCs w:val="22"/>
              </w:rPr>
            </w:pPr>
            <w:r w:rsidRPr="004B2405">
              <w:rPr>
                <w:color w:val="000000"/>
                <w:szCs w:val="22"/>
              </w:rPr>
              <w:t>Mandatory</w:t>
            </w:r>
          </w:p>
        </w:tc>
        <w:tc>
          <w:tcPr>
            <w:tcW w:w="1890" w:type="dxa"/>
            <w:tcBorders>
              <w:top w:val="nil"/>
              <w:left w:val="nil"/>
              <w:bottom w:val="single" w:sz="4" w:space="0" w:color="auto"/>
              <w:right w:val="single" w:sz="4" w:space="0" w:color="auto"/>
            </w:tcBorders>
            <w:shd w:val="clear" w:color="auto" w:fill="auto"/>
            <w:hideMark/>
          </w:tcPr>
          <w:p w14:paraId="060D0E1E" w14:textId="77777777" w:rsidR="004B2405" w:rsidRPr="004B2405" w:rsidRDefault="004B2405" w:rsidP="004B2405">
            <w:pPr>
              <w:spacing w:after="0"/>
              <w:rPr>
                <w:color w:val="000000"/>
                <w:szCs w:val="22"/>
              </w:rPr>
            </w:pPr>
            <w:r w:rsidRPr="004B2405">
              <w:rPr>
                <w:color w:val="000000"/>
                <w:szCs w:val="22"/>
              </w:rPr>
              <w:t>Not required</w:t>
            </w:r>
          </w:p>
        </w:tc>
      </w:tr>
    </w:tbl>
    <w:p w14:paraId="552B27B9" w14:textId="77777777" w:rsidR="00D94681" w:rsidRDefault="00D94681" w:rsidP="00B96031">
      <w:pPr>
        <w:tabs>
          <w:tab w:val="left" w:pos="1440"/>
        </w:tabs>
        <w:spacing w:after="0"/>
      </w:pPr>
    </w:p>
    <w:p w14:paraId="739FD8A5" w14:textId="59AC0FAA" w:rsidR="00F5463C" w:rsidRDefault="00F5463C" w:rsidP="00B96031">
      <w:pPr>
        <w:tabs>
          <w:tab w:val="left" w:pos="1440"/>
        </w:tabs>
        <w:spacing w:after="0"/>
      </w:pPr>
      <w:r>
        <w:br w:type="page"/>
      </w:r>
    </w:p>
    <w:p w14:paraId="38E1E492" w14:textId="77777777" w:rsidR="00D94681" w:rsidRDefault="00D94681" w:rsidP="00B96031">
      <w:pPr>
        <w:tabs>
          <w:tab w:val="left" w:pos="1440"/>
        </w:tabs>
        <w:spacing w:after="0"/>
      </w:pPr>
    </w:p>
    <w:p w14:paraId="5647161F" w14:textId="77777777" w:rsidR="00B96031" w:rsidRDefault="00B96031" w:rsidP="00B96031">
      <w:pPr>
        <w:tabs>
          <w:tab w:val="left" w:pos="1440"/>
        </w:tabs>
        <w:spacing w:after="0"/>
        <w:rPr>
          <w:b/>
        </w:rPr>
      </w:pPr>
      <w:r w:rsidRPr="007C3C66">
        <w:rPr>
          <w:b/>
        </w:rPr>
        <w:t>Grant/Project – 3 digits</w:t>
      </w:r>
    </w:p>
    <w:p w14:paraId="0028778F" w14:textId="3B8B9B3B" w:rsidR="00295DB9" w:rsidRPr="007C3C66" w:rsidRDefault="00295DB9" w:rsidP="00295DB9">
      <w:pPr>
        <w:autoSpaceDE w:val="0"/>
        <w:autoSpaceDN w:val="0"/>
        <w:adjustRightInd w:val="0"/>
        <w:rPr>
          <w:b/>
        </w:rPr>
      </w:pPr>
      <w:r>
        <w:rPr>
          <w:rFonts w:eastAsiaTheme="minorHAnsi"/>
          <w:bCs/>
          <w:szCs w:val="24"/>
        </w:rPr>
        <w:t>For federal and state grant funds, the Grant</w:t>
      </w:r>
      <w:r w:rsidRPr="00345871">
        <w:rPr>
          <w:rFonts w:eastAsiaTheme="minorHAnsi"/>
          <w:bCs/>
          <w:szCs w:val="24"/>
        </w:rPr>
        <w:t xml:space="preserve">/Project code </w:t>
      </w:r>
      <w:r w:rsidR="00AD5766">
        <w:rPr>
          <w:rFonts w:eastAsiaTheme="minorHAnsi"/>
          <w:bCs/>
          <w:szCs w:val="24"/>
        </w:rPr>
        <w:t>is</w:t>
      </w:r>
      <w:r w:rsidRPr="00345871">
        <w:rPr>
          <w:rFonts w:eastAsiaTheme="minorHAnsi"/>
          <w:bCs/>
          <w:szCs w:val="24"/>
        </w:rPr>
        <w:t xml:space="preserve"> intended to </w:t>
      </w:r>
      <w:r>
        <w:rPr>
          <w:rFonts w:eastAsiaTheme="minorHAnsi"/>
          <w:bCs/>
          <w:szCs w:val="24"/>
        </w:rPr>
        <w:t xml:space="preserve">identify the grant award year, since some grants may span more than one year.  A third digit may be used to further </w:t>
      </w:r>
      <w:r w:rsidR="00AD5766">
        <w:rPr>
          <w:rFonts w:eastAsiaTheme="minorHAnsi"/>
          <w:bCs/>
          <w:szCs w:val="24"/>
        </w:rPr>
        <w:t>identify the grant if necessary</w:t>
      </w:r>
      <w:r w:rsidRPr="00345871">
        <w:rPr>
          <w:rFonts w:eastAsiaTheme="minorHAnsi"/>
          <w:bCs/>
          <w:szCs w:val="24"/>
        </w:rPr>
        <w:t xml:space="preserve">.  </w:t>
      </w:r>
      <w:r w:rsidR="00AD5766">
        <w:rPr>
          <w:rFonts w:eastAsiaTheme="minorHAnsi"/>
          <w:bCs/>
          <w:szCs w:val="24"/>
        </w:rPr>
        <w:t>For other funds, the Grant/Project code is available for district use.</w:t>
      </w:r>
      <w:r w:rsidR="0031724D">
        <w:rPr>
          <w:rFonts w:eastAsiaTheme="minorHAnsi"/>
          <w:bCs/>
          <w:szCs w:val="24"/>
        </w:rPr>
        <w:t xml:space="preserve"> </w:t>
      </w:r>
      <w:r w:rsidR="0031724D" w:rsidRPr="0031724D">
        <w:rPr>
          <w:spacing w:val="3"/>
          <w:szCs w:val="22"/>
        </w:rPr>
        <w:t xml:space="preserve"> </w:t>
      </w:r>
      <w:r w:rsidR="0031724D">
        <w:rPr>
          <w:spacing w:val="3"/>
          <w:szCs w:val="22"/>
        </w:rPr>
        <w:t xml:space="preserve">Codes for </w:t>
      </w:r>
      <w:r w:rsidR="0031724D" w:rsidRPr="0031724D">
        <w:t>Grant/Project</w:t>
      </w:r>
      <w:r w:rsidR="0031724D">
        <w:rPr>
          <w:spacing w:val="3"/>
          <w:szCs w:val="22"/>
        </w:rPr>
        <w:t xml:space="preserve"> are listed on Tab “ED-ProjectCode”.</w:t>
      </w:r>
    </w:p>
    <w:tbl>
      <w:tblPr>
        <w:tblpPr w:leftFromText="180" w:rightFromText="180" w:vertAnchor="text" w:horzAnchor="page" w:tblpX="1984" w:tblpY="128"/>
        <w:tblW w:w="7220" w:type="dxa"/>
        <w:tblLook w:val="04A0" w:firstRow="1" w:lastRow="0" w:firstColumn="1" w:lastColumn="0" w:noHBand="0" w:noVBand="1"/>
      </w:tblPr>
      <w:tblGrid>
        <w:gridCol w:w="1460"/>
        <w:gridCol w:w="2020"/>
        <w:gridCol w:w="2020"/>
        <w:gridCol w:w="1720"/>
      </w:tblGrid>
      <w:tr w:rsidR="007C3C66" w:rsidRPr="007C3C66" w14:paraId="27A2F202" w14:textId="77777777" w:rsidTr="007C3C66">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2B7F69B0" w14:textId="77777777" w:rsidR="007C3C66" w:rsidRPr="007C3C66" w:rsidRDefault="007C3C66" w:rsidP="007C3C66">
            <w:pPr>
              <w:spacing w:after="0"/>
              <w:rPr>
                <w:color w:val="000000"/>
                <w:szCs w:val="22"/>
              </w:rPr>
            </w:pPr>
            <w:r w:rsidRPr="007C3C66">
              <w:rPr>
                <w:color w:val="000000"/>
                <w:szCs w:val="22"/>
              </w:rPr>
              <w:t> </w:t>
            </w:r>
          </w:p>
        </w:tc>
        <w:tc>
          <w:tcPr>
            <w:tcW w:w="2020" w:type="dxa"/>
            <w:tcBorders>
              <w:top w:val="single" w:sz="4" w:space="0" w:color="auto"/>
              <w:left w:val="nil"/>
              <w:bottom w:val="single" w:sz="4" w:space="0" w:color="auto"/>
              <w:right w:val="single" w:sz="4" w:space="0" w:color="auto"/>
            </w:tcBorders>
            <w:shd w:val="clear" w:color="auto" w:fill="auto"/>
            <w:hideMark/>
          </w:tcPr>
          <w:p w14:paraId="52065C61" w14:textId="77777777" w:rsidR="007C3C66" w:rsidRPr="007C3C66" w:rsidRDefault="007C3C66" w:rsidP="007C3C66">
            <w:pPr>
              <w:spacing w:after="0"/>
              <w:rPr>
                <w:b/>
                <w:color w:val="000000"/>
                <w:szCs w:val="22"/>
              </w:rPr>
            </w:pPr>
            <w:r w:rsidRPr="007C3C66">
              <w:rPr>
                <w:b/>
                <w:color w:val="000000"/>
                <w:szCs w:val="22"/>
              </w:rPr>
              <w:t>Revenue</w:t>
            </w:r>
          </w:p>
        </w:tc>
        <w:tc>
          <w:tcPr>
            <w:tcW w:w="2020" w:type="dxa"/>
            <w:tcBorders>
              <w:top w:val="single" w:sz="4" w:space="0" w:color="auto"/>
              <w:left w:val="nil"/>
              <w:bottom w:val="single" w:sz="4" w:space="0" w:color="auto"/>
              <w:right w:val="single" w:sz="4" w:space="0" w:color="auto"/>
            </w:tcBorders>
            <w:shd w:val="clear" w:color="auto" w:fill="auto"/>
            <w:hideMark/>
          </w:tcPr>
          <w:p w14:paraId="5912DC7D" w14:textId="77777777" w:rsidR="007C3C66" w:rsidRPr="007C3C66" w:rsidRDefault="007C3C66" w:rsidP="007C3C66">
            <w:pPr>
              <w:spacing w:after="0"/>
              <w:rPr>
                <w:b/>
                <w:color w:val="000000"/>
                <w:szCs w:val="22"/>
              </w:rPr>
            </w:pPr>
            <w:r w:rsidRPr="007C3C66">
              <w:rPr>
                <w:b/>
                <w:color w:val="000000"/>
                <w:szCs w:val="22"/>
              </w:rPr>
              <w:t>Expenditure</w:t>
            </w:r>
          </w:p>
        </w:tc>
        <w:tc>
          <w:tcPr>
            <w:tcW w:w="1720" w:type="dxa"/>
            <w:tcBorders>
              <w:top w:val="single" w:sz="4" w:space="0" w:color="auto"/>
              <w:left w:val="nil"/>
              <w:bottom w:val="single" w:sz="4" w:space="0" w:color="auto"/>
              <w:right w:val="single" w:sz="4" w:space="0" w:color="auto"/>
            </w:tcBorders>
            <w:shd w:val="clear" w:color="auto" w:fill="auto"/>
            <w:hideMark/>
          </w:tcPr>
          <w:p w14:paraId="43A18CCA" w14:textId="55349A66" w:rsidR="007C3C66" w:rsidRPr="007C3C66" w:rsidRDefault="007C3C66" w:rsidP="004D3C7C">
            <w:pPr>
              <w:spacing w:after="0"/>
              <w:rPr>
                <w:b/>
                <w:color w:val="000000"/>
                <w:szCs w:val="22"/>
              </w:rPr>
            </w:pPr>
            <w:r w:rsidRPr="007C3C66">
              <w:rPr>
                <w:b/>
                <w:color w:val="000000"/>
                <w:szCs w:val="22"/>
              </w:rPr>
              <w:t>Balance Sheet</w:t>
            </w:r>
          </w:p>
        </w:tc>
      </w:tr>
      <w:tr w:rsidR="007C3C66" w:rsidRPr="007C3C66" w14:paraId="30583F49" w14:textId="77777777" w:rsidTr="007C3C66">
        <w:trPr>
          <w:trHeight w:val="1200"/>
        </w:trPr>
        <w:tc>
          <w:tcPr>
            <w:tcW w:w="1460" w:type="dxa"/>
            <w:tcBorders>
              <w:top w:val="nil"/>
              <w:left w:val="single" w:sz="4" w:space="0" w:color="auto"/>
              <w:bottom w:val="single" w:sz="4" w:space="0" w:color="auto"/>
              <w:right w:val="single" w:sz="4" w:space="0" w:color="auto"/>
            </w:tcBorders>
            <w:shd w:val="clear" w:color="auto" w:fill="auto"/>
            <w:hideMark/>
          </w:tcPr>
          <w:p w14:paraId="312AFB4A" w14:textId="77777777" w:rsidR="007C3C66" w:rsidRPr="007C3C66" w:rsidRDefault="007C3C66" w:rsidP="007C3C66">
            <w:pPr>
              <w:spacing w:after="0"/>
              <w:rPr>
                <w:b/>
                <w:color w:val="000000"/>
                <w:szCs w:val="22"/>
              </w:rPr>
            </w:pPr>
            <w:r w:rsidRPr="007C3C66">
              <w:rPr>
                <w:b/>
                <w:color w:val="000000"/>
                <w:szCs w:val="22"/>
              </w:rPr>
              <w:t>Pj1 - 2 digits</w:t>
            </w:r>
          </w:p>
        </w:tc>
        <w:tc>
          <w:tcPr>
            <w:tcW w:w="2020" w:type="dxa"/>
            <w:tcBorders>
              <w:top w:val="nil"/>
              <w:left w:val="nil"/>
              <w:bottom w:val="single" w:sz="4" w:space="0" w:color="auto"/>
              <w:right w:val="single" w:sz="4" w:space="0" w:color="auto"/>
            </w:tcBorders>
            <w:shd w:val="clear" w:color="auto" w:fill="auto"/>
            <w:hideMark/>
          </w:tcPr>
          <w:p w14:paraId="58F70113" w14:textId="77777777" w:rsidR="007C3C66" w:rsidRPr="007C3C66" w:rsidRDefault="007C3C66" w:rsidP="007C3C66">
            <w:pPr>
              <w:spacing w:after="0"/>
              <w:rPr>
                <w:color w:val="000000"/>
                <w:szCs w:val="22"/>
              </w:rPr>
            </w:pPr>
            <w:r w:rsidRPr="007C3C66">
              <w:rPr>
                <w:color w:val="000000"/>
                <w:szCs w:val="22"/>
              </w:rPr>
              <w:t>Mandatory for state and federal grants paid by or passed through CSDE</w:t>
            </w:r>
          </w:p>
        </w:tc>
        <w:tc>
          <w:tcPr>
            <w:tcW w:w="2020" w:type="dxa"/>
            <w:tcBorders>
              <w:top w:val="nil"/>
              <w:left w:val="nil"/>
              <w:bottom w:val="single" w:sz="4" w:space="0" w:color="auto"/>
              <w:right w:val="single" w:sz="4" w:space="0" w:color="auto"/>
            </w:tcBorders>
            <w:shd w:val="clear" w:color="auto" w:fill="auto"/>
            <w:hideMark/>
          </w:tcPr>
          <w:p w14:paraId="16F122C7" w14:textId="77777777" w:rsidR="007C3C66" w:rsidRPr="007C3C66" w:rsidRDefault="007C3C66" w:rsidP="007C3C66">
            <w:pPr>
              <w:spacing w:after="0"/>
              <w:rPr>
                <w:color w:val="000000"/>
                <w:szCs w:val="22"/>
              </w:rPr>
            </w:pPr>
            <w:r w:rsidRPr="007C3C66">
              <w:rPr>
                <w:color w:val="000000"/>
                <w:szCs w:val="22"/>
              </w:rPr>
              <w:t>Mandatory for state and federal grants paid by or passed through CSDE</w:t>
            </w:r>
          </w:p>
        </w:tc>
        <w:tc>
          <w:tcPr>
            <w:tcW w:w="1720" w:type="dxa"/>
            <w:tcBorders>
              <w:top w:val="nil"/>
              <w:left w:val="nil"/>
              <w:bottom w:val="single" w:sz="4" w:space="0" w:color="auto"/>
              <w:right w:val="single" w:sz="4" w:space="0" w:color="auto"/>
            </w:tcBorders>
            <w:shd w:val="clear" w:color="auto" w:fill="auto"/>
            <w:hideMark/>
          </w:tcPr>
          <w:p w14:paraId="3BCFDCD9" w14:textId="77777777" w:rsidR="007C3C66" w:rsidRPr="007C3C66" w:rsidRDefault="007C3C66" w:rsidP="007C3C66">
            <w:pPr>
              <w:spacing w:after="0"/>
              <w:rPr>
                <w:color w:val="000000"/>
                <w:szCs w:val="22"/>
              </w:rPr>
            </w:pPr>
            <w:r w:rsidRPr="007C3C66">
              <w:rPr>
                <w:color w:val="000000"/>
                <w:szCs w:val="22"/>
              </w:rPr>
              <w:t>Not required</w:t>
            </w:r>
          </w:p>
        </w:tc>
      </w:tr>
      <w:tr w:rsidR="007C3C66" w:rsidRPr="007C3C66" w14:paraId="661FAC75" w14:textId="77777777" w:rsidTr="007C3C66">
        <w:trPr>
          <w:trHeight w:val="300"/>
        </w:trPr>
        <w:tc>
          <w:tcPr>
            <w:tcW w:w="1460" w:type="dxa"/>
            <w:tcBorders>
              <w:top w:val="nil"/>
              <w:left w:val="single" w:sz="4" w:space="0" w:color="auto"/>
              <w:bottom w:val="single" w:sz="4" w:space="0" w:color="auto"/>
              <w:right w:val="single" w:sz="4" w:space="0" w:color="auto"/>
            </w:tcBorders>
            <w:shd w:val="clear" w:color="auto" w:fill="auto"/>
            <w:hideMark/>
          </w:tcPr>
          <w:p w14:paraId="44808DD0" w14:textId="77777777" w:rsidR="007C3C66" w:rsidRPr="007C3C66" w:rsidRDefault="007C3C66" w:rsidP="007C3C66">
            <w:pPr>
              <w:spacing w:after="0"/>
              <w:rPr>
                <w:b/>
                <w:color w:val="000000"/>
                <w:szCs w:val="22"/>
              </w:rPr>
            </w:pPr>
            <w:r w:rsidRPr="007C3C66">
              <w:rPr>
                <w:b/>
                <w:color w:val="000000"/>
                <w:szCs w:val="22"/>
              </w:rPr>
              <w:t>Pj2 - 1 digit</w:t>
            </w:r>
          </w:p>
        </w:tc>
        <w:tc>
          <w:tcPr>
            <w:tcW w:w="2020" w:type="dxa"/>
            <w:tcBorders>
              <w:top w:val="nil"/>
              <w:left w:val="nil"/>
              <w:bottom w:val="single" w:sz="4" w:space="0" w:color="auto"/>
              <w:right w:val="single" w:sz="4" w:space="0" w:color="auto"/>
            </w:tcBorders>
            <w:shd w:val="clear" w:color="auto" w:fill="auto"/>
            <w:hideMark/>
          </w:tcPr>
          <w:p w14:paraId="12CD4A8B" w14:textId="77777777" w:rsidR="007C3C66" w:rsidRPr="007C3C66" w:rsidRDefault="007C3C66" w:rsidP="007C3C66">
            <w:pPr>
              <w:spacing w:after="0"/>
              <w:rPr>
                <w:color w:val="000000"/>
                <w:szCs w:val="22"/>
              </w:rPr>
            </w:pPr>
            <w:r w:rsidRPr="007C3C66">
              <w:rPr>
                <w:color w:val="000000"/>
                <w:szCs w:val="22"/>
              </w:rPr>
              <w:t>Not required</w:t>
            </w:r>
          </w:p>
        </w:tc>
        <w:tc>
          <w:tcPr>
            <w:tcW w:w="2020" w:type="dxa"/>
            <w:tcBorders>
              <w:top w:val="nil"/>
              <w:left w:val="nil"/>
              <w:bottom w:val="single" w:sz="4" w:space="0" w:color="auto"/>
              <w:right w:val="single" w:sz="4" w:space="0" w:color="auto"/>
            </w:tcBorders>
            <w:shd w:val="clear" w:color="auto" w:fill="auto"/>
            <w:hideMark/>
          </w:tcPr>
          <w:p w14:paraId="68B17223" w14:textId="77777777" w:rsidR="007C3C66" w:rsidRPr="007C3C66" w:rsidRDefault="007C3C66" w:rsidP="007C3C66">
            <w:pPr>
              <w:spacing w:after="0"/>
              <w:rPr>
                <w:color w:val="000000"/>
                <w:szCs w:val="22"/>
              </w:rPr>
            </w:pPr>
            <w:r w:rsidRPr="007C3C66">
              <w:rPr>
                <w:color w:val="000000"/>
                <w:szCs w:val="22"/>
              </w:rPr>
              <w:t>Not required</w:t>
            </w:r>
          </w:p>
        </w:tc>
        <w:tc>
          <w:tcPr>
            <w:tcW w:w="1720" w:type="dxa"/>
            <w:tcBorders>
              <w:top w:val="nil"/>
              <w:left w:val="nil"/>
              <w:bottom w:val="single" w:sz="4" w:space="0" w:color="auto"/>
              <w:right w:val="single" w:sz="4" w:space="0" w:color="auto"/>
            </w:tcBorders>
            <w:shd w:val="clear" w:color="auto" w:fill="auto"/>
            <w:hideMark/>
          </w:tcPr>
          <w:p w14:paraId="7A749907" w14:textId="77777777" w:rsidR="007C3C66" w:rsidRPr="007C3C66" w:rsidRDefault="007C3C66" w:rsidP="007C3C66">
            <w:pPr>
              <w:spacing w:after="0"/>
              <w:rPr>
                <w:color w:val="000000"/>
                <w:szCs w:val="22"/>
              </w:rPr>
            </w:pPr>
            <w:r w:rsidRPr="007C3C66">
              <w:rPr>
                <w:color w:val="000000"/>
                <w:szCs w:val="22"/>
              </w:rPr>
              <w:t>Not required</w:t>
            </w:r>
          </w:p>
        </w:tc>
      </w:tr>
    </w:tbl>
    <w:p w14:paraId="6827FBB6" w14:textId="77777777" w:rsidR="007C3C66" w:rsidRDefault="007C3C66" w:rsidP="00B96031">
      <w:pPr>
        <w:tabs>
          <w:tab w:val="left" w:pos="1440"/>
        </w:tabs>
        <w:spacing w:after="0"/>
      </w:pPr>
    </w:p>
    <w:p w14:paraId="60F074F1" w14:textId="77777777" w:rsidR="007C3C66" w:rsidRDefault="007C3C66" w:rsidP="00B96031">
      <w:pPr>
        <w:tabs>
          <w:tab w:val="left" w:pos="1440"/>
        </w:tabs>
        <w:spacing w:after="0"/>
      </w:pPr>
    </w:p>
    <w:p w14:paraId="03C33D1D" w14:textId="77777777" w:rsidR="007C3C66" w:rsidRDefault="007C3C66" w:rsidP="00B96031">
      <w:pPr>
        <w:tabs>
          <w:tab w:val="left" w:pos="1440"/>
        </w:tabs>
        <w:spacing w:after="0"/>
        <w:ind w:left="900" w:hanging="540"/>
      </w:pPr>
    </w:p>
    <w:p w14:paraId="740C22CD" w14:textId="77777777" w:rsidR="007C3C66" w:rsidRDefault="007C3C66" w:rsidP="00B96031">
      <w:pPr>
        <w:tabs>
          <w:tab w:val="left" w:pos="1440"/>
        </w:tabs>
        <w:spacing w:after="0"/>
        <w:ind w:left="900" w:hanging="540"/>
      </w:pPr>
    </w:p>
    <w:p w14:paraId="10A00531" w14:textId="77777777" w:rsidR="007C3C66" w:rsidRDefault="007C3C66" w:rsidP="00B96031">
      <w:pPr>
        <w:tabs>
          <w:tab w:val="left" w:pos="1440"/>
        </w:tabs>
        <w:spacing w:after="0"/>
        <w:ind w:left="900" w:hanging="540"/>
      </w:pPr>
    </w:p>
    <w:p w14:paraId="65F3DFDF" w14:textId="77777777" w:rsidR="007C3C66" w:rsidRDefault="007C3C66" w:rsidP="00B96031">
      <w:pPr>
        <w:tabs>
          <w:tab w:val="left" w:pos="1440"/>
        </w:tabs>
        <w:spacing w:after="0"/>
        <w:ind w:left="900" w:hanging="540"/>
      </w:pPr>
    </w:p>
    <w:p w14:paraId="57E05B42" w14:textId="77777777" w:rsidR="007C3C66" w:rsidRDefault="007C3C66" w:rsidP="00B96031">
      <w:pPr>
        <w:tabs>
          <w:tab w:val="left" w:pos="1440"/>
        </w:tabs>
        <w:spacing w:after="0"/>
        <w:ind w:left="900" w:hanging="540"/>
      </w:pPr>
    </w:p>
    <w:p w14:paraId="5519C65F" w14:textId="77777777" w:rsidR="007C3C66" w:rsidRDefault="007C3C66" w:rsidP="00B96031">
      <w:pPr>
        <w:tabs>
          <w:tab w:val="left" w:pos="1440"/>
        </w:tabs>
        <w:spacing w:after="0"/>
        <w:ind w:left="900" w:hanging="540"/>
      </w:pPr>
    </w:p>
    <w:p w14:paraId="58DC0AB8" w14:textId="77777777" w:rsidR="007C3C66" w:rsidRDefault="007C3C66" w:rsidP="00B96031">
      <w:pPr>
        <w:tabs>
          <w:tab w:val="left" w:pos="1440"/>
        </w:tabs>
        <w:spacing w:after="0"/>
        <w:ind w:left="900" w:hanging="540"/>
      </w:pPr>
    </w:p>
    <w:p w14:paraId="0C941761" w14:textId="77777777" w:rsidR="00B96031" w:rsidRDefault="00B96031" w:rsidP="00B96031">
      <w:pPr>
        <w:tabs>
          <w:tab w:val="left" w:pos="1440"/>
        </w:tabs>
        <w:spacing w:after="0"/>
        <w:ind w:left="900" w:hanging="540"/>
      </w:pPr>
      <w:r>
        <w:t>Pj1 –Mandatory for Special Revenue fund federal and state prepayment grants that have form ED114 budgets.  Indicates ending year of fiscal year, ex. “15” for 2014-15.</w:t>
      </w:r>
    </w:p>
    <w:p w14:paraId="4D0A9087" w14:textId="77777777" w:rsidR="00F5463C" w:rsidRDefault="00F5463C" w:rsidP="00B96031">
      <w:pPr>
        <w:tabs>
          <w:tab w:val="left" w:pos="1440"/>
        </w:tabs>
        <w:spacing w:after="0"/>
        <w:ind w:left="900" w:hanging="540"/>
      </w:pPr>
    </w:p>
    <w:p w14:paraId="56AC4994" w14:textId="3BB3B63B" w:rsidR="00876384" w:rsidRPr="00345871" w:rsidRDefault="00876384" w:rsidP="00876384">
      <w:pPr>
        <w:pStyle w:val="Heading2"/>
        <w:rPr>
          <w:sz w:val="24"/>
          <w:szCs w:val="24"/>
        </w:rPr>
      </w:pPr>
      <w:bookmarkStart w:id="10" w:name="_Toc464209566"/>
      <w:r w:rsidRPr="00345871">
        <w:t>Account Descriptions</w:t>
      </w:r>
      <w:r>
        <w:t xml:space="preserve"> </w:t>
      </w:r>
      <w:r w:rsidR="00355D48">
        <w:t>–</w:t>
      </w:r>
      <w:r>
        <w:t xml:space="preserve"> Names</w:t>
      </w:r>
      <w:r w:rsidR="00355D48">
        <w:t xml:space="preserve"> if implementing the UCOA in local accounting systems</w:t>
      </w:r>
      <w:bookmarkEnd w:id="10"/>
      <w:r w:rsidRPr="00345871">
        <w:fldChar w:fldCharType="begin"/>
      </w:r>
      <w:r w:rsidRPr="00345871">
        <w:instrText xml:space="preserve"> XE "Account Descriptions" </w:instrText>
      </w:r>
      <w:r w:rsidRPr="00345871">
        <w:fldChar w:fldCharType="end"/>
      </w:r>
      <w:r w:rsidRPr="00345871">
        <w:fldChar w:fldCharType="begin"/>
      </w:r>
      <w:r w:rsidRPr="00345871">
        <w:instrText xml:space="preserve"> XE "UCOA – Guidance on naming accounts" </w:instrText>
      </w:r>
      <w:r w:rsidRPr="00345871">
        <w:fldChar w:fldCharType="end"/>
      </w:r>
    </w:p>
    <w:p w14:paraId="2A8F87E3" w14:textId="626CBA8D" w:rsidR="00876384" w:rsidRPr="00420DC1" w:rsidRDefault="00876384" w:rsidP="00876384">
      <w:pPr>
        <w:spacing w:after="240"/>
        <w:rPr>
          <w:szCs w:val="22"/>
        </w:rPr>
      </w:pPr>
      <w:r w:rsidRPr="00420DC1">
        <w:rPr>
          <w:szCs w:val="22"/>
        </w:rPr>
        <w:t xml:space="preserve">The UCOA includes specific numbers and specific names for each code within each segment.  The segments are to be combined into a string which when placed together represent a single account.  </w:t>
      </w:r>
      <w:r w:rsidR="00355D48">
        <w:rPr>
          <w:szCs w:val="22"/>
        </w:rPr>
        <w:t xml:space="preserve">If mapping a local chart of accounts to the UCOA, this section is not applicable.  However, </w:t>
      </w:r>
      <w:r w:rsidR="005E3BE3">
        <w:rPr>
          <w:szCs w:val="22"/>
        </w:rPr>
        <w:t>district</w:t>
      </w:r>
      <w:r w:rsidRPr="00420DC1">
        <w:rPr>
          <w:szCs w:val="22"/>
        </w:rPr>
        <w:t xml:space="preserve">s </w:t>
      </w:r>
      <w:r w:rsidR="00355D48">
        <w:rPr>
          <w:szCs w:val="22"/>
        </w:rPr>
        <w:t xml:space="preserve">that use the UCOA when implementing a new accounting system </w:t>
      </w:r>
      <w:r w:rsidRPr="00420DC1">
        <w:rPr>
          <w:szCs w:val="22"/>
        </w:rPr>
        <w:t xml:space="preserve">will want to identify accounts in a manner that will readily inform the reader of the content.  To do so will require using the names from at least two or more segments to form the descriptor.  It will be impractical to include the names from each segment to form an account name.  </w:t>
      </w:r>
    </w:p>
    <w:p w14:paraId="5F5CDB97" w14:textId="77777777" w:rsidR="00876384" w:rsidRPr="00420DC1" w:rsidRDefault="00876384" w:rsidP="00876384">
      <w:pPr>
        <w:spacing w:after="240"/>
        <w:rPr>
          <w:szCs w:val="22"/>
        </w:rPr>
      </w:pPr>
      <w:r w:rsidRPr="00420DC1">
        <w:rPr>
          <w:szCs w:val="22"/>
        </w:rPr>
        <w:t>The Object segment will generally contain the primary cost category and should be the lead descriptor in the account name.  Depending on the purpose and reason for the account to exist, account names from the other segments can be combined to help form the descriptor.</w:t>
      </w:r>
    </w:p>
    <w:p w14:paraId="08611EAE" w14:textId="77777777" w:rsidR="007F3D3F" w:rsidRPr="007F3D3F" w:rsidRDefault="007F3D3F" w:rsidP="007F3D3F">
      <w:pPr>
        <w:spacing w:after="0"/>
        <w:ind w:left="540"/>
        <w:rPr>
          <w:i/>
          <w:szCs w:val="22"/>
          <w:u w:val="single"/>
        </w:rPr>
      </w:pPr>
      <w:r w:rsidRPr="007F3D3F">
        <w:rPr>
          <w:i/>
          <w:szCs w:val="22"/>
          <w:u w:val="single"/>
        </w:rPr>
        <w:t>E</w:t>
      </w:r>
      <w:r w:rsidR="00876384" w:rsidRPr="007F3D3F">
        <w:rPr>
          <w:i/>
          <w:szCs w:val="22"/>
          <w:u w:val="single"/>
        </w:rPr>
        <w:t>xample</w:t>
      </w:r>
    </w:p>
    <w:p w14:paraId="10E29F21" w14:textId="317F5020" w:rsidR="00876384" w:rsidRDefault="007F3D3F" w:rsidP="007F3D3F">
      <w:pPr>
        <w:spacing w:after="0"/>
        <w:ind w:left="540"/>
        <w:rPr>
          <w:szCs w:val="22"/>
        </w:rPr>
      </w:pPr>
      <w:r w:rsidRPr="007F3D3F">
        <w:rPr>
          <w:i/>
          <w:szCs w:val="22"/>
        </w:rPr>
        <w:t>S</w:t>
      </w:r>
      <w:r w:rsidR="00876384" w:rsidRPr="007F3D3F">
        <w:rPr>
          <w:i/>
          <w:szCs w:val="22"/>
        </w:rPr>
        <w:t xml:space="preserve">uppose we have costs for “Art </w:t>
      </w:r>
      <w:r w:rsidR="00144F70">
        <w:rPr>
          <w:i/>
          <w:szCs w:val="22"/>
        </w:rPr>
        <w:t>Magazine</w:t>
      </w:r>
      <w:r w:rsidR="00876384" w:rsidRPr="007F3D3F">
        <w:rPr>
          <w:i/>
          <w:szCs w:val="22"/>
        </w:rPr>
        <w:t>s</w:t>
      </w:r>
      <w:r w:rsidR="00876384" w:rsidRPr="007F3D3F">
        <w:rPr>
          <w:i/>
          <w:szCs w:val="22"/>
        </w:rPr>
        <w:fldChar w:fldCharType="begin"/>
      </w:r>
      <w:r w:rsidR="00876384" w:rsidRPr="007F3D3F">
        <w:rPr>
          <w:i/>
          <w:szCs w:val="22"/>
        </w:rPr>
        <w:instrText xml:space="preserve"> XE "Object 56000 Series - Supplies" </w:instrText>
      </w:r>
      <w:r w:rsidR="00876384" w:rsidRPr="007F3D3F">
        <w:rPr>
          <w:i/>
          <w:szCs w:val="22"/>
        </w:rPr>
        <w:fldChar w:fldCharType="end"/>
      </w:r>
      <w:r w:rsidR="00876384" w:rsidRPr="007F3D3F">
        <w:rPr>
          <w:i/>
          <w:szCs w:val="22"/>
        </w:rPr>
        <w:t xml:space="preserve">”.  There is not an Object account that is specific to Art </w:t>
      </w:r>
      <w:r w:rsidR="00144F70">
        <w:rPr>
          <w:i/>
          <w:szCs w:val="22"/>
        </w:rPr>
        <w:t>Magazine</w:t>
      </w:r>
      <w:r w:rsidR="00144F70" w:rsidRPr="007F3D3F">
        <w:rPr>
          <w:i/>
          <w:szCs w:val="22"/>
        </w:rPr>
        <w:t>s</w:t>
      </w:r>
      <w:r w:rsidR="00144F70">
        <w:rPr>
          <w:i/>
          <w:szCs w:val="22"/>
        </w:rPr>
        <w:t>,</w:t>
      </w:r>
      <w:r w:rsidR="00876384" w:rsidRPr="007F3D3F">
        <w:rPr>
          <w:i/>
          <w:szCs w:val="22"/>
        </w:rPr>
        <w:t xml:space="preserve"> but there is an account for </w:t>
      </w:r>
      <w:r w:rsidR="00584D82" w:rsidRPr="00584D82">
        <w:rPr>
          <w:i/>
          <w:szCs w:val="22"/>
        </w:rPr>
        <w:t>Books and Periodicals</w:t>
      </w:r>
      <w:r w:rsidR="00584D82" w:rsidRPr="007F3D3F">
        <w:rPr>
          <w:i/>
          <w:szCs w:val="22"/>
        </w:rPr>
        <w:t xml:space="preserve"> </w:t>
      </w:r>
      <w:r w:rsidR="00876384" w:rsidRPr="007F3D3F">
        <w:rPr>
          <w:i/>
          <w:szCs w:val="22"/>
        </w:rPr>
        <w:t>(56</w:t>
      </w:r>
      <w:r w:rsidR="005E3BE3">
        <w:rPr>
          <w:i/>
          <w:szCs w:val="22"/>
        </w:rPr>
        <w:t>4</w:t>
      </w:r>
      <w:r w:rsidR="00876384" w:rsidRPr="007F3D3F">
        <w:rPr>
          <w:i/>
          <w:szCs w:val="22"/>
        </w:rPr>
        <w:t xml:space="preserve">00).  To identify this cost as Art </w:t>
      </w:r>
      <w:r w:rsidR="00144F70">
        <w:rPr>
          <w:i/>
          <w:szCs w:val="22"/>
        </w:rPr>
        <w:t>Magazine</w:t>
      </w:r>
      <w:r w:rsidR="00144F70" w:rsidRPr="007F3D3F">
        <w:rPr>
          <w:i/>
          <w:szCs w:val="22"/>
        </w:rPr>
        <w:t>s</w:t>
      </w:r>
      <w:r w:rsidR="00876384" w:rsidRPr="007F3D3F">
        <w:rPr>
          <w:i/>
          <w:szCs w:val="22"/>
        </w:rPr>
        <w:t xml:space="preserve"> would require combining the Object account noted and the Program account, </w:t>
      </w:r>
      <w:r w:rsidR="006E1771">
        <w:rPr>
          <w:i/>
          <w:szCs w:val="22"/>
        </w:rPr>
        <w:t xml:space="preserve">Fine and Performing </w:t>
      </w:r>
      <w:r w:rsidR="00876384" w:rsidRPr="007F3D3F">
        <w:rPr>
          <w:i/>
          <w:szCs w:val="22"/>
        </w:rPr>
        <w:t>Art</w:t>
      </w:r>
      <w:r w:rsidR="006E1771">
        <w:rPr>
          <w:i/>
          <w:szCs w:val="22"/>
        </w:rPr>
        <w:t>s</w:t>
      </w:r>
      <w:r w:rsidR="00876384" w:rsidRPr="007F3D3F">
        <w:rPr>
          <w:i/>
          <w:szCs w:val="22"/>
        </w:rPr>
        <w:t xml:space="preserve"> (105).  Accordingly, the account name could be </w:t>
      </w:r>
      <w:r w:rsidR="005E3BE3" w:rsidRPr="00584D82">
        <w:rPr>
          <w:i/>
          <w:szCs w:val="22"/>
        </w:rPr>
        <w:t>Books and Periodicals</w:t>
      </w:r>
      <w:r w:rsidR="00876384" w:rsidRPr="007F3D3F">
        <w:rPr>
          <w:i/>
          <w:szCs w:val="22"/>
        </w:rPr>
        <w:t xml:space="preserve">, </w:t>
      </w:r>
      <w:r w:rsidR="006E1771">
        <w:rPr>
          <w:i/>
          <w:szCs w:val="22"/>
        </w:rPr>
        <w:t xml:space="preserve">Fine and Performing </w:t>
      </w:r>
      <w:r w:rsidR="006E1771" w:rsidRPr="007F3D3F">
        <w:rPr>
          <w:i/>
          <w:szCs w:val="22"/>
        </w:rPr>
        <w:t>Art</w:t>
      </w:r>
      <w:r w:rsidR="006E1771">
        <w:rPr>
          <w:i/>
          <w:szCs w:val="22"/>
        </w:rPr>
        <w:t>s</w:t>
      </w:r>
      <w:r w:rsidR="00876384" w:rsidRPr="007F3D3F">
        <w:rPr>
          <w:i/>
          <w:szCs w:val="22"/>
        </w:rPr>
        <w:t xml:space="preserve">.  This would be sufficient to be informative to a user.  </w:t>
      </w:r>
    </w:p>
    <w:p w14:paraId="60FF6504" w14:textId="77777777" w:rsidR="007F3D3F" w:rsidRPr="00420DC1" w:rsidRDefault="007F3D3F" w:rsidP="007F3D3F">
      <w:pPr>
        <w:spacing w:after="0"/>
        <w:rPr>
          <w:szCs w:val="22"/>
        </w:rPr>
      </w:pPr>
    </w:p>
    <w:p w14:paraId="40D334DA" w14:textId="680AA912" w:rsidR="00876384" w:rsidRPr="00420DC1" w:rsidRDefault="00876384" w:rsidP="00876384">
      <w:pPr>
        <w:spacing w:after="240"/>
        <w:rPr>
          <w:szCs w:val="22"/>
        </w:rPr>
      </w:pPr>
      <w:r w:rsidRPr="00420DC1">
        <w:rPr>
          <w:szCs w:val="22"/>
        </w:rPr>
        <w:t>In th</w:t>
      </w:r>
      <w:r w:rsidR="007F3D3F">
        <w:rPr>
          <w:szCs w:val="22"/>
        </w:rPr>
        <w:t>e</w:t>
      </w:r>
      <w:r w:rsidRPr="00420DC1">
        <w:rPr>
          <w:szCs w:val="22"/>
        </w:rPr>
        <w:t xml:space="preserve"> example</w:t>
      </w:r>
      <w:r w:rsidR="007F3D3F">
        <w:rPr>
          <w:szCs w:val="22"/>
        </w:rPr>
        <w:t xml:space="preserve"> above</w:t>
      </w:r>
      <w:r w:rsidRPr="00420DC1">
        <w:rPr>
          <w:szCs w:val="22"/>
        </w:rPr>
        <w:t xml:space="preserve">, we combined </w:t>
      </w:r>
      <w:r w:rsidR="005E3BE3">
        <w:rPr>
          <w:szCs w:val="22"/>
        </w:rPr>
        <w:t xml:space="preserve">the Object segment </w:t>
      </w:r>
      <w:r w:rsidRPr="00420DC1">
        <w:rPr>
          <w:szCs w:val="22"/>
        </w:rPr>
        <w:t xml:space="preserve">with the Program segment, but a </w:t>
      </w:r>
      <w:r w:rsidR="005E3BE3">
        <w:rPr>
          <w:szCs w:val="22"/>
        </w:rPr>
        <w:t>d</w:t>
      </w:r>
      <w:r w:rsidRPr="00420DC1">
        <w:rPr>
          <w:szCs w:val="22"/>
        </w:rPr>
        <w:t xml:space="preserve">istrict might also combine with the Fund or Location segments to form the descriptor.  Where there is </w:t>
      </w:r>
      <w:r w:rsidRPr="00420DC1">
        <w:rPr>
          <w:szCs w:val="22"/>
        </w:rPr>
        <w:lastRenderedPageBreak/>
        <w:t xml:space="preserve">sufficient space, a </w:t>
      </w:r>
      <w:r w:rsidR="005E3BE3">
        <w:rPr>
          <w:szCs w:val="22"/>
        </w:rPr>
        <w:t>d</w:t>
      </w:r>
      <w:r w:rsidRPr="00420DC1">
        <w:rPr>
          <w:szCs w:val="22"/>
        </w:rPr>
        <w:t>istrict may combine names from more than two segments.</w:t>
      </w:r>
    </w:p>
    <w:p w14:paraId="019F6657" w14:textId="77777777" w:rsidR="00876384" w:rsidRPr="00420DC1" w:rsidRDefault="00876384" w:rsidP="00876384">
      <w:pPr>
        <w:spacing w:after="240"/>
        <w:rPr>
          <w:szCs w:val="22"/>
        </w:rPr>
      </w:pPr>
      <w:r w:rsidRPr="00420DC1">
        <w:rPr>
          <w:szCs w:val="22"/>
        </w:rPr>
        <w:t>The best guidance is to start with the name from the Object segment and couple this with one or more other segments to define the account so the reader understands the contents of each account clearly.</w:t>
      </w:r>
    </w:p>
    <w:p w14:paraId="5B25D499" w14:textId="67A0E5E5" w:rsidR="00876384" w:rsidRDefault="00876384" w:rsidP="00876384">
      <w:pPr>
        <w:rPr>
          <w:szCs w:val="22"/>
        </w:rPr>
      </w:pPr>
      <w:r w:rsidRPr="00420DC1">
        <w:rPr>
          <w:szCs w:val="22"/>
        </w:rPr>
        <w:t xml:space="preserve">Although uniformity of account names used in each accounting system will not be possible, every effort should be made by </w:t>
      </w:r>
      <w:r w:rsidR="005E3BE3">
        <w:rPr>
          <w:szCs w:val="22"/>
        </w:rPr>
        <w:t>d</w:t>
      </w:r>
      <w:r w:rsidRPr="00420DC1">
        <w:rPr>
          <w:szCs w:val="22"/>
        </w:rPr>
        <w:t xml:space="preserve">istricts to use the guidance provided herein for naming accounts.  </w:t>
      </w:r>
    </w:p>
    <w:p w14:paraId="3932F7FF" w14:textId="7565D59A" w:rsidR="004F65F7" w:rsidRDefault="004F65F7">
      <w:pPr>
        <w:spacing w:after="160" w:line="259" w:lineRule="auto"/>
      </w:pPr>
      <w:bookmarkStart w:id="11" w:name="_Ref370989406"/>
      <w:bookmarkEnd w:id="9"/>
    </w:p>
    <w:p w14:paraId="23CB8511" w14:textId="7C3AE528" w:rsidR="001F7228" w:rsidRDefault="00491347" w:rsidP="00AD5766">
      <w:pPr>
        <w:pStyle w:val="Heading1"/>
        <w:numPr>
          <w:ilvl w:val="0"/>
          <w:numId w:val="0"/>
        </w:numPr>
      </w:pPr>
      <w:r w:rsidRPr="009E5CC0">
        <w:rPr>
          <w:i/>
        </w:rPr>
        <w:t xml:space="preserve"> </w:t>
      </w:r>
      <w:bookmarkStart w:id="12" w:name="_Toc464209567"/>
      <w:r w:rsidR="005504F3">
        <w:t xml:space="preserve">Appendix </w:t>
      </w:r>
      <w:r w:rsidR="00CE00A8">
        <w:t>A</w:t>
      </w:r>
      <w:r w:rsidR="00A430D5">
        <w:t xml:space="preserve"> – Balance Sheet Account</w:t>
      </w:r>
      <w:r w:rsidR="001F7228">
        <w:t xml:space="preserve"> Definitions</w:t>
      </w:r>
      <w:bookmarkEnd w:id="12"/>
    </w:p>
    <w:p w14:paraId="51BC93A6" w14:textId="77777777" w:rsidR="001F7228" w:rsidRDefault="001F7228" w:rsidP="001F7228">
      <w:pPr>
        <w:pStyle w:val="Heading3"/>
      </w:pPr>
      <w:bookmarkStart w:id="13" w:name="_Toc464209568"/>
      <w:r>
        <w:t>Balance Sheet Code Definitions – Assets</w:t>
      </w:r>
      <w:bookmarkEnd w:id="13"/>
    </w:p>
    <w:p w14:paraId="51700EF9" w14:textId="77777777" w:rsidR="001F7228" w:rsidRDefault="001F7228" w:rsidP="001F7228">
      <w:pPr>
        <w:pStyle w:val="Heading4"/>
      </w:pPr>
      <w:r>
        <w:t>10000</w:t>
      </w:r>
      <w:r>
        <w:tab/>
        <w:t>Cash &amp; Cash Equivalents</w:t>
      </w:r>
    </w:p>
    <w:p w14:paraId="52FB3ECC" w14:textId="77777777" w:rsidR="001F7228" w:rsidRDefault="001F7228" w:rsidP="001F7228">
      <w:r w:rsidRPr="00345871">
        <w:t xml:space="preserve">All funds on deposit with a bank or savings and loan institution, including interest-bearing and non-interest-bearing accounts.  Includes cash on hand, petty cash, restricted and unrestricted cash, cash with fiscal agents, and short-term investments.  </w:t>
      </w:r>
    </w:p>
    <w:p w14:paraId="0BA4F7DF" w14:textId="77777777" w:rsidR="001F7228" w:rsidRDefault="001F7228" w:rsidP="001F7228">
      <w:pPr>
        <w:pStyle w:val="Heading4"/>
        <w:rPr>
          <w:szCs w:val="22"/>
        </w:rPr>
      </w:pPr>
      <w:r w:rsidRPr="00345871">
        <w:t>11000</w:t>
      </w:r>
      <w:r w:rsidRPr="00345871">
        <w:tab/>
        <w:t>Taxes Receivable &amp; Assessments Receivable</w:t>
      </w:r>
    </w:p>
    <w:p w14:paraId="52C5DEBB" w14:textId="0135FFB2" w:rsidR="001F7228" w:rsidRPr="00345871" w:rsidRDefault="001F7228" w:rsidP="001F7228">
      <w:pPr>
        <w:rPr>
          <w:color w:val="333399"/>
        </w:rPr>
      </w:pPr>
      <w:r w:rsidRPr="00345871">
        <w:t xml:space="preserve">The uncollected portion of taxes that a </w:t>
      </w:r>
      <w:r w:rsidR="005E3BE3">
        <w:t>district</w:t>
      </w:r>
      <w:r w:rsidRPr="00345871">
        <w:t xml:space="preserve"> has levied and that has become due, including any interest or penalties that may be accrued.  Separate accounts may be established on the basis of tax roll year, current and delinquent taxes, or both.  Also includes those portions of taxes receivable estimated not to be collectible.</w:t>
      </w:r>
    </w:p>
    <w:p w14:paraId="0BFE9908" w14:textId="77777777" w:rsidR="001F7228" w:rsidRPr="005215B9" w:rsidRDefault="001F7228" w:rsidP="001F7228">
      <w:pPr>
        <w:pStyle w:val="Heading4"/>
      </w:pPr>
      <w:r w:rsidRPr="005215B9">
        <w:t>12000</w:t>
      </w:r>
      <w:r w:rsidRPr="005215B9">
        <w:tab/>
        <w:t>Accounts Receivable</w:t>
      </w:r>
    </w:p>
    <w:p w14:paraId="41418D5D" w14:textId="647BB467" w:rsidR="001F7228" w:rsidRPr="005215B9" w:rsidRDefault="001F7228" w:rsidP="001F7228">
      <w:r w:rsidRPr="005215B9">
        <w:t xml:space="preserve">Amounts owing on open account from private persons, firms, or corporations for goods and services furnished by a </w:t>
      </w:r>
      <w:r w:rsidR="005E3BE3">
        <w:t>district</w:t>
      </w:r>
      <w:r w:rsidRPr="005215B9">
        <w:t xml:space="preserve"> (but not including amounts due from other funds).  Also includes that portion of receivables estimated not to be collectible.</w:t>
      </w:r>
    </w:p>
    <w:p w14:paraId="0AD9113D" w14:textId="77777777" w:rsidR="001F7228" w:rsidRPr="005215B9" w:rsidRDefault="001F7228" w:rsidP="001F7228">
      <w:pPr>
        <w:pStyle w:val="Heading4"/>
      </w:pPr>
      <w:r w:rsidRPr="005215B9">
        <w:t>13000</w:t>
      </w:r>
      <w:r w:rsidRPr="005215B9">
        <w:tab/>
        <w:t>Other Receivables</w:t>
      </w:r>
      <w:r w:rsidRPr="005215B9">
        <w:fldChar w:fldCharType="begin"/>
      </w:r>
      <w:r w:rsidRPr="005215B9">
        <w:instrText xml:space="preserve"> XE "</w:instrText>
      </w:r>
      <w:r w:rsidRPr="00345871">
        <w:instrText>Object 13000 – Other Receivables"</w:instrText>
      </w:r>
      <w:r w:rsidRPr="005215B9">
        <w:instrText xml:space="preserve"> </w:instrText>
      </w:r>
      <w:r w:rsidRPr="005215B9">
        <w:fldChar w:fldCharType="end"/>
      </w:r>
    </w:p>
    <w:p w14:paraId="44770C94" w14:textId="77777777" w:rsidR="001F7228" w:rsidRPr="00345871" w:rsidRDefault="001F7228" w:rsidP="001F7228">
      <w:r w:rsidRPr="00345871">
        <w:t>Amounts owing on open account from others not classified elsewhere.  Also includes those portions of receivables estimated not to be collectible.</w:t>
      </w:r>
    </w:p>
    <w:p w14:paraId="262A652E" w14:textId="77777777" w:rsidR="001F7228" w:rsidRDefault="001F7228" w:rsidP="001F7228">
      <w:pPr>
        <w:pStyle w:val="Heading4"/>
        <w:rPr>
          <w:szCs w:val="22"/>
        </w:rPr>
      </w:pPr>
      <w:r w:rsidRPr="00345871">
        <w:t>14000</w:t>
      </w:r>
      <w:r w:rsidRPr="00345871">
        <w:tab/>
        <w:t>Interfunds</w:t>
      </w:r>
      <w:r w:rsidRPr="00345871">
        <w:fldChar w:fldCharType="begin"/>
      </w:r>
      <w:r w:rsidRPr="00345871">
        <w:instrText xml:space="preserve"> XE "</w:instrText>
      </w:r>
      <w:r w:rsidRPr="00345871">
        <w:rPr>
          <w:szCs w:val="22"/>
        </w:rPr>
        <w:instrText>Funds"</w:instrText>
      </w:r>
      <w:r w:rsidRPr="00345871">
        <w:instrText xml:space="preserve"> </w:instrText>
      </w:r>
      <w:r w:rsidRPr="00345871">
        <w:fldChar w:fldCharType="end"/>
      </w:r>
    </w:p>
    <w:p w14:paraId="43786044" w14:textId="2D8F0F3C" w:rsidR="001F7228" w:rsidRPr="00345871" w:rsidRDefault="001F7228" w:rsidP="001F7228">
      <w:pPr>
        <w:rPr>
          <w:szCs w:val="22"/>
        </w:rPr>
      </w:pPr>
      <w:r w:rsidRPr="00345871">
        <w:t xml:space="preserve">An asset account used to indicate amounts owed to a particular fund by another fund in the same </w:t>
      </w:r>
      <w:r w:rsidR="005E3BE3">
        <w:t>district</w:t>
      </w:r>
      <w:r w:rsidRPr="00345871">
        <w:t xml:space="preserve"> for goods sold or services rendered.  It is recommended that separate accounts be established for each inter-fund receivable.</w:t>
      </w:r>
    </w:p>
    <w:p w14:paraId="7C11E046" w14:textId="77777777" w:rsidR="001F7228" w:rsidRDefault="001F7228" w:rsidP="001F7228">
      <w:pPr>
        <w:pStyle w:val="Heading4"/>
      </w:pPr>
      <w:r>
        <w:t>15000</w:t>
      </w:r>
      <w:r>
        <w:tab/>
        <w:t>Inventories</w:t>
      </w:r>
      <w:r w:rsidRPr="00345871">
        <w:t xml:space="preserve"> </w:t>
      </w:r>
    </w:p>
    <w:p w14:paraId="54D5D9E2" w14:textId="4008D311" w:rsidR="001F7228" w:rsidRPr="00345871" w:rsidRDefault="001F7228" w:rsidP="001F7228">
      <w:pPr>
        <w:rPr>
          <w:bCs/>
          <w:color w:val="333399"/>
        </w:rPr>
      </w:pPr>
      <w:r w:rsidRPr="00345871">
        <w:t xml:space="preserve">All merchandise and goods that are available for sale or will be ready for sale and all materials and supplies that will be used by the </w:t>
      </w:r>
      <w:r w:rsidR="005E3BE3">
        <w:t>district</w:t>
      </w:r>
      <w:r w:rsidRPr="00345871">
        <w:t xml:space="preserve"> itself.</w:t>
      </w:r>
    </w:p>
    <w:p w14:paraId="2B14A811" w14:textId="77777777" w:rsidR="001F7228" w:rsidRDefault="001F7228" w:rsidP="001F7228">
      <w:pPr>
        <w:pStyle w:val="Heading4"/>
      </w:pPr>
      <w:r w:rsidRPr="00345871">
        <w:t>16000</w:t>
      </w:r>
      <w:r w:rsidRPr="00345871">
        <w:tab/>
        <w:t>Investments</w:t>
      </w:r>
    </w:p>
    <w:p w14:paraId="52805C68" w14:textId="77777777" w:rsidR="001F7228" w:rsidRPr="00B61DA0" w:rsidRDefault="001F7228" w:rsidP="001F7228">
      <w:pPr>
        <w:rPr>
          <w:rFonts w:eastAsiaTheme="minorHAnsi"/>
          <w:sz w:val="24"/>
          <w:szCs w:val="24"/>
        </w:rPr>
      </w:pPr>
      <w:r w:rsidRPr="00345871">
        <w:t>Investments include securities and real estate held for producing income in the form of interest, dividends, rentals, or lease payments. The account does not include capital assets used in school district operations.</w:t>
      </w:r>
      <w:r>
        <w:rPr>
          <w:rFonts w:eastAsiaTheme="minorHAnsi"/>
          <w:sz w:val="24"/>
          <w:szCs w:val="24"/>
        </w:rPr>
        <w:t xml:space="preserve"> </w:t>
      </w:r>
    </w:p>
    <w:p w14:paraId="2165DF85" w14:textId="77777777" w:rsidR="001F7228" w:rsidRDefault="001F7228" w:rsidP="001F7228">
      <w:pPr>
        <w:pStyle w:val="Heading4"/>
        <w:rPr>
          <w:szCs w:val="22"/>
        </w:rPr>
      </w:pPr>
      <w:r w:rsidRPr="00345871">
        <w:lastRenderedPageBreak/>
        <w:t>17000</w:t>
      </w:r>
      <w:r w:rsidRPr="00345871">
        <w:tab/>
        <w:t>Capital Assets</w:t>
      </w:r>
      <w:r w:rsidRPr="00345871">
        <w:rPr>
          <w:szCs w:val="22"/>
        </w:rPr>
        <w:t xml:space="preserve"> </w:t>
      </w:r>
    </w:p>
    <w:p w14:paraId="5C3CADB5" w14:textId="6E957A1C" w:rsidR="001F7228" w:rsidRPr="00345871" w:rsidRDefault="001F7228" w:rsidP="001F7228">
      <w:pPr>
        <w:rPr>
          <w:b/>
          <w:bCs/>
        </w:rPr>
      </w:pPr>
      <w:r w:rsidRPr="00345871">
        <w:t xml:space="preserve">Those assets that the </w:t>
      </w:r>
      <w:r w:rsidR="005E3BE3">
        <w:t>district</w:t>
      </w:r>
      <w:r w:rsidRPr="00345871">
        <w:t xml:space="preserve"> intends to hold or continue to use over a long period of time.  </w:t>
      </w:r>
      <w:r>
        <w:t xml:space="preserve">This is applicable to Proprietary type funds and Trust funds only.  </w:t>
      </w:r>
      <w:r w:rsidRPr="00345871">
        <w:t>Specifically, capital assets include land, improvements to land, easements, buildings and building improvements, vehicles, machinery, equipment, works of art and historical treasures, infrastructure, and all other tangible or intangible assets that are used in operations and that have initial useful lives that extend beyond a single reporting period.  Also includes accumulated depreciation accounts used to track depreciation amounts for assets.</w:t>
      </w:r>
    </w:p>
    <w:p w14:paraId="1EE0E208" w14:textId="77777777" w:rsidR="001F7228" w:rsidRDefault="001F7228" w:rsidP="001F7228">
      <w:pPr>
        <w:pStyle w:val="Heading4"/>
      </w:pPr>
      <w:r w:rsidRPr="00345871">
        <w:t xml:space="preserve">18000 </w:t>
      </w:r>
      <w:r w:rsidRPr="00345871">
        <w:tab/>
        <w:t>Other Assets</w:t>
      </w:r>
    </w:p>
    <w:p w14:paraId="344C0840" w14:textId="77777777" w:rsidR="001F7228" w:rsidRPr="00345871" w:rsidRDefault="001F7228" w:rsidP="001F7228">
      <w:r w:rsidRPr="00345871">
        <w:t>Includes items such as deposits as a prerequisite for receiving services or goods, inventory for consumption and inventory for resale, and other assets not properly recorded elsewhere.  Includes expenditure/expense paid for benefits not yet received.  Examples of prepaid expenses are prepaid rent, prepaid interest, and unexpired insurance premiums.  Separate accounts may be established for each type of prepaid item.</w:t>
      </w:r>
    </w:p>
    <w:p w14:paraId="63E553B1" w14:textId="77777777" w:rsidR="001F7228" w:rsidRDefault="001F7228" w:rsidP="001F7228">
      <w:pPr>
        <w:pStyle w:val="Heading4"/>
      </w:pPr>
      <w:r w:rsidRPr="00345871">
        <w:t>19000</w:t>
      </w:r>
      <w:r w:rsidRPr="00345871">
        <w:tab/>
        <w:t>Deferred Outflows</w:t>
      </w:r>
    </w:p>
    <w:p w14:paraId="6FC8A256" w14:textId="77777777" w:rsidR="001F7228" w:rsidRDefault="001F7228" w:rsidP="001F7228">
      <w:r w:rsidRPr="00345871">
        <w:t>The current consumption of net assets that is applicable to a future reporting period.</w:t>
      </w:r>
    </w:p>
    <w:p w14:paraId="7F08B2CD" w14:textId="77777777" w:rsidR="001F7228" w:rsidRDefault="001F7228" w:rsidP="001F7228">
      <w:pPr>
        <w:pStyle w:val="Heading3"/>
      </w:pPr>
      <w:bookmarkStart w:id="14" w:name="_Toc464209569"/>
      <w:r>
        <w:t>Balance Sheet Code Definitions – Liabilities</w:t>
      </w:r>
      <w:bookmarkEnd w:id="14"/>
      <w:r>
        <w:t xml:space="preserve"> </w:t>
      </w:r>
    </w:p>
    <w:p w14:paraId="6E9098DA" w14:textId="77777777" w:rsidR="001F7228" w:rsidRDefault="001F7228" w:rsidP="001F7228">
      <w:pPr>
        <w:pStyle w:val="Heading4"/>
      </w:pPr>
      <w:r w:rsidRPr="00345871">
        <w:t>20000</w:t>
      </w:r>
      <w:r w:rsidRPr="00345871">
        <w:tab/>
        <w:t xml:space="preserve">Accounts Payable </w:t>
      </w:r>
    </w:p>
    <w:p w14:paraId="3C44CBCC" w14:textId="79EDCD5F" w:rsidR="001F7228" w:rsidRPr="00345871" w:rsidRDefault="001F7228" w:rsidP="001F7228">
      <w:r w:rsidRPr="00345871">
        <w:t xml:space="preserve">Liabilities on open account owing to private persons, firms, or corporations for goods and services received by the </w:t>
      </w:r>
      <w:r w:rsidR="005E3BE3">
        <w:t>district</w:t>
      </w:r>
      <w:r w:rsidRPr="00345871">
        <w:t xml:space="preserve"> but not including amounts due to other funds of the same </w:t>
      </w:r>
      <w:r w:rsidR="005E3BE3">
        <w:t>district</w:t>
      </w:r>
      <w:r w:rsidRPr="00345871">
        <w:t xml:space="preserve"> or to other governmental units.</w:t>
      </w:r>
    </w:p>
    <w:p w14:paraId="364B1A77" w14:textId="77777777" w:rsidR="001F7228" w:rsidRPr="00C058AF" w:rsidRDefault="001F7228" w:rsidP="001F7228">
      <w:pPr>
        <w:pStyle w:val="Heading4"/>
      </w:pPr>
      <w:r w:rsidRPr="00345871">
        <w:t>21000</w:t>
      </w:r>
      <w:r w:rsidRPr="00345871">
        <w:tab/>
        <w:t>Interest Payable</w:t>
      </w:r>
    </w:p>
    <w:p w14:paraId="7A431A66" w14:textId="77777777" w:rsidR="001F7228" w:rsidRPr="00345871" w:rsidRDefault="001F7228" w:rsidP="001F7228">
      <w:pPr>
        <w:rPr>
          <w:bCs/>
          <w:color w:val="333399"/>
        </w:rPr>
      </w:pPr>
      <w:r w:rsidRPr="00345871">
        <w:t>Interest due to be paid within one year.</w:t>
      </w:r>
    </w:p>
    <w:p w14:paraId="7B58ACB8" w14:textId="77777777" w:rsidR="001F7228" w:rsidRDefault="001F7228" w:rsidP="001F7228">
      <w:pPr>
        <w:pStyle w:val="Heading4"/>
      </w:pPr>
      <w:r>
        <w:t>22000</w:t>
      </w:r>
      <w:r>
        <w:tab/>
        <w:t>Unearned Revenue</w:t>
      </w:r>
    </w:p>
    <w:p w14:paraId="13E6FDD1" w14:textId="77777777" w:rsidR="001F7228" w:rsidRPr="00345871" w:rsidRDefault="001F7228" w:rsidP="001F7228">
      <w:pPr>
        <w:rPr>
          <w:bCs/>
          <w:color w:val="333399"/>
        </w:rPr>
      </w:pPr>
      <w:r w:rsidRPr="00345871">
        <w:t>Relates to cash or payment received for which the recognition of revenue is deferred or allocated to another financial period or periods.</w:t>
      </w:r>
    </w:p>
    <w:p w14:paraId="1FA3EEDA" w14:textId="77777777" w:rsidR="001F7228" w:rsidRDefault="001F7228" w:rsidP="001F7228">
      <w:pPr>
        <w:pStyle w:val="Heading4"/>
      </w:pPr>
      <w:r w:rsidRPr="00345871">
        <w:t>23000</w:t>
      </w:r>
      <w:r w:rsidRPr="00345871">
        <w:tab/>
        <w:t>Current</w:t>
      </w:r>
      <w:r>
        <w:t xml:space="preserve"> Portion of Long Term Payables</w:t>
      </w:r>
    </w:p>
    <w:p w14:paraId="6F0EF650" w14:textId="77777777" w:rsidR="001F7228" w:rsidRPr="00345871" w:rsidRDefault="001F7228" w:rsidP="001F7228">
      <w:pPr>
        <w:rPr>
          <w:bCs/>
          <w:color w:val="333399"/>
        </w:rPr>
      </w:pPr>
      <w:r w:rsidRPr="00345871">
        <w:t>Represents the total amount of long-term liabilities that must be repaid within one year.</w:t>
      </w:r>
    </w:p>
    <w:p w14:paraId="2C0C4217" w14:textId="77777777" w:rsidR="001F7228" w:rsidRDefault="001F7228" w:rsidP="001F7228">
      <w:pPr>
        <w:pStyle w:val="Heading4"/>
      </w:pPr>
      <w:r>
        <w:t xml:space="preserve">24000 </w:t>
      </w:r>
      <w:r>
        <w:tab/>
        <w:t>Non-current Liabil</w:t>
      </w:r>
      <w:r w:rsidRPr="00C058AF">
        <w:t>i</w:t>
      </w:r>
      <w:r>
        <w:t>ties</w:t>
      </w:r>
    </w:p>
    <w:p w14:paraId="6D503CE7" w14:textId="77777777" w:rsidR="001F7228" w:rsidRPr="00345871" w:rsidRDefault="001F7228" w:rsidP="001F7228">
      <w:r w:rsidRPr="00345871">
        <w:t>Bonds that have not reached or passed their maturity date but are due within one year or more.  Includes general obligation bonds, bond anticipation notes, and other similar debt.  Also includes capital leases, net pension obligations, and amortized premiums and discounts.</w:t>
      </w:r>
    </w:p>
    <w:p w14:paraId="3A3D4DDF" w14:textId="77777777" w:rsidR="001F7228" w:rsidRDefault="001F7228" w:rsidP="001F7228">
      <w:pPr>
        <w:pStyle w:val="Heading4"/>
      </w:pPr>
      <w:r w:rsidRPr="00345871">
        <w:t>25000</w:t>
      </w:r>
      <w:r w:rsidRPr="00345871">
        <w:tab/>
        <w:t>Other Liabilities</w:t>
      </w:r>
    </w:p>
    <w:p w14:paraId="5CE149D6" w14:textId="77777777" w:rsidR="001F7228" w:rsidRPr="00345871" w:rsidRDefault="001F7228" w:rsidP="001F7228">
      <w:r w:rsidRPr="00345871">
        <w:t>Includes items such as current obligations for capital leases, judgments and claims, compensated absences, deposits received as a requisite for providing goods or services, and other liabilities not properly recorded elsewhere.</w:t>
      </w:r>
    </w:p>
    <w:p w14:paraId="49DA912D" w14:textId="77777777" w:rsidR="001F7228" w:rsidRDefault="001F7228" w:rsidP="001F7228">
      <w:pPr>
        <w:pStyle w:val="Heading4"/>
      </w:pPr>
      <w:r w:rsidRPr="00345871">
        <w:t>26000</w:t>
      </w:r>
      <w:r w:rsidRPr="00345871">
        <w:tab/>
        <w:t>Deferred Inflows</w:t>
      </w:r>
    </w:p>
    <w:p w14:paraId="61003D8B" w14:textId="77777777" w:rsidR="001F7228" w:rsidRPr="00345871" w:rsidRDefault="001F7228" w:rsidP="001F7228">
      <w:pPr>
        <w:rPr>
          <w:bCs/>
          <w:color w:val="333399"/>
        </w:rPr>
      </w:pPr>
      <w:r w:rsidRPr="00345871">
        <w:t>The current acquisition of net assets that is applicable to a future reporting period.</w:t>
      </w:r>
    </w:p>
    <w:p w14:paraId="6145E14D" w14:textId="77777777" w:rsidR="001F7228" w:rsidRDefault="001F7228" w:rsidP="001F7228">
      <w:pPr>
        <w:pStyle w:val="Heading3"/>
      </w:pPr>
      <w:bookmarkStart w:id="15" w:name="_Toc464209570"/>
      <w:r>
        <w:lastRenderedPageBreak/>
        <w:t>Balance Sheet Code Definitions – Equity</w:t>
      </w:r>
      <w:bookmarkEnd w:id="15"/>
      <w:r>
        <w:t xml:space="preserve"> </w:t>
      </w:r>
    </w:p>
    <w:p w14:paraId="676420DA" w14:textId="77777777" w:rsidR="001F7228" w:rsidRDefault="001F7228" w:rsidP="001F7228">
      <w:pPr>
        <w:pStyle w:val="Heading4"/>
      </w:pPr>
      <w:r w:rsidRPr="00345871">
        <w:t>30000</w:t>
      </w:r>
      <w:r w:rsidRPr="00345871">
        <w:tab/>
        <w:t>Fund Balance – Non-Spendable</w:t>
      </w:r>
    </w:p>
    <w:p w14:paraId="074D4B40"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Non-Spendable.  Refer to GASB 54 for definitions and requirements.</w:t>
      </w:r>
    </w:p>
    <w:p w14:paraId="3B4C99FC" w14:textId="77777777" w:rsidR="001F7228" w:rsidRDefault="001F7228" w:rsidP="001F7228">
      <w:pPr>
        <w:pStyle w:val="Heading4"/>
      </w:pPr>
      <w:r w:rsidRPr="00345871">
        <w:t>31000</w:t>
      </w:r>
      <w:r w:rsidRPr="00345871">
        <w:tab/>
        <w:t>Fund Balance – Restricted</w:t>
      </w:r>
    </w:p>
    <w:p w14:paraId="04BC3A2F"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Restricted.  Refer to GASB 54 for definitions and requirements.</w:t>
      </w:r>
    </w:p>
    <w:p w14:paraId="4410C430" w14:textId="77777777" w:rsidR="001F7228" w:rsidRDefault="001F7228" w:rsidP="001F7228">
      <w:pPr>
        <w:pStyle w:val="Heading4"/>
      </w:pPr>
      <w:r w:rsidRPr="00345871">
        <w:t>32000</w:t>
      </w:r>
      <w:r w:rsidRPr="00345871">
        <w:tab/>
        <w:t>Fund Balance – Committed</w:t>
      </w:r>
    </w:p>
    <w:p w14:paraId="5243383C"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Committed.  Refer to GASB 54 for definitions and requirements.</w:t>
      </w:r>
    </w:p>
    <w:p w14:paraId="77D1249E" w14:textId="77777777" w:rsidR="001F7228" w:rsidRDefault="001F7228" w:rsidP="001F7228">
      <w:pPr>
        <w:pStyle w:val="Heading4"/>
      </w:pPr>
      <w:r>
        <w:t>33000</w:t>
      </w:r>
      <w:r>
        <w:tab/>
        <w:t>Fund Balance – Assigned</w:t>
      </w:r>
    </w:p>
    <w:p w14:paraId="2D76C4E6" w14:textId="77777777" w:rsidR="001F7228" w:rsidRPr="00345871" w:rsidRDefault="001F7228" w:rsidP="001F7228">
      <w:pPr>
        <w:rPr>
          <w:b/>
          <w:bCs/>
          <w:color w:val="333399"/>
        </w:rPr>
      </w:pPr>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Assigned.  Refer to GASB 54 for definitions and requirements.</w:t>
      </w:r>
    </w:p>
    <w:p w14:paraId="406C7D01" w14:textId="77777777" w:rsidR="001F7228" w:rsidRDefault="001F7228" w:rsidP="001F7228">
      <w:pPr>
        <w:pStyle w:val="Heading4"/>
      </w:pPr>
      <w:r w:rsidRPr="00345871">
        <w:t>34000</w:t>
      </w:r>
      <w:r w:rsidRPr="00345871">
        <w:tab/>
        <w:t>Fund Balance – Unassigned</w:t>
      </w:r>
    </w:p>
    <w:p w14:paraId="1D0453DA" w14:textId="77777777" w:rsidR="001F7228" w:rsidRPr="00345871" w:rsidRDefault="001F7228" w:rsidP="001F7228">
      <w:r w:rsidRPr="00345871">
        <w:t>Required Fund Balance accounts to be used in compliance with GASB</w:t>
      </w:r>
      <w:r w:rsidRPr="00345871">
        <w:fldChar w:fldCharType="begin"/>
      </w:r>
      <w:r w:rsidRPr="00345871">
        <w:instrText xml:space="preserve"> XE "GASB" </w:instrText>
      </w:r>
      <w:r w:rsidRPr="00345871">
        <w:fldChar w:fldCharType="end"/>
      </w:r>
      <w:r w:rsidRPr="00345871">
        <w:t xml:space="preserve"> 54</w:t>
      </w:r>
      <w:r w:rsidRPr="00345871">
        <w:fldChar w:fldCharType="begin"/>
      </w:r>
      <w:r w:rsidRPr="00345871">
        <w:instrText xml:space="preserve"> XE "GASB 54" </w:instrText>
      </w:r>
      <w:r w:rsidRPr="00345871">
        <w:fldChar w:fldCharType="end"/>
      </w:r>
      <w:r w:rsidRPr="00345871">
        <w:t xml:space="preserve"> for amounts that meet the definition of Unassigned.  Refer to GASB 54 for definitions and requirements.</w:t>
      </w:r>
    </w:p>
    <w:p w14:paraId="4A11866C" w14:textId="77777777" w:rsidR="001F7228" w:rsidRDefault="001F7228" w:rsidP="001F7228">
      <w:pPr>
        <w:pStyle w:val="Heading4"/>
      </w:pPr>
      <w:r w:rsidRPr="00345871">
        <w:t>35000</w:t>
      </w:r>
      <w:r w:rsidRPr="00345871">
        <w:tab/>
        <w:t>Net Position – General Government</w:t>
      </w:r>
    </w:p>
    <w:p w14:paraId="1D5EA7DE" w14:textId="3CC7CD74" w:rsidR="001F7228" w:rsidRPr="00345871" w:rsidRDefault="001F7228" w:rsidP="001F7228">
      <w:r w:rsidRPr="00345871">
        <w:t xml:space="preserve">The excess of assets </w:t>
      </w:r>
      <w:r>
        <w:t xml:space="preserve">and deferred outflows </w:t>
      </w:r>
      <w:r w:rsidRPr="00345871">
        <w:t>over liabilities</w:t>
      </w:r>
      <w:r>
        <w:t xml:space="preserve"> and deferred inflows</w:t>
      </w:r>
      <w:r w:rsidRPr="00345871">
        <w:t xml:space="preserve"> of all fund types</w:t>
      </w:r>
      <w:r w:rsidRPr="00345871">
        <w:fldChar w:fldCharType="begin"/>
      </w:r>
      <w:r w:rsidRPr="00345871">
        <w:instrText xml:space="preserve"> XE "</w:instrText>
      </w:r>
      <w:r w:rsidRPr="00345871">
        <w:rPr>
          <w:szCs w:val="22"/>
        </w:rPr>
        <w:instrText>Proprietary Funds"</w:instrText>
      </w:r>
      <w:r w:rsidRPr="00345871">
        <w:instrText xml:space="preserve"> </w:instrText>
      </w:r>
      <w:r w:rsidRPr="00345871">
        <w:fldChar w:fldCharType="end"/>
      </w:r>
      <w:r w:rsidRPr="00345871">
        <w:t xml:space="preserve">.  Can include reserves for encumbrances and for other purposes as designated by the </w:t>
      </w:r>
      <w:r w:rsidR="005E3BE3">
        <w:t>district</w:t>
      </w:r>
      <w:r w:rsidRPr="00345871">
        <w:t xml:space="preserve">.  For use with Governmental </w:t>
      </w:r>
      <w:r>
        <w:t>and Business type activities, Proprietary Funds and Trust Funds</w:t>
      </w:r>
      <w:r w:rsidRPr="00345871">
        <w:t>.</w:t>
      </w:r>
    </w:p>
    <w:p w14:paraId="535A9FD4" w14:textId="77777777" w:rsidR="001F7228" w:rsidRDefault="001F7228" w:rsidP="001F7228">
      <w:pPr>
        <w:pStyle w:val="Heading4"/>
      </w:pPr>
      <w:r w:rsidRPr="00345871">
        <w:t>39000</w:t>
      </w:r>
      <w:r w:rsidRPr="00345871">
        <w:tab/>
        <w:t>System Control Accounts</w:t>
      </w:r>
    </w:p>
    <w:p w14:paraId="56B259FC" w14:textId="77777777" w:rsidR="001F7228" w:rsidRPr="001F7228" w:rsidRDefault="001F7228" w:rsidP="001F7228">
      <w:pPr>
        <w:sectPr w:rsidR="001F7228" w:rsidRPr="001F7228" w:rsidSect="00593CCB">
          <w:footerReference w:type="default" r:id="rId16"/>
          <w:pgSz w:w="12240" w:h="15840"/>
          <w:pgMar w:top="1440" w:right="1440" w:bottom="1440" w:left="1440" w:header="720" w:footer="720" w:gutter="0"/>
          <w:cols w:space="720"/>
          <w:docGrid w:linePitch="360"/>
        </w:sectPr>
      </w:pPr>
      <w:r w:rsidRPr="00345871">
        <w:t>Reflects the total balances of rela</w:t>
      </w:r>
      <w:r>
        <w:t>ted subsidiary-ledger accounts.</w:t>
      </w:r>
    </w:p>
    <w:p w14:paraId="13330DD0" w14:textId="209F6D3D" w:rsidR="00876384" w:rsidRDefault="00A430D5" w:rsidP="00A430D5">
      <w:pPr>
        <w:pStyle w:val="Heading1"/>
        <w:numPr>
          <w:ilvl w:val="0"/>
          <w:numId w:val="0"/>
        </w:numPr>
      </w:pPr>
      <w:bookmarkStart w:id="16" w:name="_Toc464209571"/>
      <w:bookmarkEnd w:id="11"/>
      <w:r>
        <w:lastRenderedPageBreak/>
        <w:t xml:space="preserve">Appendix </w:t>
      </w:r>
      <w:r w:rsidR="00CE00A8">
        <w:t>B</w:t>
      </w:r>
      <w:r>
        <w:t xml:space="preserve"> – </w:t>
      </w:r>
      <w:r w:rsidR="00876384">
        <w:t>Guidance for Charter Schools</w:t>
      </w:r>
      <w:bookmarkEnd w:id="16"/>
    </w:p>
    <w:p w14:paraId="28A5A24E" w14:textId="77777777" w:rsidR="00876384" w:rsidRDefault="00876384" w:rsidP="00876384">
      <w:pPr>
        <w:pStyle w:val="Heading2"/>
      </w:pPr>
      <w:bookmarkStart w:id="17" w:name="_Toc464209572"/>
      <w:r>
        <w:t>GAAP for Charter Schools</w:t>
      </w:r>
      <w:bookmarkEnd w:id="17"/>
    </w:p>
    <w:p w14:paraId="75505796" w14:textId="77777777" w:rsidR="00876384" w:rsidRPr="00AC2188" w:rsidRDefault="00876384" w:rsidP="00876384">
      <w:pPr>
        <w:spacing w:after="240"/>
        <w:rPr>
          <w:szCs w:val="22"/>
        </w:rPr>
      </w:pPr>
      <w:r w:rsidRPr="00AC2188">
        <w:rPr>
          <w:szCs w:val="22"/>
        </w:rPr>
        <w:t xml:space="preserve">Governmental agencies, such as traditional school districts and regional offices of education, use the governmental fund accounting model and the modified accrual basis of accounting for their governmental activities.  Charter schools that are </w:t>
      </w:r>
      <w:r w:rsidRPr="00AC2188">
        <w:rPr>
          <w:szCs w:val="22"/>
          <w:u w:val="single"/>
        </w:rPr>
        <w:t>governmental</w:t>
      </w:r>
      <w:r w:rsidRPr="00AC2188">
        <w:rPr>
          <w:szCs w:val="22"/>
        </w:rPr>
        <w:t xml:space="preserve"> use this basis of accounting.  The authoritative source of generally accepted accounting principles (GAAP</w:t>
      </w:r>
      <w:r w:rsidRPr="00AC2188">
        <w:rPr>
          <w:szCs w:val="22"/>
        </w:rPr>
        <w:fldChar w:fldCharType="begin"/>
      </w:r>
      <w:r w:rsidRPr="00AC2188">
        <w:rPr>
          <w:szCs w:val="22"/>
        </w:rPr>
        <w:instrText xml:space="preserve"> XE "GAAP (Generally Accepted Accounting Principles)" </w:instrText>
      </w:r>
      <w:r w:rsidRPr="00AC2188">
        <w:rPr>
          <w:szCs w:val="22"/>
        </w:rPr>
        <w:fldChar w:fldCharType="end"/>
      </w:r>
      <w:r w:rsidRPr="00AC2188">
        <w:rPr>
          <w:szCs w:val="22"/>
        </w:rPr>
        <w:t>) for this model is the Governmental Accounting</w:t>
      </w:r>
      <w:r w:rsidRPr="00AC2188">
        <w:rPr>
          <w:szCs w:val="22"/>
        </w:rPr>
        <w:fldChar w:fldCharType="begin"/>
      </w:r>
      <w:r w:rsidRPr="00AC2188">
        <w:rPr>
          <w:szCs w:val="22"/>
        </w:rPr>
        <w:instrText xml:space="preserve"> XE "Governmental Accounting Principles" </w:instrText>
      </w:r>
      <w:r w:rsidRPr="00AC2188">
        <w:rPr>
          <w:szCs w:val="22"/>
        </w:rPr>
        <w:fldChar w:fldCharType="end"/>
      </w:r>
      <w:r w:rsidRPr="00AC2188">
        <w:rPr>
          <w:szCs w:val="22"/>
        </w:rPr>
        <w:t xml:space="preserve"> Standards Board (GASB</w:t>
      </w:r>
      <w:r w:rsidRPr="00AC2188">
        <w:rPr>
          <w:szCs w:val="22"/>
        </w:rPr>
        <w:fldChar w:fldCharType="begin"/>
      </w:r>
      <w:r w:rsidRPr="00AC2188">
        <w:rPr>
          <w:szCs w:val="22"/>
        </w:rPr>
        <w:instrText xml:space="preserve"> XE "GASB" </w:instrText>
      </w:r>
      <w:r w:rsidRPr="00AC2188">
        <w:rPr>
          <w:szCs w:val="22"/>
        </w:rPr>
        <w:fldChar w:fldCharType="end"/>
      </w:r>
      <w:r w:rsidRPr="00AC2188">
        <w:rPr>
          <w:szCs w:val="22"/>
        </w:rPr>
        <w:t>).</w:t>
      </w:r>
    </w:p>
    <w:p w14:paraId="263CF9C0" w14:textId="77777777" w:rsidR="00876384" w:rsidRPr="00AC2188" w:rsidRDefault="00876384" w:rsidP="00876384">
      <w:pPr>
        <w:spacing w:after="240"/>
        <w:rPr>
          <w:szCs w:val="22"/>
        </w:rPr>
      </w:pPr>
      <w:r w:rsidRPr="00AC2188">
        <w:rPr>
          <w:szCs w:val="22"/>
        </w:rPr>
        <w:t>Not-for-profit Charter Schools</w:t>
      </w:r>
      <w:r w:rsidRPr="00AC2188">
        <w:rPr>
          <w:szCs w:val="22"/>
        </w:rPr>
        <w:fldChar w:fldCharType="begin"/>
      </w:r>
      <w:r w:rsidRPr="00AC2188">
        <w:rPr>
          <w:szCs w:val="22"/>
        </w:rPr>
        <w:instrText xml:space="preserve"> XE "Charter Schools" </w:instrText>
      </w:r>
      <w:r w:rsidRPr="00AC2188">
        <w:rPr>
          <w:szCs w:val="22"/>
        </w:rPr>
        <w:fldChar w:fldCharType="end"/>
      </w:r>
      <w:r w:rsidRPr="00AC2188">
        <w:rPr>
          <w:szCs w:val="22"/>
        </w:rPr>
        <w:t xml:space="preserve"> that operate as, or are operated by, a nonprofit public benefit corporation pursuant to Section 501(c) (3) of the </w:t>
      </w:r>
      <w:r w:rsidRPr="00AC2188">
        <w:rPr>
          <w:i/>
          <w:iCs/>
          <w:szCs w:val="22"/>
        </w:rPr>
        <w:t>Internal Revenue Code</w:t>
      </w:r>
      <w:r w:rsidRPr="00AC2188">
        <w:rPr>
          <w:szCs w:val="22"/>
        </w:rPr>
        <w:t xml:space="preserve"> typically use the not-for-profit accounting model and the accrual basis of accounting.  The authoritative source of GAAP</w:t>
      </w:r>
      <w:r w:rsidRPr="00AC2188">
        <w:rPr>
          <w:szCs w:val="22"/>
        </w:rPr>
        <w:fldChar w:fldCharType="begin"/>
      </w:r>
      <w:r w:rsidRPr="00AC2188">
        <w:rPr>
          <w:szCs w:val="22"/>
        </w:rPr>
        <w:instrText xml:space="preserve"> XE "GAAP (Generally Accepted Accounting Principles)" </w:instrText>
      </w:r>
      <w:r w:rsidRPr="00AC2188">
        <w:rPr>
          <w:szCs w:val="22"/>
        </w:rPr>
        <w:fldChar w:fldCharType="end"/>
      </w:r>
      <w:r w:rsidRPr="00AC2188">
        <w:rPr>
          <w:szCs w:val="22"/>
        </w:rPr>
        <w:t xml:space="preserve"> for this model is the Financial Accounting Standards Board (FASB).</w:t>
      </w:r>
    </w:p>
    <w:p w14:paraId="0C45EFBA" w14:textId="77777777" w:rsidR="00876384" w:rsidRPr="00AC2188" w:rsidRDefault="00876384" w:rsidP="00876384">
      <w:pPr>
        <w:spacing w:after="240"/>
        <w:rPr>
          <w:szCs w:val="22"/>
        </w:rPr>
      </w:pPr>
      <w:r w:rsidRPr="00AC2188">
        <w:rPr>
          <w:szCs w:val="22"/>
        </w:rPr>
        <w:t>The not-for-profit model more closely resembles private-sector (for-profit) accounting than governmental fund accounting.  Nongovernmental not-for-profit entities using this model present external financial statements consisting of a Statement of Financial Position, a Statement of Activities, a Statement of Cash Flows, and Notes to the Financial Statements.</w:t>
      </w:r>
    </w:p>
    <w:p w14:paraId="720A7627" w14:textId="77777777" w:rsidR="00876384" w:rsidRPr="005504F3" w:rsidRDefault="00876384" w:rsidP="00876384">
      <w:pPr>
        <w:pStyle w:val="Heading2"/>
      </w:pPr>
      <w:bookmarkStart w:id="18" w:name="_Toc295811091"/>
      <w:bookmarkStart w:id="19" w:name="_Toc370908088"/>
      <w:bookmarkStart w:id="20" w:name="_Toc464209573"/>
      <w:r w:rsidRPr="005504F3">
        <w:t xml:space="preserve">Formats for Reporting Charter School Financial Data to </w:t>
      </w:r>
      <w:bookmarkEnd w:id="18"/>
      <w:r w:rsidRPr="005504F3">
        <w:t>SDE</w:t>
      </w:r>
      <w:bookmarkEnd w:id="19"/>
      <w:bookmarkEnd w:id="20"/>
    </w:p>
    <w:p w14:paraId="1663B03B" w14:textId="34EC96F4" w:rsidR="00876384" w:rsidRPr="005504F3" w:rsidRDefault="00876384" w:rsidP="00876384">
      <w:pPr>
        <w:spacing w:after="240"/>
        <w:rPr>
          <w:szCs w:val="22"/>
        </w:rPr>
      </w:pPr>
      <w:r w:rsidRPr="005504F3">
        <w:rPr>
          <w:szCs w:val="22"/>
        </w:rPr>
        <w:t>All Charter Schools</w:t>
      </w:r>
      <w:r w:rsidRPr="005504F3">
        <w:rPr>
          <w:szCs w:val="22"/>
        </w:rPr>
        <w:fldChar w:fldCharType="begin"/>
      </w:r>
      <w:r w:rsidRPr="005504F3">
        <w:rPr>
          <w:szCs w:val="22"/>
        </w:rPr>
        <w:instrText xml:space="preserve"> XE "Charter Schools" </w:instrText>
      </w:r>
      <w:r w:rsidRPr="005504F3">
        <w:rPr>
          <w:szCs w:val="22"/>
        </w:rPr>
        <w:fldChar w:fldCharType="end"/>
      </w:r>
      <w:r w:rsidRPr="005504F3">
        <w:rPr>
          <w:szCs w:val="22"/>
        </w:rPr>
        <w:t xml:space="preserve">, irrespective of the method of accounting used for its external and internal reporting purposes, will follow the requirements of the UCOA when reporting data to </w:t>
      </w:r>
      <w:r w:rsidR="00AD5766">
        <w:rPr>
          <w:szCs w:val="22"/>
        </w:rPr>
        <w:t>C</w:t>
      </w:r>
      <w:r w:rsidRPr="005504F3">
        <w:rPr>
          <w:szCs w:val="22"/>
        </w:rPr>
        <w:t>SDE.  If a Charter School follows FASB guidelines, the affected accounts that differ from GASB</w:t>
      </w:r>
      <w:r w:rsidRPr="005504F3">
        <w:rPr>
          <w:szCs w:val="22"/>
        </w:rPr>
        <w:fldChar w:fldCharType="begin"/>
      </w:r>
      <w:r w:rsidRPr="005504F3">
        <w:rPr>
          <w:szCs w:val="22"/>
        </w:rPr>
        <w:instrText xml:space="preserve"> XE "GASB" </w:instrText>
      </w:r>
      <w:r w:rsidRPr="005504F3">
        <w:rPr>
          <w:szCs w:val="22"/>
        </w:rPr>
        <w:fldChar w:fldCharType="end"/>
      </w:r>
      <w:r w:rsidRPr="005504F3">
        <w:rPr>
          <w:szCs w:val="22"/>
        </w:rPr>
        <w:t xml:space="preserve"> guidelines must be modified prior to reporting to </w:t>
      </w:r>
      <w:r w:rsidR="00AD5766">
        <w:rPr>
          <w:szCs w:val="22"/>
        </w:rPr>
        <w:t>C</w:t>
      </w:r>
      <w:r w:rsidRPr="005504F3">
        <w:rPr>
          <w:szCs w:val="22"/>
        </w:rPr>
        <w:t>SDE.</w:t>
      </w:r>
    </w:p>
    <w:p w14:paraId="096C76DE" w14:textId="77777777" w:rsidR="00876384" w:rsidRPr="005504F3" w:rsidRDefault="00876384" w:rsidP="00876384">
      <w:pPr>
        <w:spacing w:after="240"/>
        <w:rPr>
          <w:szCs w:val="22"/>
        </w:rPr>
      </w:pPr>
      <w:r w:rsidRPr="005504F3">
        <w:rPr>
          <w:szCs w:val="22"/>
        </w:rPr>
        <w:t>Charter Schools</w:t>
      </w:r>
      <w:r w:rsidRPr="005504F3">
        <w:rPr>
          <w:szCs w:val="22"/>
        </w:rPr>
        <w:fldChar w:fldCharType="begin"/>
      </w:r>
      <w:r w:rsidRPr="005504F3">
        <w:rPr>
          <w:szCs w:val="22"/>
        </w:rPr>
        <w:instrText xml:space="preserve"> XE "Charter Schools" </w:instrText>
      </w:r>
      <w:r w:rsidRPr="005504F3">
        <w:rPr>
          <w:szCs w:val="22"/>
        </w:rPr>
        <w:fldChar w:fldCharType="end"/>
      </w:r>
      <w:r w:rsidRPr="005504F3">
        <w:rPr>
          <w:szCs w:val="22"/>
        </w:rPr>
        <w:t xml:space="preserve"> are not required to physically record these changes in their accounting records, but must modify the data to be uploaded to </w:t>
      </w:r>
      <w:r w:rsidR="00AD5766">
        <w:rPr>
          <w:szCs w:val="22"/>
        </w:rPr>
        <w:t>C</w:t>
      </w:r>
      <w:r w:rsidRPr="005504F3">
        <w:rPr>
          <w:szCs w:val="22"/>
        </w:rPr>
        <w:t>SDE and must maintain an adequate record of the modifications made for audit purposes.</w:t>
      </w:r>
    </w:p>
    <w:p w14:paraId="7B69B7AB" w14:textId="77777777" w:rsidR="00876384" w:rsidRDefault="00876384" w:rsidP="00876384"/>
    <w:p w14:paraId="3A065355" w14:textId="53832364" w:rsidR="00F5751D" w:rsidRDefault="00ED1502" w:rsidP="00ED1502">
      <w:pPr>
        <w:jc w:val="center"/>
        <w:rPr>
          <w:b/>
        </w:rPr>
      </w:pPr>
      <w:r>
        <w:t>*********</w:t>
      </w:r>
    </w:p>
    <w:sectPr w:rsidR="00F5751D" w:rsidSect="00E3138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15353" w14:textId="77777777" w:rsidR="000A408B" w:rsidRDefault="000A408B" w:rsidP="00DD3A0B">
      <w:pPr>
        <w:spacing w:after="0"/>
      </w:pPr>
      <w:r>
        <w:separator/>
      </w:r>
    </w:p>
  </w:endnote>
  <w:endnote w:type="continuationSeparator" w:id="0">
    <w:p w14:paraId="1741BF95" w14:textId="77777777" w:rsidR="000A408B" w:rsidRDefault="000A408B" w:rsidP="00DD3A0B">
      <w:pPr>
        <w:spacing w:after="0"/>
      </w:pPr>
      <w:r>
        <w:continuationSeparator/>
      </w:r>
    </w:p>
  </w:endnote>
  <w:endnote w:type="continuationNotice" w:id="1">
    <w:p w14:paraId="7BC25D5A" w14:textId="77777777" w:rsidR="000A408B" w:rsidRDefault="000A4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23F5" w14:textId="1543E633" w:rsidR="00ED3511" w:rsidRDefault="001F0DE1" w:rsidP="0093135C">
    <w:pPr>
      <w:pStyle w:val="Footer"/>
      <w:jc w:val="right"/>
    </w:pPr>
    <w:r>
      <w:t>October</w:t>
    </w:r>
    <w:r w:rsidR="00ED3511">
      <w:t xml:space="preserve"> 2016</w:t>
    </w:r>
  </w:p>
  <w:p w14:paraId="3C44F47D" w14:textId="77777777" w:rsidR="00ED3511" w:rsidRDefault="00ED3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6C5E" w14:textId="02C73EC6" w:rsidR="00ED3511" w:rsidRDefault="00ED3511" w:rsidP="00A751B8">
    <w:r>
      <w:ptab w:relativeTo="margin" w:alignment="right" w:leader="none"/>
    </w:r>
    <w:r w:rsidRPr="00BD1E4C">
      <w:fldChar w:fldCharType="begin"/>
    </w:r>
    <w:r w:rsidRPr="00BD1E4C">
      <w:instrText xml:space="preserve"> PAGE   \* MERGEFORMAT </w:instrText>
    </w:r>
    <w:r w:rsidRPr="00BD1E4C">
      <w:fldChar w:fldCharType="separate"/>
    </w:r>
    <w:r w:rsidR="00911A1C">
      <w:rPr>
        <w:noProof/>
      </w:rPr>
      <w:t>1</w:t>
    </w:r>
    <w:r w:rsidRPr="00BD1E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3BB0" w14:textId="5BA4DAD1" w:rsidR="00ED3511" w:rsidRDefault="00ED3511" w:rsidP="00B741C1">
    <w:pPr>
      <w:pStyle w:val="Footer"/>
      <w:jc w:val="right"/>
    </w:pPr>
    <w:r w:rsidRPr="00BD1E4C">
      <w:fldChar w:fldCharType="begin"/>
    </w:r>
    <w:r w:rsidRPr="00BD1E4C">
      <w:instrText xml:space="preserve"> PAGE   \* MERGEFORMAT </w:instrText>
    </w:r>
    <w:r w:rsidRPr="00BD1E4C">
      <w:fldChar w:fldCharType="separate"/>
    </w:r>
    <w:r w:rsidR="00911A1C">
      <w:rPr>
        <w:noProof/>
      </w:rPr>
      <w:t>10</w:t>
    </w:r>
    <w:r w:rsidRPr="00BD1E4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9F7F" w14:textId="77777777" w:rsidR="00ED3511" w:rsidRDefault="00ED3511">
    <w:pPr>
      <w:pStyle w:val="Footer"/>
    </w:pPr>
  </w:p>
  <w:p w14:paraId="034191F3" w14:textId="77777777" w:rsidR="00ED3511" w:rsidRDefault="00ED3511" w:rsidP="00BD1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6F0ED" w14:textId="77777777" w:rsidR="000A408B" w:rsidRDefault="000A408B" w:rsidP="00DD3A0B">
      <w:pPr>
        <w:spacing w:after="0"/>
      </w:pPr>
      <w:r>
        <w:separator/>
      </w:r>
    </w:p>
  </w:footnote>
  <w:footnote w:type="continuationSeparator" w:id="0">
    <w:p w14:paraId="4A28A07E" w14:textId="77777777" w:rsidR="000A408B" w:rsidRDefault="000A408B" w:rsidP="00DD3A0B">
      <w:pPr>
        <w:spacing w:after="0"/>
      </w:pPr>
      <w:r>
        <w:continuationSeparator/>
      </w:r>
    </w:p>
  </w:footnote>
  <w:footnote w:type="continuationNotice" w:id="1">
    <w:p w14:paraId="45056111" w14:textId="77777777" w:rsidR="000A408B" w:rsidRDefault="000A40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5E2817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6601C2"/>
    <w:multiLevelType w:val="hybridMultilevel"/>
    <w:tmpl w:val="5E94ED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2A94DDC"/>
    <w:multiLevelType w:val="hybridMultilevel"/>
    <w:tmpl w:val="53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D532E"/>
    <w:multiLevelType w:val="hybridMultilevel"/>
    <w:tmpl w:val="A6E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D0D1B"/>
    <w:multiLevelType w:val="hybridMultilevel"/>
    <w:tmpl w:val="D1AC3B4E"/>
    <w:lvl w:ilvl="0" w:tplc="04090003">
      <w:start w:val="1"/>
      <w:numFmt w:val="bullet"/>
      <w:lvlText w:val="o"/>
      <w:lvlJc w:val="left"/>
      <w:pPr>
        <w:ind w:left="1458" w:hanging="360"/>
      </w:pPr>
      <w:rPr>
        <w:rFonts w:ascii="Courier New" w:hAnsi="Courier New" w:cs="Courier New"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 w15:restartNumberingAfterBreak="0">
    <w:nsid w:val="11651131"/>
    <w:multiLevelType w:val="hybridMultilevel"/>
    <w:tmpl w:val="651406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55959"/>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5E71BC"/>
    <w:multiLevelType w:val="hybridMultilevel"/>
    <w:tmpl w:val="05F4BB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A90322B"/>
    <w:multiLevelType w:val="hybridMultilevel"/>
    <w:tmpl w:val="5860F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F77F4"/>
    <w:multiLevelType w:val="hybridMultilevel"/>
    <w:tmpl w:val="58DAF6C8"/>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CEA687E"/>
    <w:multiLevelType w:val="hybridMultilevel"/>
    <w:tmpl w:val="027CB5A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1E530233"/>
    <w:multiLevelType w:val="hybridMultilevel"/>
    <w:tmpl w:val="3F72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317A9"/>
    <w:multiLevelType w:val="hybridMultilevel"/>
    <w:tmpl w:val="E57A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700CF"/>
    <w:multiLevelType w:val="hybridMultilevel"/>
    <w:tmpl w:val="8306D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BA7FCF"/>
    <w:multiLevelType w:val="hybridMultilevel"/>
    <w:tmpl w:val="0A2487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23FD5A08"/>
    <w:multiLevelType w:val="hybridMultilevel"/>
    <w:tmpl w:val="46F4902A"/>
    <w:lvl w:ilvl="0" w:tplc="CB9A8742">
      <w:start w:val="1"/>
      <w:numFmt w:val="bullet"/>
      <w:lvlText w:val=""/>
      <w:lvlJc w:val="left"/>
      <w:pPr>
        <w:tabs>
          <w:tab w:val="num" w:pos="1440"/>
        </w:tabs>
        <w:ind w:left="1440" w:hanging="360"/>
      </w:pPr>
      <w:rPr>
        <w:rFonts w:ascii="Symbol" w:hAnsi="Symbol" w:cs="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7A5C8316">
      <w:start w:val="1"/>
      <w:numFmt w:val="bullet"/>
      <w:lvlText w:val=""/>
      <w:lvlJc w:val="left"/>
      <w:pPr>
        <w:tabs>
          <w:tab w:val="num" w:pos="2880"/>
        </w:tabs>
        <w:ind w:left="2880" w:hanging="360"/>
      </w:pPr>
      <w:rPr>
        <w:rFonts w:ascii="Wingdings" w:hAnsi="Wingdings" w:cs="Wingdings" w:hint="default"/>
      </w:rPr>
    </w:lvl>
    <w:lvl w:ilvl="3" w:tplc="4252D37A">
      <w:start w:val="1"/>
      <w:numFmt w:val="bullet"/>
      <w:lvlText w:val=""/>
      <w:lvlJc w:val="left"/>
      <w:pPr>
        <w:tabs>
          <w:tab w:val="num" w:pos="3600"/>
        </w:tabs>
        <w:ind w:left="3600" w:hanging="360"/>
      </w:pPr>
      <w:rPr>
        <w:rFonts w:ascii="Symbol" w:hAnsi="Symbol" w:cs="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cs="Wingdings" w:hint="default"/>
      </w:rPr>
    </w:lvl>
    <w:lvl w:ilvl="6" w:tplc="0409000F">
      <w:start w:val="1"/>
      <w:numFmt w:val="bullet"/>
      <w:lvlText w:val=""/>
      <w:lvlJc w:val="left"/>
      <w:pPr>
        <w:tabs>
          <w:tab w:val="num" w:pos="5760"/>
        </w:tabs>
        <w:ind w:left="5760" w:hanging="360"/>
      </w:pPr>
      <w:rPr>
        <w:rFonts w:ascii="Symbol" w:hAnsi="Symbol" w:cs="Symbol" w:hint="default"/>
      </w:rPr>
    </w:lvl>
    <w:lvl w:ilvl="7" w:tplc="04090019">
      <w:start w:val="1"/>
      <w:numFmt w:val="bullet"/>
      <w:lvlText w:val="o"/>
      <w:lvlJc w:val="left"/>
      <w:pPr>
        <w:tabs>
          <w:tab w:val="num" w:pos="6480"/>
        </w:tabs>
        <w:ind w:left="6480" w:hanging="360"/>
      </w:pPr>
      <w:rPr>
        <w:rFonts w:ascii="Courier New" w:hAnsi="Courier New" w:cs="Courier New" w:hint="default"/>
      </w:rPr>
    </w:lvl>
    <w:lvl w:ilvl="8" w:tplc="0409001B">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26CB6B0B"/>
    <w:multiLevelType w:val="hybridMultilevel"/>
    <w:tmpl w:val="A5ECCA2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8823BFF"/>
    <w:multiLevelType w:val="hybridMultilevel"/>
    <w:tmpl w:val="ED4C210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88C3788"/>
    <w:multiLevelType w:val="hybridMultilevel"/>
    <w:tmpl w:val="34588D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2AC50DA3"/>
    <w:multiLevelType w:val="hybridMultilevel"/>
    <w:tmpl w:val="8F8C88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306329D"/>
    <w:multiLevelType w:val="hybridMultilevel"/>
    <w:tmpl w:val="C14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20189"/>
    <w:multiLevelType w:val="hybridMultilevel"/>
    <w:tmpl w:val="7DE65EA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3D133BFA"/>
    <w:multiLevelType w:val="hybridMultilevel"/>
    <w:tmpl w:val="363C07C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51157A8"/>
    <w:multiLevelType w:val="hybridMultilevel"/>
    <w:tmpl w:val="238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42FB0"/>
    <w:multiLevelType w:val="hybridMultilevel"/>
    <w:tmpl w:val="68ACFB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485A615C"/>
    <w:multiLevelType w:val="hybridMultilevel"/>
    <w:tmpl w:val="B7EEB5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48A100F0"/>
    <w:multiLevelType w:val="hybridMultilevel"/>
    <w:tmpl w:val="8D6AAF1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4F29290A"/>
    <w:multiLevelType w:val="hybridMultilevel"/>
    <w:tmpl w:val="25742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CE1924"/>
    <w:multiLevelType w:val="hybridMultilevel"/>
    <w:tmpl w:val="514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D110D"/>
    <w:multiLevelType w:val="hybridMultilevel"/>
    <w:tmpl w:val="8D1CF59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5F1B4B20"/>
    <w:multiLevelType w:val="hybridMultilevel"/>
    <w:tmpl w:val="7F7E7D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FD6522E"/>
    <w:multiLevelType w:val="hybridMultilevel"/>
    <w:tmpl w:val="E97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B63246"/>
    <w:multiLevelType w:val="hybridMultilevel"/>
    <w:tmpl w:val="B9847B22"/>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3" w15:restartNumberingAfterBreak="0">
    <w:nsid w:val="62B875B8"/>
    <w:multiLevelType w:val="hybridMultilevel"/>
    <w:tmpl w:val="D9A0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90995"/>
    <w:multiLevelType w:val="hybridMultilevel"/>
    <w:tmpl w:val="79C4B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0E1ED2"/>
    <w:multiLevelType w:val="hybridMultilevel"/>
    <w:tmpl w:val="21D2D4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77037E9B"/>
    <w:multiLevelType w:val="hybridMultilevel"/>
    <w:tmpl w:val="A6E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503E7"/>
    <w:multiLevelType w:val="hybridMultilevel"/>
    <w:tmpl w:val="E6C22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28"/>
  </w:num>
  <w:num w:numId="4">
    <w:abstractNumId w:val="12"/>
  </w:num>
  <w:num w:numId="5">
    <w:abstractNumId w:val="20"/>
  </w:num>
  <w:num w:numId="6">
    <w:abstractNumId w:val="37"/>
  </w:num>
  <w:num w:numId="7">
    <w:abstractNumId w:val="23"/>
  </w:num>
  <w:num w:numId="8">
    <w:abstractNumId w:val="35"/>
  </w:num>
  <w:num w:numId="9">
    <w:abstractNumId w:val="11"/>
  </w:num>
  <w:num w:numId="10">
    <w:abstractNumId w:val="13"/>
  </w:num>
  <w:num w:numId="11">
    <w:abstractNumId w:val="29"/>
  </w:num>
  <w:num w:numId="12">
    <w:abstractNumId w:val="25"/>
  </w:num>
  <w:num w:numId="13">
    <w:abstractNumId w:val="19"/>
  </w:num>
  <w:num w:numId="14">
    <w:abstractNumId w:val="15"/>
  </w:num>
  <w:num w:numId="15">
    <w:abstractNumId w:val="17"/>
  </w:num>
  <w:num w:numId="16">
    <w:abstractNumId w:val="3"/>
  </w:num>
  <w:num w:numId="17">
    <w:abstractNumId w:val="5"/>
  </w:num>
  <w:num w:numId="18">
    <w:abstractNumId w:val="0"/>
  </w:num>
  <w:num w:numId="19">
    <w:abstractNumId w:val="8"/>
  </w:num>
  <w:num w:numId="20">
    <w:abstractNumId w:val="32"/>
  </w:num>
  <w:num w:numId="21">
    <w:abstractNumId w:val="27"/>
  </w:num>
  <w:num w:numId="22">
    <w:abstractNumId w:val="4"/>
  </w:num>
  <w:num w:numId="23">
    <w:abstractNumId w:val="26"/>
  </w:num>
  <w:num w:numId="24">
    <w:abstractNumId w:val="14"/>
  </w:num>
  <w:num w:numId="25">
    <w:abstractNumId w:val="24"/>
  </w:num>
  <w:num w:numId="26">
    <w:abstractNumId w:val="33"/>
  </w:num>
  <w:num w:numId="27">
    <w:abstractNumId w:val="22"/>
  </w:num>
  <w:num w:numId="28">
    <w:abstractNumId w:val="36"/>
  </w:num>
  <w:num w:numId="29">
    <w:abstractNumId w:val="30"/>
  </w:num>
  <w:num w:numId="30">
    <w:abstractNumId w:val="18"/>
  </w:num>
  <w:num w:numId="31">
    <w:abstractNumId w:val="9"/>
  </w:num>
  <w:num w:numId="32">
    <w:abstractNumId w:val="16"/>
  </w:num>
  <w:num w:numId="33">
    <w:abstractNumId w:val="21"/>
  </w:num>
  <w:num w:numId="34">
    <w:abstractNumId w:val="1"/>
  </w:num>
  <w:num w:numId="35">
    <w:abstractNumId w:val="10"/>
  </w:num>
  <w:num w:numId="36">
    <w:abstractNumId w:val="7"/>
  </w:num>
  <w:num w:numId="37">
    <w:abstractNumId w:val="34"/>
  </w:num>
  <w:num w:numId="38">
    <w:abstractNumId w:val="31"/>
  </w:num>
  <w:num w:numId="39">
    <w:abstractNumId w:val="6"/>
  </w:num>
  <w:num w:numId="4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F6FDB"/>
    <w:rsid w:val="00001FBD"/>
    <w:rsid w:val="00003554"/>
    <w:rsid w:val="000043EF"/>
    <w:rsid w:val="000052A9"/>
    <w:rsid w:val="00012E64"/>
    <w:rsid w:val="00013472"/>
    <w:rsid w:val="00015427"/>
    <w:rsid w:val="00021CBA"/>
    <w:rsid w:val="00027CE6"/>
    <w:rsid w:val="00027D24"/>
    <w:rsid w:val="00031114"/>
    <w:rsid w:val="00031AF9"/>
    <w:rsid w:val="00032330"/>
    <w:rsid w:val="00041D46"/>
    <w:rsid w:val="00042232"/>
    <w:rsid w:val="000456A9"/>
    <w:rsid w:val="00046B3F"/>
    <w:rsid w:val="00046DFF"/>
    <w:rsid w:val="00047BEC"/>
    <w:rsid w:val="00053693"/>
    <w:rsid w:val="00077CF2"/>
    <w:rsid w:val="00082CD4"/>
    <w:rsid w:val="000837E5"/>
    <w:rsid w:val="00086D9B"/>
    <w:rsid w:val="000938C9"/>
    <w:rsid w:val="00095CF9"/>
    <w:rsid w:val="000A408B"/>
    <w:rsid w:val="000B0E9F"/>
    <w:rsid w:val="000B5629"/>
    <w:rsid w:val="000B57B9"/>
    <w:rsid w:val="000B6D2E"/>
    <w:rsid w:val="000D0C9A"/>
    <w:rsid w:val="000D28D9"/>
    <w:rsid w:val="000D7CE3"/>
    <w:rsid w:val="000E0E1B"/>
    <w:rsid w:val="000E56AB"/>
    <w:rsid w:val="000E7FF9"/>
    <w:rsid w:val="000F0656"/>
    <w:rsid w:val="000F092D"/>
    <w:rsid w:val="000F2EA8"/>
    <w:rsid w:val="000F3708"/>
    <w:rsid w:val="000F43CB"/>
    <w:rsid w:val="00100230"/>
    <w:rsid w:val="00102481"/>
    <w:rsid w:val="00106C25"/>
    <w:rsid w:val="00111ADB"/>
    <w:rsid w:val="00111D0A"/>
    <w:rsid w:val="001121FF"/>
    <w:rsid w:val="00122212"/>
    <w:rsid w:val="00133EAB"/>
    <w:rsid w:val="00141101"/>
    <w:rsid w:val="00141E20"/>
    <w:rsid w:val="001442BC"/>
    <w:rsid w:val="00144F70"/>
    <w:rsid w:val="00145075"/>
    <w:rsid w:val="00150262"/>
    <w:rsid w:val="00157597"/>
    <w:rsid w:val="00163EC7"/>
    <w:rsid w:val="00166B9B"/>
    <w:rsid w:val="00172F62"/>
    <w:rsid w:val="001730FB"/>
    <w:rsid w:val="00173E12"/>
    <w:rsid w:val="00180737"/>
    <w:rsid w:val="001845C9"/>
    <w:rsid w:val="0019377A"/>
    <w:rsid w:val="001A0221"/>
    <w:rsid w:val="001A729E"/>
    <w:rsid w:val="001B645C"/>
    <w:rsid w:val="001C0A8D"/>
    <w:rsid w:val="001C1BBB"/>
    <w:rsid w:val="001C4DE4"/>
    <w:rsid w:val="001C5B0C"/>
    <w:rsid w:val="001D26DB"/>
    <w:rsid w:val="001D63B3"/>
    <w:rsid w:val="001E0A1E"/>
    <w:rsid w:val="001E5379"/>
    <w:rsid w:val="001E5C94"/>
    <w:rsid w:val="001E684E"/>
    <w:rsid w:val="001F0232"/>
    <w:rsid w:val="001F073E"/>
    <w:rsid w:val="001F0DE1"/>
    <w:rsid w:val="001F6C10"/>
    <w:rsid w:val="001F7228"/>
    <w:rsid w:val="002022E0"/>
    <w:rsid w:val="00202A23"/>
    <w:rsid w:val="0021095D"/>
    <w:rsid w:val="002156FD"/>
    <w:rsid w:val="00222B68"/>
    <w:rsid w:val="00223FFB"/>
    <w:rsid w:val="002302F2"/>
    <w:rsid w:val="002330E0"/>
    <w:rsid w:val="00234B4B"/>
    <w:rsid w:val="002363D5"/>
    <w:rsid w:val="002404E2"/>
    <w:rsid w:val="00243F44"/>
    <w:rsid w:val="00245F3C"/>
    <w:rsid w:val="00250911"/>
    <w:rsid w:val="00253F72"/>
    <w:rsid w:val="00255FFA"/>
    <w:rsid w:val="00256982"/>
    <w:rsid w:val="00260BFD"/>
    <w:rsid w:val="00270978"/>
    <w:rsid w:val="002761A1"/>
    <w:rsid w:val="002764CD"/>
    <w:rsid w:val="002767A3"/>
    <w:rsid w:val="002814AE"/>
    <w:rsid w:val="00283351"/>
    <w:rsid w:val="00283559"/>
    <w:rsid w:val="00291EB5"/>
    <w:rsid w:val="00295A38"/>
    <w:rsid w:val="00295DB9"/>
    <w:rsid w:val="002A5738"/>
    <w:rsid w:val="002C6F76"/>
    <w:rsid w:val="002D6107"/>
    <w:rsid w:val="002E08A3"/>
    <w:rsid w:val="002E521A"/>
    <w:rsid w:val="002E6296"/>
    <w:rsid w:val="002F2714"/>
    <w:rsid w:val="002F501C"/>
    <w:rsid w:val="002F527F"/>
    <w:rsid w:val="00303313"/>
    <w:rsid w:val="003038E6"/>
    <w:rsid w:val="00307CB1"/>
    <w:rsid w:val="00312744"/>
    <w:rsid w:val="0031724D"/>
    <w:rsid w:val="00322047"/>
    <w:rsid w:val="00322A18"/>
    <w:rsid w:val="00322F04"/>
    <w:rsid w:val="003275EE"/>
    <w:rsid w:val="003349BB"/>
    <w:rsid w:val="0034410C"/>
    <w:rsid w:val="003465C4"/>
    <w:rsid w:val="00355D48"/>
    <w:rsid w:val="00356023"/>
    <w:rsid w:val="00357175"/>
    <w:rsid w:val="003617A6"/>
    <w:rsid w:val="00367D5E"/>
    <w:rsid w:val="00371CD1"/>
    <w:rsid w:val="003764F2"/>
    <w:rsid w:val="00391DF8"/>
    <w:rsid w:val="00396BD2"/>
    <w:rsid w:val="00396C95"/>
    <w:rsid w:val="003A301A"/>
    <w:rsid w:val="003A312D"/>
    <w:rsid w:val="003A40BC"/>
    <w:rsid w:val="003A7B96"/>
    <w:rsid w:val="003B0F9A"/>
    <w:rsid w:val="003B6523"/>
    <w:rsid w:val="003B7515"/>
    <w:rsid w:val="003C037B"/>
    <w:rsid w:val="003C1A8E"/>
    <w:rsid w:val="003D64DB"/>
    <w:rsid w:val="003E1D8C"/>
    <w:rsid w:val="003E50FB"/>
    <w:rsid w:val="003E5840"/>
    <w:rsid w:val="003F068E"/>
    <w:rsid w:val="003F0E99"/>
    <w:rsid w:val="004016A0"/>
    <w:rsid w:val="00403AD8"/>
    <w:rsid w:val="00405F35"/>
    <w:rsid w:val="00420DC1"/>
    <w:rsid w:val="0042276A"/>
    <w:rsid w:val="00426534"/>
    <w:rsid w:val="00433F0E"/>
    <w:rsid w:val="00435DAA"/>
    <w:rsid w:val="00442639"/>
    <w:rsid w:val="00444235"/>
    <w:rsid w:val="00445E11"/>
    <w:rsid w:val="004565CE"/>
    <w:rsid w:val="004614CB"/>
    <w:rsid w:val="00461E87"/>
    <w:rsid w:val="00462D16"/>
    <w:rsid w:val="00464359"/>
    <w:rsid w:val="00464660"/>
    <w:rsid w:val="00465326"/>
    <w:rsid w:val="004720E8"/>
    <w:rsid w:val="00475437"/>
    <w:rsid w:val="00476B36"/>
    <w:rsid w:val="00477C4C"/>
    <w:rsid w:val="00481132"/>
    <w:rsid w:val="004835B1"/>
    <w:rsid w:val="00484C54"/>
    <w:rsid w:val="00485EFB"/>
    <w:rsid w:val="004910F1"/>
    <w:rsid w:val="004912BB"/>
    <w:rsid w:val="00491347"/>
    <w:rsid w:val="00494AD0"/>
    <w:rsid w:val="00495A47"/>
    <w:rsid w:val="0049635D"/>
    <w:rsid w:val="004B0891"/>
    <w:rsid w:val="004B2405"/>
    <w:rsid w:val="004B47A0"/>
    <w:rsid w:val="004D0BF4"/>
    <w:rsid w:val="004D224F"/>
    <w:rsid w:val="004D3AE9"/>
    <w:rsid w:val="004D3C7C"/>
    <w:rsid w:val="004D4D2B"/>
    <w:rsid w:val="004D7304"/>
    <w:rsid w:val="004E22FA"/>
    <w:rsid w:val="004E73D9"/>
    <w:rsid w:val="004F04CA"/>
    <w:rsid w:val="004F65F7"/>
    <w:rsid w:val="005019D5"/>
    <w:rsid w:val="0050221D"/>
    <w:rsid w:val="0050244C"/>
    <w:rsid w:val="00510E36"/>
    <w:rsid w:val="0051188B"/>
    <w:rsid w:val="00513387"/>
    <w:rsid w:val="00515005"/>
    <w:rsid w:val="005204E9"/>
    <w:rsid w:val="005215B9"/>
    <w:rsid w:val="00522DEC"/>
    <w:rsid w:val="00524E26"/>
    <w:rsid w:val="00525462"/>
    <w:rsid w:val="005323E5"/>
    <w:rsid w:val="00533607"/>
    <w:rsid w:val="005346ED"/>
    <w:rsid w:val="00541E33"/>
    <w:rsid w:val="005504F3"/>
    <w:rsid w:val="00551BE3"/>
    <w:rsid w:val="005523D4"/>
    <w:rsid w:val="00552C20"/>
    <w:rsid w:val="00552EE6"/>
    <w:rsid w:val="0055562A"/>
    <w:rsid w:val="00556DDF"/>
    <w:rsid w:val="00562179"/>
    <w:rsid w:val="0056262D"/>
    <w:rsid w:val="005675A9"/>
    <w:rsid w:val="00570055"/>
    <w:rsid w:val="00571B85"/>
    <w:rsid w:val="00573879"/>
    <w:rsid w:val="005770E9"/>
    <w:rsid w:val="00584D82"/>
    <w:rsid w:val="00585DFF"/>
    <w:rsid w:val="00585F0A"/>
    <w:rsid w:val="00587A2D"/>
    <w:rsid w:val="005918E5"/>
    <w:rsid w:val="00592D07"/>
    <w:rsid w:val="00593131"/>
    <w:rsid w:val="00593CCB"/>
    <w:rsid w:val="005973E7"/>
    <w:rsid w:val="005B0981"/>
    <w:rsid w:val="005B1EB2"/>
    <w:rsid w:val="005B1EF0"/>
    <w:rsid w:val="005B5DE3"/>
    <w:rsid w:val="005B6744"/>
    <w:rsid w:val="005C0E37"/>
    <w:rsid w:val="005C1DC1"/>
    <w:rsid w:val="005C25CD"/>
    <w:rsid w:val="005C3118"/>
    <w:rsid w:val="005D4BF5"/>
    <w:rsid w:val="005D6092"/>
    <w:rsid w:val="005E3BE3"/>
    <w:rsid w:val="005E6B44"/>
    <w:rsid w:val="005E6FF9"/>
    <w:rsid w:val="005F3754"/>
    <w:rsid w:val="005F3AF7"/>
    <w:rsid w:val="005F589E"/>
    <w:rsid w:val="005F661B"/>
    <w:rsid w:val="00602AE3"/>
    <w:rsid w:val="00604673"/>
    <w:rsid w:val="0061468F"/>
    <w:rsid w:val="00615148"/>
    <w:rsid w:val="006151E3"/>
    <w:rsid w:val="006153B9"/>
    <w:rsid w:val="00620A8D"/>
    <w:rsid w:val="00624351"/>
    <w:rsid w:val="00630B67"/>
    <w:rsid w:val="0063259C"/>
    <w:rsid w:val="00634EDA"/>
    <w:rsid w:val="0063565C"/>
    <w:rsid w:val="00640BC5"/>
    <w:rsid w:val="00644B45"/>
    <w:rsid w:val="00647CF9"/>
    <w:rsid w:val="006514F7"/>
    <w:rsid w:val="00651A42"/>
    <w:rsid w:val="00651F29"/>
    <w:rsid w:val="00664DFB"/>
    <w:rsid w:val="00671075"/>
    <w:rsid w:val="00680184"/>
    <w:rsid w:val="00683C84"/>
    <w:rsid w:val="00683DD2"/>
    <w:rsid w:val="00684E62"/>
    <w:rsid w:val="00687E52"/>
    <w:rsid w:val="00693BF9"/>
    <w:rsid w:val="0069528E"/>
    <w:rsid w:val="00697906"/>
    <w:rsid w:val="006A41B2"/>
    <w:rsid w:val="006A5DFC"/>
    <w:rsid w:val="006A7178"/>
    <w:rsid w:val="006A7D1A"/>
    <w:rsid w:val="006B4042"/>
    <w:rsid w:val="006B5F24"/>
    <w:rsid w:val="006B67F8"/>
    <w:rsid w:val="006B775E"/>
    <w:rsid w:val="006C1412"/>
    <w:rsid w:val="006C16CB"/>
    <w:rsid w:val="006C2C7F"/>
    <w:rsid w:val="006E03F9"/>
    <w:rsid w:val="006E170C"/>
    <w:rsid w:val="006E1771"/>
    <w:rsid w:val="006F4EA0"/>
    <w:rsid w:val="00704396"/>
    <w:rsid w:val="00714A71"/>
    <w:rsid w:val="007171BF"/>
    <w:rsid w:val="00723082"/>
    <w:rsid w:val="00723CBA"/>
    <w:rsid w:val="007255A6"/>
    <w:rsid w:val="00731F33"/>
    <w:rsid w:val="00732F90"/>
    <w:rsid w:val="00737F87"/>
    <w:rsid w:val="00742C43"/>
    <w:rsid w:val="00743076"/>
    <w:rsid w:val="00743583"/>
    <w:rsid w:val="00745ACC"/>
    <w:rsid w:val="00747AF1"/>
    <w:rsid w:val="00754A00"/>
    <w:rsid w:val="00760BFC"/>
    <w:rsid w:val="00764339"/>
    <w:rsid w:val="0076617D"/>
    <w:rsid w:val="00770820"/>
    <w:rsid w:val="00770B91"/>
    <w:rsid w:val="00770CD4"/>
    <w:rsid w:val="00770D01"/>
    <w:rsid w:val="00771205"/>
    <w:rsid w:val="00782028"/>
    <w:rsid w:val="007847E7"/>
    <w:rsid w:val="00785D40"/>
    <w:rsid w:val="007874B6"/>
    <w:rsid w:val="00791567"/>
    <w:rsid w:val="00791A98"/>
    <w:rsid w:val="007928F8"/>
    <w:rsid w:val="007949AF"/>
    <w:rsid w:val="00794E58"/>
    <w:rsid w:val="00796094"/>
    <w:rsid w:val="007961C9"/>
    <w:rsid w:val="007A021F"/>
    <w:rsid w:val="007B1FF3"/>
    <w:rsid w:val="007B5FE8"/>
    <w:rsid w:val="007B6EA3"/>
    <w:rsid w:val="007B6F71"/>
    <w:rsid w:val="007C22BC"/>
    <w:rsid w:val="007C3C66"/>
    <w:rsid w:val="007D1C79"/>
    <w:rsid w:val="007D6FDF"/>
    <w:rsid w:val="007E0731"/>
    <w:rsid w:val="007E0B27"/>
    <w:rsid w:val="007E3CC1"/>
    <w:rsid w:val="007F19CE"/>
    <w:rsid w:val="007F2D1B"/>
    <w:rsid w:val="007F3D3F"/>
    <w:rsid w:val="007F50EF"/>
    <w:rsid w:val="00800D12"/>
    <w:rsid w:val="00810B75"/>
    <w:rsid w:val="0081272C"/>
    <w:rsid w:val="00812B57"/>
    <w:rsid w:val="008152C6"/>
    <w:rsid w:val="0082022A"/>
    <w:rsid w:val="00822E64"/>
    <w:rsid w:val="00825544"/>
    <w:rsid w:val="00826CC7"/>
    <w:rsid w:val="00827667"/>
    <w:rsid w:val="00840731"/>
    <w:rsid w:val="0085561C"/>
    <w:rsid w:val="00865258"/>
    <w:rsid w:val="0086585A"/>
    <w:rsid w:val="00867497"/>
    <w:rsid w:val="00867CA1"/>
    <w:rsid w:val="00876384"/>
    <w:rsid w:val="008765EC"/>
    <w:rsid w:val="00876DFE"/>
    <w:rsid w:val="00880C50"/>
    <w:rsid w:val="00881FC3"/>
    <w:rsid w:val="008875D6"/>
    <w:rsid w:val="00891DE7"/>
    <w:rsid w:val="008A04BB"/>
    <w:rsid w:val="008A14CD"/>
    <w:rsid w:val="008A26C9"/>
    <w:rsid w:val="008A3C3C"/>
    <w:rsid w:val="008B33DF"/>
    <w:rsid w:val="008B5613"/>
    <w:rsid w:val="008B5D2D"/>
    <w:rsid w:val="008B7466"/>
    <w:rsid w:val="008B7743"/>
    <w:rsid w:val="008C12B4"/>
    <w:rsid w:val="008C2A46"/>
    <w:rsid w:val="008C2C44"/>
    <w:rsid w:val="008C343A"/>
    <w:rsid w:val="008C6966"/>
    <w:rsid w:val="008D1694"/>
    <w:rsid w:val="008D6574"/>
    <w:rsid w:val="008E1D33"/>
    <w:rsid w:val="008E1D41"/>
    <w:rsid w:val="008E2725"/>
    <w:rsid w:val="008F22AA"/>
    <w:rsid w:val="008F72E0"/>
    <w:rsid w:val="0090402D"/>
    <w:rsid w:val="0090480A"/>
    <w:rsid w:val="00904930"/>
    <w:rsid w:val="00907307"/>
    <w:rsid w:val="00911A1C"/>
    <w:rsid w:val="0092081E"/>
    <w:rsid w:val="00921866"/>
    <w:rsid w:val="00926306"/>
    <w:rsid w:val="009305FC"/>
    <w:rsid w:val="0093135C"/>
    <w:rsid w:val="00932C5A"/>
    <w:rsid w:val="009405CC"/>
    <w:rsid w:val="009471FC"/>
    <w:rsid w:val="00953702"/>
    <w:rsid w:val="00953DE9"/>
    <w:rsid w:val="00953E8E"/>
    <w:rsid w:val="00956163"/>
    <w:rsid w:val="009562CF"/>
    <w:rsid w:val="0096217F"/>
    <w:rsid w:val="00965958"/>
    <w:rsid w:val="009667FF"/>
    <w:rsid w:val="009701D5"/>
    <w:rsid w:val="0097330F"/>
    <w:rsid w:val="009748E8"/>
    <w:rsid w:val="009825E0"/>
    <w:rsid w:val="0098315D"/>
    <w:rsid w:val="00984713"/>
    <w:rsid w:val="00995D50"/>
    <w:rsid w:val="00996E2A"/>
    <w:rsid w:val="009A0EAB"/>
    <w:rsid w:val="009A4E10"/>
    <w:rsid w:val="009A5A07"/>
    <w:rsid w:val="009B0147"/>
    <w:rsid w:val="009B0A84"/>
    <w:rsid w:val="009B1F75"/>
    <w:rsid w:val="009B5817"/>
    <w:rsid w:val="009B7285"/>
    <w:rsid w:val="009C1FF4"/>
    <w:rsid w:val="009C6842"/>
    <w:rsid w:val="009C6D71"/>
    <w:rsid w:val="009D2ECA"/>
    <w:rsid w:val="009D4624"/>
    <w:rsid w:val="009E1776"/>
    <w:rsid w:val="009E55EB"/>
    <w:rsid w:val="009E5CC0"/>
    <w:rsid w:val="009E6D4E"/>
    <w:rsid w:val="009E6E4E"/>
    <w:rsid w:val="009E7B8F"/>
    <w:rsid w:val="009F13E3"/>
    <w:rsid w:val="009F2161"/>
    <w:rsid w:val="009F7B16"/>
    <w:rsid w:val="00A00248"/>
    <w:rsid w:val="00A036A0"/>
    <w:rsid w:val="00A05698"/>
    <w:rsid w:val="00A15F49"/>
    <w:rsid w:val="00A23C43"/>
    <w:rsid w:val="00A272DB"/>
    <w:rsid w:val="00A273F2"/>
    <w:rsid w:val="00A27806"/>
    <w:rsid w:val="00A332C3"/>
    <w:rsid w:val="00A34792"/>
    <w:rsid w:val="00A422A3"/>
    <w:rsid w:val="00A430D5"/>
    <w:rsid w:val="00A45FD9"/>
    <w:rsid w:val="00A47C5C"/>
    <w:rsid w:val="00A509C5"/>
    <w:rsid w:val="00A53ACB"/>
    <w:rsid w:val="00A55C2E"/>
    <w:rsid w:val="00A619D9"/>
    <w:rsid w:val="00A62098"/>
    <w:rsid w:val="00A639E1"/>
    <w:rsid w:val="00A6417F"/>
    <w:rsid w:val="00A668D1"/>
    <w:rsid w:val="00A71321"/>
    <w:rsid w:val="00A71C83"/>
    <w:rsid w:val="00A7489F"/>
    <w:rsid w:val="00A751B8"/>
    <w:rsid w:val="00A7647B"/>
    <w:rsid w:val="00A7736D"/>
    <w:rsid w:val="00A7799F"/>
    <w:rsid w:val="00A77DF3"/>
    <w:rsid w:val="00A906F3"/>
    <w:rsid w:val="00A9437A"/>
    <w:rsid w:val="00A94F1F"/>
    <w:rsid w:val="00A95842"/>
    <w:rsid w:val="00A96ECC"/>
    <w:rsid w:val="00AA038A"/>
    <w:rsid w:val="00AB1A92"/>
    <w:rsid w:val="00AB3690"/>
    <w:rsid w:val="00AB4E7A"/>
    <w:rsid w:val="00AB57E6"/>
    <w:rsid w:val="00AC2188"/>
    <w:rsid w:val="00AC313B"/>
    <w:rsid w:val="00AC642E"/>
    <w:rsid w:val="00AD0693"/>
    <w:rsid w:val="00AD2323"/>
    <w:rsid w:val="00AD4B05"/>
    <w:rsid w:val="00AD5766"/>
    <w:rsid w:val="00AE5CA9"/>
    <w:rsid w:val="00AF066A"/>
    <w:rsid w:val="00AF3384"/>
    <w:rsid w:val="00AF5666"/>
    <w:rsid w:val="00AF6FDB"/>
    <w:rsid w:val="00AF7372"/>
    <w:rsid w:val="00AF78DE"/>
    <w:rsid w:val="00B2223E"/>
    <w:rsid w:val="00B247FE"/>
    <w:rsid w:val="00B35C00"/>
    <w:rsid w:val="00B42D0A"/>
    <w:rsid w:val="00B43CC4"/>
    <w:rsid w:val="00B45169"/>
    <w:rsid w:val="00B46D93"/>
    <w:rsid w:val="00B52579"/>
    <w:rsid w:val="00B529E1"/>
    <w:rsid w:val="00B5477B"/>
    <w:rsid w:val="00B54D96"/>
    <w:rsid w:val="00B574B7"/>
    <w:rsid w:val="00B60325"/>
    <w:rsid w:val="00B61DA0"/>
    <w:rsid w:val="00B65A19"/>
    <w:rsid w:val="00B66026"/>
    <w:rsid w:val="00B66509"/>
    <w:rsid w:val="00B741C1"/>
    <w:rsid w:val="00B75780"/>
    <w:rsid w:val="00B7649B"/>
    <w:rsid w:val="00B76685"/>
    <w:rsid w:val="00B76CF7"/>
    <w:rsid w:val="00B82797"/>
    <w:rsid w:val="00B879E4"/>
    <w:rsid w:val="00B92F8F"/>
    <w:rsid w:val="00B95A37"/>
    <w:rsid w:val="00B96031"/>
    <w:rsid w:val="00B96B06"/>
    <w:rsid w:val="00BB0BD9"/>
    <w:rsid w:val="00BC0C3C"/>
    <w:rsid w:val="00BC23E6"/>
    <w:rsid w:val="00BC26F8"/>
    <w:rsid w:val="00BC2FB7"/>
    <w:rsid w:val="00BD137A"/>
    <w:rsid w:val="00BD1E08"/>
    <w:rsid w:val="00BD1E4C"/>
    <w:rsid w:val="00BD4DC9"/>
    <w:rsid w:val="00BD76F6"/>
    <w:rsid w:val="00BE0DC8"/>
    <w:rsid w:val="00BE1E1D"/>
    <w:rsid w:val="00BE2128"/>
    <w:rsid w:val="00BE24BD"/>
    <w:rsid w:val="00BE4E89"/>
    <w:rsid w:val="00BE62EC"/>
    <w:rsid w:val="00BF50FC"/>
    <w:rsid w:val="00BF55A4"/>
    <w:rsid w:val="00BF775F"/>
    <w:rsid w:val="00C058AF"/>
    <w:rsid w:val="00C07D35"/>
    <w:rsid w:val="00C10339"/>
    <w:rsid w:val="00C14866"/>
    <w:rsid w:val="00C14E8B"/>
    <w:rsid w:val="00C150A9"/>
    <w:rsid w:val="00C16A93"/>
    <w:rsid w:val="00C22551"/>
    <w:rsid w:val="00C31B81"/>
    <w:rsid w:val="00C5375D"/>
    <w:rsid w:val="00C55B85"/>
    <w:rsid w:val="00C56F29"/>
    <w:rsid w:val="00C61BD6"/>
    <w:rsid w:val="00C64CF1"/>
    <w:rsid w:val="00C65D7D"/>
    <w:rsid w:val="00C65F55"/>
    <w:rsid w:val="00C663AB"/>
    <w:rsid w:val="00C81101"/>
    <w:rsid w:val="00C8194C"/>
    <w:rsid w:val="00C82C23"/>
    <w:rsid w:val="00C82EC1"/>
    <w:rsid w:val="00C845B3"/>
    <w:rsid w:val="00C84CF2"/>
    <w:rsid w:val="00C865BA"/>
    <w:rsid w:val="00C872C1"/>
    <w:rsid w:val="00CA17FA"/>
    <w:rsid w:val="00CA36B5"/>
    <w:rsid w:val="00CB3880"/>
    <w:rsid w:val="00CB587B"/>
    <w:rsid w:val="00CB756C"/>
    <w:rsid w:val="00CC6074"/>
    <w:rsid w:val="00CD24FB"/>
    <w:rsid w:val="00CD3A3A"/>
    <w:rsid w:val="00CD3B14"/>
    <w:rsid w:val="00CD4580"/>
    <w:rsid w:val="00CD5ACC"/>
    <w:rsid w:val="00CD5BC7"/>
    <w:rsid w:val="00CD5CA2"/>
    <w:rsid w:val="00CD6A73"/>
    <w:rsid w:val="00CE00A8"/>
    <w:rsid w:val="00CE17BE"/>
    <w:rsid w:val="00CF1C0A"/>
    <w:rsid w:val="00CF7C43"/>
    <w:rsid w:val="00CF7EDC"/>
    <w:rsid w:val="00D01548"/>
    <w:rsid w:val="00D01C6A"/>
    <w:rsid w:val="00D05145"/>
    <w:rsid w:val="00D07F3E"/>
    <w:rsid w:val="00D21125"/>
    <w:rsid w:val="00D23FDC"/>
    <w:rsid w:val="00D27AAE"/>
    <w:rsid w:val="00D3177C"/>
    <w:rsid w:val="00D336C6"/>
    <w:rsid w:val="00D36165"/>
    <w:rsid w:val="00D37B25"/>
    <w:rsid w:val="00D408E9"/>
    <w:rsid w:val="00D41051"/>
    <w:rsid w:val="00D42464"/>
    <w:rsid w:val="00D42A4A"/>
    <w:rsid w:val="00D44589"/>
    <w:rsid w:val="00D45B29"/>
    <w:rsid w:val="00D50D4D"/>
    <w:rsid w:val="00D612FF"/>
    <w:rsid w:val="00D63C57"/>
    <w:rsid w:val="00D648F9"/>
    <w:rsid w:val="00D74FEB"/>
    <w:rsid w:val="00D81762"/>
    <w:rsid w:val="00D82CF1"/>
    <w:rsid w:val="00D8711A"/>
    <w:rsid w:val="00D9063B"/>
    <w:rsid w:val="00D92291"/>
    <w:rsid w:val="00D92793"/>
    <w:rsid w:val="00D9417A"/>
    <w:rsid w:val="00D94681"/>
    <w:rsid w:val="00D952C6"/>
    <w:rsid w:val="00DA2BCB"/>
    <w:rsid w:val="00DA7C7C"/>
    <w:rsid w:val="00DB1A0B"/>
    <w:rsid w:val="00DB2684"/>
    <w:rsid w:val="00DB3F6E"/>
    <w:rsid w:val="00DB4167"/>
    <w:rsid w:val="00DC0971"/>
    <w:rsid w:val="00DC6333"/>
    <w:rsid w:val="00DD05E5"/>
    <w:rsid w:val="00DD2291"/>
    <w:rsid w:val="00DD3A0B"/>
    <w:rsid w:val="00DD56EE"/>
    <w:rsid w:val="00DE65C7"/>
    <w:rsid w:val="00DE724F"/>
    <w:rsid w:val="00DF1230"/>
    <w:rsid w:val="00DF44C7"/>
    <w:rsid w:val="00DF6D09"/>
    <w:rsid w:val="00E001F4"/>
    <w:rsid w:val="00E10B49"/>
    <w:rsid w:val="00E141CE"/>
    <w:rsid w:val="00E3138E"/>
    <w:rsid w:val="00E42547"/>
    <w:rsid w:val="00E45527"/>
    <w:rsid w:val="00E51048"/>
    <w:rsid w:val="00E636F8"/>
    <w:rsid w:val="00E6455F"/>
    <w:rsid w:val="00E67E95"/>
    <w:rsid w:val="00E7000B"/>
    <w:rsid w:val="00E71ED7"/>
    <w:rsid w:val="00E76C23"/>
    <w:rsid w:val="00E77E3D"/>
    <w:rsid w:val="00E8131A"/>
    <w:rsid w:val="00E83E04"/>
    <w:rsid w:val="00E8574D"/>
    <w:rsid w:val="00E85BAB"/>
    <w:rsid w:val="00E9049D"/>
    <w:rsid w:val="00E93292"/>
    <w:rsid w:val="00EA0603"/>
    <w:rsid w:val="00EA15B7"/>
    <w:rsid w:val="00EA1D18"/>
    <w:rsid w:val="00EA2AEB"/>
    <w:rsid w:val="00EA3EB5"/>
    <w:rsid w:val="00EA6A09"/>
    <w:rsid w:val="00EB33D3"/>
    <w:rsid w:val="00EB5D2C"/>
    <w:rsid w:val="00EB6D2E"/>
    <w:rsid w:val="00EC2CAC"/>
    <w:rsid w:val="00EC32D8"/>
    <w:rsid w:val="00EC5E99"/>
    <w:rsid w:val="00EC6068"/>
    <w:rsid w:val="00ED1502"/>
    <w:rsid w:val="00ED3511"/>
    <w:rsid w:val="00ED45C7"/>
    <w:rsid w:val="00EE02D8"/>
    <w:rsid w:val="00EE5881"/>
    <w:rsid w:val="00EE7B90"/>
    <w:rsid w:val="00EE7DA0"/>
    <w:rsid w:val="00EF039A"/>
    <w:rsid w:val="00EF4581"/>
    <w:rsid w:val="00F03561"/>
    <w:rsid w:val="00F13301"/>
    <w:rsid w:val="00F13B4A"/>
    <w:rsid w:val="00F1738B"/>
    <w:rsid w:val="00F17760"/>
    <w:rsid w:val="00F2290A"/>
    <w:rsid w:val="00F245A4"/>
    <w:rsid w:val="00F32EF3"/>
    <w:rsid w:val="00F35BEC"/>
    <w:rsid w:val="00F456E1"/>
    <w:rsid w:val="00F5463C"/>
    <w:rsid w:val="00F54FF1"/>
    <w:rsid w:val="00F552DE"/>
    <w:rsid w:val="00F554B0"/>
    <w:rsid w:val="00F5751D"/>
    <w:rsid w:val="00F61410"/>
    <w:rsid w:val="00F622E0"/>
    <w:rsid w:val="00F629C7"/>
    <w:rsid w:val="00F63CBF"/>
    <w:rsid w:val="00F63F9F"/>
    <w:rsid w:val="00F71B7E"/>
    <w:rsid w:val="00F83740"/>
    <w:rsid w:val="00F90CA4"/>
    <w:rsid w:val="00F94D9C"/>
    <w:rsid w:val="00F951A1"/>
    <w:rsid w:val="00FA2F8C"/>
    <w:rsid w:val="00FA39AC"/>
    <w:rsid w:val="00FA5784"/>
    <w:rsid w:val="00FB2950"/>
    <w:rsid w:val="00FB5602"/>
    <w:rsid w:val="00FC0FB5"/>
    <w:rsid w:val="00FC208E"/>
    <w:rsid w:val="00FC4C16"/>
    <w:rsid w:val="00FC5352"/>
    <w:rsid w:val="00FC6353"/>
    <w:rsid w:val="00FC6778"/>
    <w:rsid w:val="00FD1B72"/>
    <w:rsid w:val="00FD6BC2"/>
    <w:rsid w:val="00FD6D72"/>
    <w:rsid w:val="00FE6618"/>
    <w:rsid w:val="00FF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9015C"/>
  <w15:docId w15:val="{9375B817-4935-4F4B-BAC8-6EEF90B1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C1"/>
    <w:pPr>
      <w:spacing w:after="20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22551"/>
    <w:pPr>
      <w:keepNext/>
      <w:keepLines/>
      <w:numPr>
        <w:numId w:val="1"/>
      </w:numPr>
      <w:spacing w:before="12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86D9B"/>
    <w:pPr>
      <w:keepNext/>
      <w:keepLines/>
      <w:spacing w:before="240" w:after="0" w:line="259"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C22551"/>
    <w:pPr>
      <w:keepNext/>
      <w:keepLines/>
      <w:spacing w:before="200" w:after="0"/>
      <w:outlineLvl w:val="2"/>
    </w:pPr>
    <w:rPr>
      <w:rFonts w:asciiTheme="majorHAnsi" w:eastAsiaTheme="majorEastAsia" w:hAnsiTheme="majorHAnsi"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5215B9"/>
    <w:pPr>
      <w:keepNext/>
      <w:keepLines/>
      <w:spacing w:before="40" w:after="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F6FD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6FD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6FD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6F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F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51"/>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86D9B"/>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C22551"/>
    <w:rPr>
      <w:rFonts w:asciiTheme="majorHAnsi" w:eastAsiaTheme="majorEastAsia" w:hAnsiTheme="majorHAnsi" w:cstheme="majorBidi"/>
      <w:b/>
      <w:i/>
      <w:color w:val="1F4D78" w:themeColor="accent1" w:themeShade="7F"/>
      <w:sz w:val="24"/>
      <w:szCs w:val="24"/>
    </w:rPr>
  </w:style>
  <w:style w:type="character" w:customStyle="1" w:styleId="Heading4Char">
    <w:name w:val="Heading 4 Char"/>
    <w:basedOn w:val="DefaultParagraphFont"/>
    <w:link w:val="Heading4"/>
    <w:uiPriority w:val="9"/>
    <w:rsid w:val="005215B9"/>
    <w:rPr>
      <w:rFonts w:asciiTheme="majorHAnsi" w:eastAsiaTheme="majorEastAsia" w:hAnsiTheme="majorHAnsi" w:cstheme="majorBidi"/>
      <w:iCs/>
      <w:color w:val="2E74B5" w:themeColor="accent1" w:themeShade="BF"/>
      <w:szCs w:val="20"/>
    </w:rPr>
  </w:style>
  <w:style w:type="character" w:customStyle="1" w:styleId="Heading5Char">
    <w:name w:val="Heading 5 Char"/>
    <w:basedOn w:val="DefaultParagraphFont"/>
    <w:link w:val="Heading5"/>
    <w:uiPriority w:val="9"/>
    <w:rsid w:val="00AF6FDB"/>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AF6FDB"/>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AF6FDB"/>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AF6F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6FD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93292"/>
    <w:pPr>
      <w:ind w:left="288"/>
      <w:contextualSpacing/>
    </w:pPr>
  </w:style>
  <w:style w:type="paragraph" w:styleId="TOCHeading">
    <w:name w:val="TOC Heading"/>
    <w:basedOn w:val="Heading1"/>
    <w:next w:val="Normal"/>
    <w:uiPriority w:val="39"/>
    <w:unhideWhenUsed/>
    <w:qFormat/>
    <w:rsid w:val="00AF6FDB"/>
    <w:pPr>
      <w:numPr>
        <w:numId w:val="0"/>
      </w:numPr>
      <w:outlineLvl w:val="9"/>
    </w:pPr>
  </w:style>
  <w:style w:type="paragraph" w:styleId="Header">
    <w:name w:val="header"/>
    <w:basedOn w:val="Normal"/>
    <w:link w:val="HeaderChar"/>
    <w:uiPriority w:val="99"/>
    <w:unhideWhenUsed/>
    <w:rsid w:val="00DD3A0B"/>
    <w:pPr>
      <w:tabs>
        <w:tab w:val="center" w:pos="4680"/>
        <w:tab w:val="right" w:pos="9360"/>
      </w:tabs>
      <w:spacing w:after="0"/>
    </w:pPr>
  </w:style>
  <w:style w:type="character" w:customStyle="1" w:styleId="HeaderChar">
    <w:name w:val="Header Char"/>
    <w:basedOn w:val="DefaultParagraphFont"/>
    <w:link w:val="Header"/>
    <w:uiPriority w:val="99"/>
    <w:rsid w:val="00DD3A0B"/>
  </w:style>
  <w:style w:type="paragraph" w:styleId="Footer">
    <w:name w:val="footer"/>
    <w:basedOn w:val="Normal"/>
    <w:link w:val="FooterChar"/>
    <w:uiPriority w:val="99"/>
    <w:unhideWhenUsed/>
    <w:qFormat/>
    <w:rsid w:val="00DD3A0B"/>
    <w:pPr>
      <w:tabs>
        <w:tab w:val="center" w:pos="4680"/>
        <w:tab w:val="right" w:pos="9360"/>
      </w:tabs>
      <w:spacing w:after="0"/>
    </w:pPr>
  </w:style>
  <w:style w:type="character" w:customStyle="1" w:styleId="FooterChar">
    <w:name w:val="Footer Char"/>
    <w:basedOn w:val="DefaultParagraphFont"/>
    <w:link w:val="Footer"/>
    <w:uiPriority w:val="99"/>
    <w:rsid w:val="00DD3A0B"/>
  </w:style>
  <w:style w:type="paragraph" w:styleId="TOC1">
    <w:name w:val="toc 1"/>
    <w:basedOn w:val="Normal"/>
    <w:next w:val="Normal"/>
    <w:autoRedefine/>
    <w:uiPriority w:val="39"/>
    <w:unhideWhenUsed/>
    <w:rsid w:val="000837E5"/>
    <w:pPr>
      <w:tabs>
        <w:tab w:val="left" w:pos="440"/>
        <w:tab w:val="right" w:leader="dot" w:pos="9350"/>
      </w:tabs>
      <w:spacing w:after="0"/>
    </w:pPr>
  </w:style>
  <w:style w:type="paragraph" w:styleId="TOC2">
    <w:name w:val="toc 2"/>
    <w:basedOn w:val="Normal"/>
    <w:next w:val="Normal"/>
    <w:autoRedefine/>
    <w:uiPriority w:val="39"/>
    <w:unhideWhenUsed/>
    <w:rsid w:val="005504F3"/>
    <w:pPr>
      <w:tabs>
        <w:tab w:val="right" w:leader="dot" w:pos="9350"/>
      </w:tabs>
      <w:spacing w:after="100"/>
      <w:ind w:left="450"/>
    </w:pPr>
  </w:style>
  <w:style w:type="character" w:styleId="Hyperlink">
    <w:name w:val="Hyperlink"/>
    <w:basedOn w:val="DefaultParagraphFont"/>
    <w:uiPriority w:val="99"/>
    <w:unhideWhenUsed/>
    <w:rsid w:val="00551BE3"/>
    <w:rPr>
      <w:color w:val="0563C1" w:themeColor="hyperlink"/>
      <w:u w:val="single"/>
    </w:rPr>
  </w:style>
  <w:style w:type="table" w:styleId="LightList-Accent1">
    <w:name w:val="Light List Accent 1"/>
    <w:basedOn w:val="TableNormal"/>
    <w:uiPriority w:val="61"/>
    <w:rsid w:val="009E55E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alloonText">
    <w:name w:val="Balloon Text"/>
    <w:basedOn w:val="Normal"/>
    <w:link w:val="BalloonTextChar"/>
    <w:uiPriority w:val="99"/>
    <w:semiHidden/>
    <w:unhideWhenUsed/>
    <w:rsid w:val="009E55E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EB"/>
    <w:rPr>
      <w:rFonts w:ascii="Segoe UI" w:hAnsi="Segoe UI" w:cs="Segoe UI"/>
      <w:sz w:val="18"/>
      <w:szCs w:val="18"/>
    </w:rPr>
  </w:style>
  <w:style w:type="paragraph" w:styleId="FootnoteText">
    <w:name w:val="footnote text"/>
    <w:basedOn w:val="Normal"/>
    <w:link w:val="FootnoteTextChar"/>
    <w:uiPriority w:val="99"/>
    <w:semiHidden/>
    <w:unhideWhenUsed/>
    <w:rsid w:val="001E684E"/>
    <w:pPr>
      <w:spacing w:after="0"/>
    </w:pPr>
    <w:rPr>
      <w:sz w:val="20"/>
    </w:rPr>
  </w:style>
  <w:style w:type="character" w:customStyle="1" w:styleId="FootnoteTextChar">
    <w:name w:val="Footnote Text Char"/>
    <w:basedOn w:val="DefaultParagraphFont"/>
    <w:link w:val="FootnoteText"/>
    <w:uiPriority w:val="99"/>
    <w:semiHidden/>
    <w:rsid w:val="001E684E"/>
    <w:rPr>
      <w:sz w:val="20"/>
      <w:szCs w:val="20"/>
    </w:rPr>
  </w:style>
  <w:style w:type="character" w:styleId="FootnoteReference">
    <w:name w:val="footnote reference"/>
    <w:basedOn w:val="DefaultParagraphFont"/>
    <w:uiPriority w:val="99"/>
    <w:semiHidden/>
    <w:unhideWhenUsed/>
    <w:rsid w:val="001E684E"/>
    <w:rPr>
      <w:vertAlign w:val="superscript"/>
    </w:rPr>
  </w:style>
  <w:style w:type="table" w:customStyle="1" w:styleId="GridTable7Colorful-Accent11">
    <w:name w:val="Grid Table 7 Colorful - Accent 11"/>
    <w:basedOn w:val="TableNormal"/>
    <w:uiPriority w:val="52"/>
    <w:rsid w:val="006A71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11">
    <w:name w:val="Grid Table 1 Light - Accent 11"/>
    <w:basedOn w:val="TableNormal"/>
    <w:uiPriority w:val="46"/>
    <w:rsid w:val="006A71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E6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5462"/>
    <w:pPr>
      <w:spacing w:before="100" w:beforeAutospacing="1" w:after="100" w:afterAutospacing="1"/>
    </w:pPr>
    <w:rPr>
      <w:sz w:val="24"/>
      <w:szCs w:val="24"/>
    </w:rPr>
  </w:style>
  <w:style w:type="paragraph" w:styleId="Subtitle">
    <w:name w:val="Subtitle"/>
    <w:basedOn w:val="Normal"/>
    <w:next w:val="Normal"/>
    <w:link w:val="SubtitleChar"/>
    <w:uiPriority w:val="11"/>
    <w:qFormat/>
    <w:rsid w:val="001E537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5379"/>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C82EC1"/>
    <w:rPr>
      <w:sz w:val="16"/>
      <w:szCs w:val="16"/>
    </w:rPr>
  </w:style>
  <w:style w:type="paragraph" w:styleId="CommentText">
    <w:name w:val="annotation text"/>
    <w:basedOn w:val="Normal"/>
    <w:link w:val="CommentTextChar"/>
    <w:uiPriority w:val="99"/>
    <w:semiHidden/>
    <w:unhideWhenUsed/>
    <w:rsid w:val="00C82EC1"/>
    <w:rPr>
      <w:sz w:val="20"/>
    </w:rPr>
  </w:style>
  <w:style w:type="character" w:customStyle="1" w:styleId="CommentTextChar">
    <w:name w:val="Comment Text Char"/>
    <w:basedOn w:val="DefaultParagraphFont"/>
    <w:link w:val="CommentText"/>
    <w:uiPriority w:val="99"/>
    <w:semiHidden/>
    <w:rsid w:val="00C82EC1"/>
    <w:rPr>
      <w:sz w:val="20"/>
      <w:szCs w:val="20"/>
    </w:rPr>
  </w:style>
  <w:style w:type="paragraph" w:styleId="CommentSubject">
    <w:name w:val="annotation subject"/>
    <w:basedOn w:val="CommentText"/>
    <w:next w:val="CommentText"/>
    <w:link w:val="CommentSubjectChar"/>
    <w:uiPriority w:val="99"/>
    <w:semiHidden/>
    <w:unhideWhenUsed/>
    <w:rsid w:val="00C82EC1"/>
    <w:rPr>
      <w:b/>
      <w:bCs/>
    </w:rPr>
  </w:style>
  <w:style w:type="character" w:customStyle="1" w:styleId="CommentSubjectChar">
    <w:name w:val="Comment Subject Char"/>
    <w:basedOn w:val="CommentTextChar"/>
    <w:link w:val="CommentSubject"/>
    <w:uiPriority w:val="99"/>
    <w:semiHidden/>
    <w:rsid w:val="00C82EC1"/>
    <w:rPr>
      <w:b/>
      <w:bCs/>
      <w:sz w:val="20"/>
      <w:szCs w:val="20"/>
    </w:rPr>
  </w:style>
  <w:style w:type="paragraph" w:customStyle="1" w:styleId="PasTable1">
    <w:name w:val="PasTable1"/>
    <w:basedOn w:val="Normal"/>
    <w:rsid w:val="00C61BD6"/>
    <w:pPr>
      <w:spacing w:after="0"/>
    </w:pPr>
    <w:rPr>
      <w:rFonts w:ascii="Trebuchet MS" w:eastAsia="Trebuchet MS" w:hAnsi="Trebuchet MS" w:cs="Trebuchet MS"/>
      <w:sz w:val="16"/>
      <w:szCs w:val="24"/>
    </w:rPr>
  </w:style>
  <w:style w:type="table" w:customStyle="1" w:styleId="GridTable4-Accent11">
    <w:name w:val="Grid Table 4 - Accent 11"/>
    <w:basedOn w:val="TableNormal"/>
    <w:uiPriority w:val="49"/>
    <w:rsid w:val="00CD3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CD3A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CD3A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D0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D0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31">
    <w:name w:val="Grid Table 1 Light - Accent 31"/>
    <w:basedOn w:val="TableNormal"/>
    <w:uiPriority w:val="46"/>
    <w:rsid w:val="000D0C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FC6778"/>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C6778"/>
    <w:rPr>
      <w:color w:val="954F72" w:themeColor="followedHyperlink"/>
      <w:u w:val="single"/>
    </w:rPr>
  </w:style>
  <w:style w:type="paragraph" w:styleId="BodyText">
    <w:name w:val="Body Text"/>
    <w:basedOn w:val="Normal"/>
    <w:link w:val="BodyTextChar1"/>
    <w:uiPriority w:val="99"/>
    <w:rsid w:val="00DC0971"/>
    <w:pPr>
      <w:spacing w:after="0"/>
    </w:pPr>
    <w:rPr>
      <w:sz w:val="20"/>
    </w:rPr>
  </w:style>
  <w:style w:type="character" w:customStyle="1" w:styleId="BodyTextChar1">
    <w:name w:val="Body Text Char1"/>
    <w:link w:val="BodyText"/>
    <w:uiPriority w:val="99"/>
    <w:locked/>
    <w:rsid w:val="00DC0971"/>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0971"/>
    <w:rPr>
      <w:rFonts w:ascii="Times New Roman" w:eastAsia="Times New Roman" w:hAnsi="Times New Roman" w:cs="Times New Roman"/>
      <w:szCs w:val="20"/>
    </w:rPr>
  </w:style>
  <w:style w:type="paragraph" w:styleId="ListBullet">
    <w:name w:val="List Bullet"/>
    <w:basedOn w:val="List"/>
    <w:autoRedefine/>
    <w:uiPriority w:val="99"/>
    <w:rsid w:val="00DC0971"/>
    <w:pPr>
      <w:spacing w:after="0" w:line="220" w:lineRule="atLeast"/>
      <w:ind w:left="720"/>
      <w:contextualSpacing w:val="0"/>
    </w:pPr>
    <w:rPr>
      <w:szCs w:val="22"/>
    </w:rPr>
  </w:style>
  <w:style w:type="paragraph" w:styleId="List">
    <w:name w:val="List"/>
    <w:basedOn w:val="Normal"/>
    <w:uiPriority w:val="99"/>
    <w:semiHidden/>
    <w:unhideWhenUsed/>
    <w:rsid w:val="00DC0971"/>
    <w:pPr>
      <w:ind w:left="360" w:hanging="360"/>
      <w:contextualSpacing/>
    </w:pPr>
  </w:style>
  <w:style w:type="paragraph" w:styleId="BodyText3">
    <w:name w:val="Body Text 3"/>
    <w:basedOn w:val="Normal"/>
    <w:link w:val="BodyText3Char"/>
    <w:uiPriority w:val="99"/>
    <w:unhideWhenUsed/>
    <w:rsid w:val="00DC0971"/>
    <w:pPr>
      <w:spacing w:after="120"/>
    </w:pPr>
    <w:rPr>
      <w:sz w:val="16"/>
      <w:szCs w:val="16"/>
    </w:rPr>
  </w:style>
  <w:style w:type="character" w:customStyle="1" w:styleId="BodyText3Char">
    <w:name w:val="Body Text 3 Char"/>
    <w:basedOn w:val="DefaultParagraphFont"/>
    <w:link w:val="BodyText3"/>
    <w:uiPriority w:val="99"/>
    <w:rsid w:val="00DC0971"/>
    <w:rPr>
      <w:rFonts w:ascii="Times New Roman" w:eastAsia="Times New Roman" w:hAnsi="Times New Roman" w:cs="Times New Roman"/>
      <w:sz w:val="16"/>
      <w:szCs w:val="16"/>
    </w:rPr>
  </w:style>
  <w:style w:type="paragraph" w:customStyle="1" w:styleId="TableFont">
    <w:name w:val="Table Font"/>
    <w:basedOn w:val="Normal"/>
    <w:uiPriority w:val="99"/>
    <w:rsid w:val="003038E6"/>
    <w:pPr>
      <w:spacing w:after="0"/>
      <w:jc w:val="center"/>
    </w:pPr>
    <w:rPr>
      <w:rFonts w:ascii="Tahoma" w:hAnsi="Tahoma" w:cs="Tahoma"/>
      <w:sz w:val="18"/>
      <w:szCs w:val="18"/>
    </w:rPr>
  </w:style>
  <w:style w:type="paragraph" w:customStyle="1" w:styleId="TableHeader">
    <w:name w:val="Table Header"/>
    <w:basedOn w:val="Normal"/>
    <w:uiPriority w:val="99"/>
    <w:rsid w:val="003038E6"/>
    <w:pPr>
      <w:spacing w:after="0"/>
      <w:jc w:val="center"/>
    </w:pPr>
    <w:rPr>
      <w:rFonts w:ascii="Tahoma" w:hAnsi="Tahoma" w:cs="Tahoma"/>
      <w:b/>
      <w:bCs/>
      <w:sz w:val="18"/>
      <w:szCs w:val="18"/>
    </w:rPr>
  </w:style>
  <w:style w:type="paragraph" w:styleId="BodyText2">
    <w:name w:val="Body Text 2"/>
    <w:basedOn w:val="Normal"/>
    <w:link w:val="BodyText2Char"/>
    <w:uiPriority w:val="99"/>
    <w:semiHidden/>
    <w:unhideWhenUsed/>
    <w:rsid w:val="003038E6"/>
    <w:pPr>
      <w:spacing w:after="120" w:line="480" w:lineRule="auto"/>
    </w:pPr>
  </w:style>
  <w:style w:type="character" w:customStyle="1" w:styleId="BodyText2Char">
    <w:name w:val="Body Text 2 Char"/>
    <w:basedOn w:val="DefaultParagraphFont"/>
    <w:link w:val="BodyText2"/>
    <w:uiPriority w:val="99"/>
    <w:semiHidden/>
    <w:rsid w:val="003038E6"/>
    <w:rPr>
      <w:rFonts w:ascii="Times New Roman" w:eastAsia="Times New Roman" w:hAnsi="Times New Roman" w:cs="Times New Roman"/>
      <w:szCs w:val="20"/>
    </w:rPr>
  </w:style>
  <w:style w:type="table" w:customStyle="1" w:styleId="TableGrid1">
    <w:name w:val="Table Grid1"/>
    <w:basedOn w:val="TableNormal"/>
    <w:next w:val="TableGrid"/>
    <w:uiPriority w:val="59"/>
    <w:rsid w:val="00420D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3ptBoldItalicLeft">
    <w:name w:val="Heading 2 + 13 pt Bold Italic Left"/>
    <w:basedOn w:val="Heading2"/>
    <w:uiPriority w:val="99"/>
    <w:rsid w:val="00420DC1"/>
    <w:pPr>
      <w:keepLines w:val="0"/>
      <w:spacing w:before="0" w:line="240" w:lineRule="auto"/>
    </w:pPr>
    <w:rPr>
      <w:rFonts w:ascii="Cambria" w:eastAsia="Times New Roman" w:hAnsi="Cambria" w:cs="Times New Roman"/>
      <w:b w:val="0"/>
      <w:bCs/>
      <w:i/>
      <w:iCs/>
      <w:color w:val="auto"/>
    </w:rPr>
  </w:style>
  <w:style w:type="paragraph" w:styleId="ListBullet2">
    <w:name w:val="List Bullet 2"/>
    <w:basedOn w:val="Normal"/>
    <w:uiPriority w:val="99"/>
    <w:semiHidden/>
    <w:unhideWhenUsed/>
    <w:rsid w:val="00FD1B72"/>
    <w:pPr>
      <w:numPr>
        <w:numId w:val="18"/>
      </w:numPr>
      <w:contextualSpacing/>
    </w:pPr>
  </w:style>
  <w:style w:type="table" w:customStyle="1" w:styleId="TableGrid2">
    <w:name w:val="Table Grid2"/>
    <w:basedOn w:val="TableNormal"/>
    <w:next w:val="TableGrid"/>
    <w:uiPriority w:val="59"/>
    <w:rsid w:val="004016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E6FF9"/>
    <w:rPr>
      <w:smallCaps/>
      <w:color w:val="5A5A5A" w:themeColor="text1" w:themeTint="A5"/>
    </w:rPr>
  </w:style>
  <w:style w:type="paragraph" w:customStyle="1" w:styleId="TopicLineA">
    <w:name w:val="Topic Line A"/>
    <w:basedOn w:val="Normal"/>
    <w:uiPriority w:val="99"/>
    <w:rsid w:val="001D63B3"/>
    <w:pPr>
      <w:spacing w:line="276" w:lineRule="auto"/>
      <w:ind w:left="720"/>
    </w:pPr>
    <w:rPr>
      <w:rFonts w:ascii="Calibri" w:hAnsi="Calibri" w:cs="Calibri"/>
      <w:i/>
      <w:iCs/>
      <w:color w:val="333399"/>
      <w:szCs w:val="22"/>
    </w:rPr>
  </w:style>
  <w:style w:type="paragraph" w:customStyle="1" w:styleId="1UnderBodyText">
    <w:name w:val="1. (Under Body Text)"/>
    <w:basedOn w:val="Normal"/>
    <w:uiPriority w:val="99"/>
    <w:rsid w:val="00770820"/>
    <w:pPr>
      <w:pBdr>
        <w:left w:val="single" w:sz="6" w:space="30" w:color="auto"/>
      </w:pBdr>
      <w:tabs>
        <w:tab w:val="left" w:pos="720"/>
      </w:tabs>
      <w:spacing w:after="0"/>
      <w:ind w:left="2880" w:hanging="720"/>
    </w:pPr>
    <w:rPr>
      <w:sz w:val="24"/>
      <w:szCs w:val="24"/>
    </w:rPr>
  </w:style>
  <w:style w:type="paragraph" w:customStyle="1" w:styleId="1UnderBodyText5">
    <w:name w:val="1. (Under Body Text)5"/>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Headings5">
    <w:name w:val="Table Headings5"/>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1--ParaUnderBodyText5">
    <w:name w:val="1.--Para(Under Body Text)5"/>
    <w:basedOn w:val="Normal"/>
    <w:uiPriority w:val="99"/>
    <w:rsid w:val="002F501C"/>
    <w:pPr>
      <w:pBdr>
        <w:left w:val="single" w:sz="6" w:space="30" w:color="auto"/>
      </w:pBdr>
      <w:spacing w:after="0" w:line="280" w:lineRule="exact"/>
      <w:ind w:left="2160"/>
    </w:pPr>
    <w:rPr>
      <w:sz w:val="24"/>
      <w:szCs w:val="24"/>
    </w:rPr>
  </w:style>
  <w:style w:type="paragraph" w:customStyle="1" w:styleId="Tabletext5">
    <w:name w:val="Table text5"/>
    <w:basedOn w:val="Normal"/>
    <w:uiPriority w:val="99"/>
    <w:rsid w:val="002F501C"/>
    <w:pPr>
      <w:spacing w:after="0"/>
      <w:jc w:val="center"/>
    </w:pPr>
    <w:rPr>
      <w:sz w:val="18"/>
      <w:szCs w:val="18"/>
    </w:rPr>
  </w:style>
  <w:style w:type="paragraph" w:customStyle="1" w:styleId="Normal11pt">
    <w:name w:val="Normal + 11 pt"/>
    <w:basedOn w:val="Normal"/>
    <w:uiPriority w:val="99"/>
    <w:rsid w:val="002F501C"/>
    <w:pPr>
      <w:spacing w:after="60"/>
    </w:pPr>
    <w:rPr>
      <w:szCs w:val="22"/>
    </w:rPr>
  </w:style>
  <w:style w:type="paragraph" w:customStyle="1" w:styleId="1UnderBodyText7">
    <w:name w:val="1. (Under Body Text)7"/>
    <w:basedOn w:val="Normal"/>
    <w:uiPriority w:val="99"/>
    <w:rsid w:val="002F501C"/>
    <w:pPr>
      <w:pBdr>
        <w:left w:val="single" w:sz="6" w:space="30" w:color="auto"/>
      </w:pBdr>
      <w:tabs>
        <w:tab w:val="left" w:pos="720"/>
      </w:tabs>
      <w:spacing w:after="0"/>
      <w:ind w:left="2880" w:hanging="720"/>
    </w:pPr>
    <w:rPr>
      <w:sz w:val="24"/>
      <w:szCs w:val="24"/>
    </w:rPr>
  </w:style>
  <w:style w:type="paragraph" w:customStyle="1" w:styleId="TableTitle7">
    <w:name w:val="Table Title7"/>
    <w:basedOn w:val="Normal"/>
    <w:uiPriority w:val="99"/>
    <w:rsid w:val="002F501C"/>
    <w:pPr>
      <w:spacing w:before="60" w:after="60"/>
    </w:pPr>
    <w:rPr>
      <w:i/>
      <w:iCs/>
      <w:sz w:val="18"/>
      <w:szCs w:val="18"/>
      <w:u w:val="single"/>
    </w:rPr>
  </w:style>
  <w:style w:type="paragraph" w:customStyle="1" w:styleId="TableHeadings7">
    <w:name w:val="Table Headings7"/>
    <w:basedOn w:val="Normal"/>
    <w:next w:val="Normal"/>
    <w:uiPriority w:val="99"/>
    <w:rsid w:val="002F501C"/>
    <w:pPr>
      <w:overflowPunct w:val="0"/>
      <w:autoSpaceDE w:val="0"/>
      <w:autoSpaceDN w:val="0"/>
      <w:adjustRightInd w:val="0"/>
      <w:spacing w:before="120" w:after="60"/>
      <w:jc w:val="center"/>
      <w:textAlignment w:val="baseline"/>
    </w:pPr>
    <w:rPr>
      <w:sz w:val="18"/>
      <w:szCs w:val="18"/>
      <w:u w:val="single"/>
    </w:rPr>
  </w:style>
  <w:style w:type="paragraph" w:customStyle="1" w:styleId="Tabletext7">
    <w:name w:val="Table text7"/>
    <w:basedOn w:val="Normal"/>
    <w:uiPriority w:val="99"/>
    <w:rsid w:val="002F501C"/>
    <w:pPr>
      <w:spacing w:after="0"/>
      <w:jc w:val="center"/>
    </w:pPr>
    <w:rPr>
      <w:sz w:val="18"/>
      <w:szCs w:val="18"/>
    </w:rPr>
  </w:style>
  <w:style w:type="paragraph" w:customStyle="1" w:styleId="normalwithboldonly7">
    <w:name w:val="normal with bold only7"/>
    <w:basedOn w:val="Normal"/>
    <w:uiPriority w:val="99"/>
    <w:rsid w:val="002F501C"/>
    <w:pPr>
      <w:pBdr>
        <w:left w:val="single" w:sz="6" w:space="30" w:color="auto"/>
      </w:pBdr>
      <w:spacing w:after="0"/>
      <w:ind w:left="2160"/>
    </w:pPr>
    <w:rPr>
      <w:b/>
      <w:bCs/>
      <w:sz w:val="24"/>
      <w:szCs w:val="24"/>
    </w:rPr>
  </w:style>
  <w:style w:type="paragraph" w:styleId="TOC3">
    <w:name w:val="toc 3"/>
    <w:basedOn w:val="Normal"/>
    <w:next w:val="Normal"/>
    <w:autoRedefine/>
    <w:uiPriority w:val="39"/>
    <w:unhideWhenUsed/>
    <w:rsid w:val="001A0221"/>
    <w:pPr>
      <w:spacing w:after="100"/>
      <w:ind w:left="440"/>
    </w:pPr>
  </w:style>
  <w:style w:type="paragraph" w:customStyle="1" w:styleId="xl66">
    <w:name w:val="xl6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9D462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68">
    <w:name w:val="xl68"/>
    <w:basedOn w:val="Normal"/>
    <w:rsid w:val="009D4624"/>
    <w:pPr>
      <w:pBdr>
        <w:top w:val="single" w:sz="4" w:space="0" w:color="auto"/>
        <w:bottom w:val="single" w:sz="4" w:space="0" w:color="auto"/>
      </w:pBdr>
      <w:spacing w:before="100" w:beforeAutospacing="1" w:after="100" w:afterAutospacing="1"/>
      <w:jc w:val="center"/>
    </w:pPr>
    <w:rPr>
      <w:sz w:val="24"/>
      <w:szCs w:val="24"/>
    </w:rPr>
  </w:style>
  <w:style w:type="paragraph" w:customStyle="1" w:styleId="xl69">
    <w:name w:val="xl69"/>
    <w:basedOn w:val="Normal"/>
    <w:rsid w:val="009D462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Normal"/>
    <w:rsid w:val="009D4624"/>
    <w:pPr>
      <w:pBdr>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9D4624"/>
    <w:pPr>
      <w:pBdr>
        <w:top w:val="single" w:sz="4" w:space="0" w:color="auto"/>
        <w:left w:val="single" w:sz="4" w:space="0" w:color="auto"/>
      </w:pBdr>
      <w:spacing w:before="100" w:beforeAutospacing="1" w:after="100" w:afterAutospacing="1"/>
      <w:jc w:val="center"/>
    </w:pPr>
    <w:rPr>
      <w:sz w:val="24"/>
      <w:szCs w:val="24"/>
    </w:rPr>
  </w:style>
  <w:style w:type="paragraph" w:customStyle="1" w:styleId="xl73">
    <w:name w:val="xl73"/>
    <w:basedOn w:val="Normal"/>
    <w:rsid w:val="009D4624"/>
    <w:pPr>
      <w:pBdr>
        <w:top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9D4624"/>
    <w:pPr>
      <w:pBdr>
        <w:left w:val="single" w:sz="4" w:space="0" w:color="auto"/>
        <w:bottom w:val="single" w:sz="4" w:space="0" w:color="auto"/>
      </w:pBdr>
      <w:spacing w:before="100" w:beforeAutospacing="1" w:after="100" w:afterAutospacing="1"/>
      <w:jc w:val="center"/>
    </w:pPr>
    <w:rPr>
      <w:sz w:val="24"/>
      <w:szCs w:val="24"/>
    </w:rPr>
  </w:style>
  <w:style w:type="paragraph" w:customStyle="1" w:styleId="xl75">
    <w:name w:val="xl75"/>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6">
    <w:name w:val="xl76"/>
    <w:basedOn w:val="Normal"/>
    <w:rsid w:val="009D462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Default">
    <w:name w:val="Default"/>
    <w:rsid w:val="00E83E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191">
      <w:bodyDiv w:val="1"/>
      <w:marLeft w:val="0"/>
      <w:marRight w:val="0"/>
      <w:marTop w:val="0"/>
      <w:marBottom w:val="0"/>
      <w:divBdr>
        <w:top w:val="none" w:sz="0" w:space="0" w:color="auto"/>
        <w:left w:val="none" w:sz="0" w:space="0" w:color="auto"/>
        <w:bottom w:val="none" w:sz="0" w:space="0" w:color="auto"/>
        <w:right w:val="none" w:sz="0" w:space="0" w:color="auto"/>
      </w:divBdr>
      <w:divsChild>
        <w:div w:id="2075271584">
          <w:marLeft w:val="691"/>
          <w:marRight w:val="0"/>
          <w:marTop w:val="0"/>
          <w:marBottom w:val="200"/>
          <w:divBdr>
            <w:top w:val="none" w:sz="0" w:space="0" w:color="auto"/>
            <w:left w:val="none" w:sz="0" w:space="0" w:color="auto"/>
            <w:bottom w:val="none" w:sz="0" w:space="0" w:color="auto"/>
            <w:right w:val="none" w:sz="0" w:space="0" w:color="auto"/>
          </w:divBdr>
        </w:div>
      </w:divsChild>
    </w:div>
    <w:div w:id="22248254">
      <w:bodyDiv w:val="1"/>
      <w:marLeft w:val="0"/>
      <w:marRight w:val="0"/>
      <w:marTop w:val="0"/>
      <w:marBottom w:val="0"/>
      <w:divBdr>
        <w:top w:val="none" w:sz="0" w:space="0" w:color="auto"/>
        <w:left w:val="none" w:sz="0" w:space="0" w:color="auto"/>
        <w:bottom w:val="none" w:sz="0" w:space="0" w:color="auto"/>
        <w:right w:val="none" w:sz="0" w:space="0" w:color="auto"/>
      </w:divBdr>
    </w:div>
    <w:div w:id="23286255">
      <w:bodyDiv w:val="1"/>
      <w:marLeft w:val="0"/>
      <w:marRight w:val="0"/>
      <w:marTop w:val="0"/>
      <w:marBottom w:val="0"/>
      <w:divBdr>
        <w:top w:val="none" w:sz="0" w:space="0" w:color="auto"/>
        <w:left w:val="none" w:sz="0" w:space="0" w:color="auto"/>
        <w:bottom w:val="none" w:sz="0" w:space="0" w:color="auto"/>
        <w:right w:val="none" w:sz="0" w:space="0" w:color="auto"/>
      </w:divBdr>
    </w:div>
    <w:div w:id="30153096">
      <w:bodyDiv w:val="1"/>
      <w:marLeft w:val="0"/>
      <w:marRight w:val="0"/>
      <w:marTop w:val="0"/>
      <w:marBottom w:val="0"/>
      <w:divBdr>
        <w:top w:val="none" w:sz="0" w:space="0" w:color="auto"/>
        <w:left w:val="none" w:sz="0" w:space="0" w:color="auto"/>
        <w:bottom w:val="none" w:sz="0" w:space="0" w:color="auto"/>
        <w:right w:val="none" w:sz="0" w:space="0" w:color="auto"/>
      </w:divBdr>
    </w:div>
    <w:div w:id="41179913">
      <w:bodyDiv w:val="1"/>
      <w:marLeft w:val="0"/>
      <w:marRight w:val="0"/>
      <w:marTop w:val="0"/>
      <w:marBottom w:val="0"/>
      <w:divBdr>
        <w:top w:val="none" w:sz="0" w:space="0" w:color="auto"/>
        <w:left w:val="none" w:sz="0" w:space="0" w:color="auto"/>
        <w:bottom w:val="none" w:sz="0" w:space="0" w:color="auto"/>
        <w:right w:val="none" w:sz="0" w:space="0" w:color="auto"/>
      </w:divBdr>
      <w:divsChild>
        <w:div w:id="706025450">
          <w:marLeft w:val="691"/>
          <w:marRight w:val="0"/>
          <w:marTop w:val="0"/>
          <w:marBottom w:val="40"/>
          <w:divBdr>
            <w:top w:val="none" w:sz="0" w:space="0" w:color="auto"/>
            <w:left w:val="none" w:sz="0" w:space="0" w:color="auto"/>
            <w:bottom w:val="none" w:sz="0" w:space="0" w:color="auto"/>
            <w:right w:val="none" w:sz="0" w:space="0" w:color="auto"/>
          </w:divBdr>
        </w:div>
      </w:divsChild>
    </w:div>
    <w:div w:id="58796065">
      <w:bodyDiv w:val="1"/>
      <w:marLeft w:val="0"/>
      <w:marRight w:val="0"/>
      <w:marTop w:val="0"/>
      <w:marBottom w:val="0"/>
      <w:divBdr>
        <w:top w:val="none" w:sz="0" w:space="0" w:color="auto"/>
        <w:left w:val="none" w:sz="0" w:space="0" w:color="auto"/>
        <w:bottom w:val="none" w:sz="0" w:space="0" w:color="auto"/>
        <w:right w:val="none" w:sz="0" w:space="0" w:color="auto"/>
      </w:divBdr>
    </w:div>
    <w:div w:id="81222093">
      <w:bodyDiv w:val="1"/>
      <w:marLeft w:val="0"/>
      <w:marRight w:val="0"/>
      <w:marTop w:val="0"/>
      <w:marBottom w:val="0"/>
      <w:divBdr>
        <w:top w:val="none" w:sz="0" w:space="0" w:color="auto"/>
        <w:left w:val="none" w:sz="0" w:space="0" w:color="auto"/>
        <w:bottom w:val="none" w:sz="0" w:space="0" w:color="auto"/>
        <w:right w:val="none" w:sz="0" w:space="0" w:color="auto"/>
      </w:divBdr>
    </w:div>
    <w:div w:id="83190374">
      <w:bodyDiv w:val="1"/>
      <w:marLeft w:val="0"/>
      <w:marRight w:val="0"/>
      <w:marTop w:val="0"/>
      <w:marBottom w:val="0"/>
      <w:divBdr>
        <w:top w:val="none" w:sz="0" w:space="0" w:color="auto"/>
        <w:left w:val="none" w:sz="0" w:space="0" w:color="auto"/>
        <w:bottom w:val="none" w:sz="0" w:space="0" w:color="auto"/>
        <w:right w:val="none" w:sz="0" w:space="0" w:color="auto"/>
      </w:divBdr>
      <w:divsChild>
        <w:div w:id="760639550">
          <w:marLeft w:val="274"/>
          <w:marRight w:val="0"/>
          <w:marTop w:val="0"/>
          <w:marBottom w:val="0"/>
          <w:divBdr>
            <w:top w:val="none" w:sz="0" w:space="0" w:color="auto"/>
            <w:left w:val="none" w:sz="0" w:space="0" w:color="auto"/>
            <w:bottom w:val="none" w:sz="0" w:space="0" w:color="auto"/>
            <w:right w:val="none" w:sz="0" w:space="0" w:color="auto"/>
          </w:divBdr>
        </w:div>
        <w:div w:id="331881120">
          <w:marLeft w:val="274"/>
          <w:marRight w:val="0"/>
          <w:marTop w:val="0"/>
          <w:marBottom w:val="0"/>
          <w:divBdr>
            <w:top w:val="none" w:sz="0" w:space="0" w:color="auto"/>
            <w:left w:val="none" w:sz="0" w:space="0" w:color="auto"/>
            <w:bottom w:val="none" w:sz="0" w:space="0" w:color="auto"/>
            <w:right w:val="none" w:sz="0" w:space="0" w:color="auto"/>
          </w:divBdr>
        </w:div>
        <w:div w:id="121729428">
          <w:marLeft w:val="274"/>
          <w:marRight w:val="0"/>
          <w:marTop w:val="0"/>
          <w:marBottom w:val="0"/>
          <w:divBdr>
            <w:top w:val="none" w:sz="0" w:space="0" w:color="auto"/>
            <w:left w:val="none" w:sz="0" w:space="0" w:color="auto"/>
            <w:bottom w:val="none" w:sz="0" w:space="0" w:color="auto"/>
            <w:right w:val="none" w:sz="0" w:space="0" w:color="auto"/>
          </w:divBdr>
        </w:div>
        <w:div w:id="1643971769">
          <w:marLeft w:val="274"/>
          <w:marRight w:val="0"/>
          <w:marTop w:val="0"/>
          <w:marBottom w:val="0"/>
          <w:divBdr>
            <w:top w:val="none" w:sz="0" w:space="0" w:color="auto"/>
            <w:left w:val="none" w:sz="0" w:space="0" w:color="auto"/>
            <w:bottom w:val="none" w:sz="0" w:space="0" w:color="auto"/>
            <w:right w:val="none" w:sz="0" w:space="0" w:color="auto"/>
          </w:divBdr>
        </w:div>
        <w:div w:id="443696402">
          <w:marLeft w:val="173"/>
          <w:marRight w:val="0"/>
          <w:marTop w:val="0"/>
          <w:marBottom w:val="0"/>
          <w:divBdr>
            <w:top w:val="none" w:sz="0" w:space="0" w:color="auto"/>
            <w:left w:val="none" w:sz="0" w:space="0" w:color="auto"/>
            <w:bottom w:val="none" w:sz="0" w:space="0" w:color="auto"/>
            <w:right w:val="none" w:sz="0" w:space="0" w:color="auto"/>
          </w:divBdr>
        </w:div>
        <w:div w:id="1102070082">
          <w:marLeft w:val="173"/>
          <w:marRight w:val="0"/>
          <w:marTop w:val="0"/>
          <w:marBottom w:val="0"/>
          <w:divBdr>
            <w:top w:val="none" w:sz="0" w:space="0" w:color="auto"/>
            <w:left w:val="none" w:sz="0" w:space="0" w:color="auto"/>
            <w:bottom w:val="none" w:sz="0" w:space="0" w:color="auto"/>
            <w:right w:val="none" w:sz="0" w:space="0" w:color="auto"/>
          </w:divBdr>
        </w:div>
        <w:div w:id="1631865385">
          <w:marLeft w:val="173"/>
          <w:marRight w:val="0"/>
          <w:marTop w:val="0"/>
          <w:marBottom w:val="0"/>
          <w:divBdr>
            <w:top w:val="none" w:sz="0" w:space="0" w:color="auto"/>
            <w:left w:val="none" w:sz="0" w:space="0" w:color="auto"/>
            <w:bottom w:val="none" w:sz="0" w:space="0" w:color="auto"/>
            <w:right w:val="none" w:sz="0" w:space="0" w:color="auto"/>
          </w:divBdr>
        </w:div>
        <w:div w:id="272591051">
          <w:marLeft w:val="173"/>
          <w:marRight w:val="0"/>
          <w:marTop w:val="0"/>
          <w:marBottom w:val="0"/>
          <w:divBdr>
            <w:top w:val="none" w:sz="0" w:space="0" w:color="auto"/>
            <w:left w:val="none" w:sz="0" w:space="0" w:color="auto"/>
            <w:bottom w:val="none" w:sz="0" w:space="0" w:color="auto"/>
            <w:right w:val="none" w:sz="0" w:space="0" w:color="auto"/>
          </w:divBdr>
        </w:div>
        <w:div w:id="627977128">
          <w:marLeft w:val="173"/>
          <w:marRight w:val="0"/>
          <w:marTop w:val="0"/>
          <w:marBottom w:val="0"/>
          <w:divBdr>
            <w:top w:val="none" w:sz="0" w:space="0" w:color="auto"/>
            <w:left w:val="none" w:sz="0" w:space="0" w:color="auto"/>
            <w:bottom w:val="none" w:sz="0" w:space="0" w:color="auto"/>
            <w:right w:val="none" w:sz="0" w:space="0" w:color="auto"/>
          </w:divBdr>
        </w:div>
        <w:div w:id="741440809">
          <w:marLeft w:val="173"/>
          <w:marRight w:val="0"/>
          <w:marTop w:val="0"/>
          <w:marBottom w:val="0"/>
          <w:divBdr>
            <w:top w:val="none" w:sz="0" w:space="0" w:color="auto"/>
            <w:left w:val="none" w:sz="0" w:space="0" w:color="auto"/>
            <w:bottom w:val="none" w:sz="0" w:space="0" w:color="auto"/>
            <w:right w:val="none" w:sz="0" w:space="0" w:color="auto"/>
          </w:divBdr>
        </w:div>
        <w:div w:id="902987292">
          <w:marLeft w:val="173"/>
          <w:marRight w:val="0"/>
          <w:marTop w:val="0"/>
          <w:marBottom w:val="0"/>
          <w:divBdr>
            <w:top w:val="none" w:sz="0" w:space="0" w:color="auto"/>
            <w:left w:val="none" w:sz="0" w:space="0" w:color="auto"/>
            <w:bottom w:val="none" w:sz="0" w:space="0" w:color="auto"/>
            <w:right w:val="none" w:sz="0" w:space="0" w:color="auto"/>
          </w:divBdr>
        </w:div>
        <w:div w:id="570966461">
          <w:marLeft w:val="173"/>
          <w:marRight w:val="0"/>
          <w:marTop w:val="0"/>
          <w:marBottom w:val="0"/>
          <w:divBdr>
            <w:top w:val="none" w:sz="0" w:space="0" w:color="auto"/>
            <w:left w:val="none" w:sz="0" w:space="0" w:color="auto"/>
            <w:bottom w:val="none" w:sz="0" w:space="0" w:color="auto"/>
            <w:right w:val="none" w:sz="0" w:space="0" w:color="auto"/>
          </w:divBdr>
        </w:div>
        <w:div w:id="1989163535">
          <w:marLeft w:val="173"/>
          <w:marRight w:val="0"/>
          <w:marTop w:val="0"/>
          <w:marBottom w:val="0"/>
          <w:divBdr>
            <w:top w:val="none" w:sz="0" w:space="0" w:color="auto"/>
            <w:left w:val="none" w:sz="0" w:space="0" w:color="auto"/>
            <w:bottom w:val="none" w:sz="0" w:space="0" w:color="auto"/>
            <w:right w:val="none" w:sz="0" w:space="0" w:color="auto"/>
          </w:divBdr>
        </w:div>
      </w:divsChild>
    </w:div>
    <w:div w:id="118182884">
      <w:bodyDiv w:val="1"/>
      <w:marLeft w:val="0"/>
      <w:marRight w:val="0"/>
      <w:marTop w:val="0"/>
      <w:marBottom w:val="0"/>
      <w:divBdr>
        <w:top w:val="none" w:sz="0" w:space="0" w:color="auto"/>
        <w:left w:val="none" w:sz="0" w:space="0" w:color="auto"/>
        <w:bottom w:val="none" w:sz="0" w:space="0" w:color="auto"/>
        <w:right w:val="none" w:sz="0" w:space="0" w:color="auto"/>
      </w:divBdr>
      <w:divsChild>
        <w:div w:id="1426684421">
          <w:marLeft w:val="173"/>
          <w:marRight w:val="0"/>
          <w:marTop w:val="0"/>
          <w:marBottom w:val="0"/>
          <w:divBdr>
            <w:top w:val="none" w:sz="0" w:space="0" w:color="auto"/>
            <w:left w:val="none" w:sz="0" w:space="0" w:color="auto"/>
            <w:bottom w:val="none" w:sz="0" w:space="0" w:color="auto"/>
            <w:right w:val="none" w:sz="0" w:space="0" w:color="auto"/>
          </w:divBdr>
        </w:div>
        <w:div w:id="878978435">
          <w:marLeft w:val="173"/>
          <w:marRight w:val="0"/>
          <w:marTop w:val="0"/>
          <w:marBottom w:val="0"/>
          <w:divBdr>
            <w:top w:val="none" w:sz="0" w:space="0" w:color="auto"/>
            <w:left w:val="none" w:sz="0" w:space="0" w:color="auto"/>
            <w:bottom w:val="none" w:sz="0" w:space="0" w:color="auto"/>
            <w:right w:val="none" w:sz="0" w:space="0" w:color="auto"/>
          </w:divBdr>
        </w:div>
        <w:div w:id="2130927362">
          <w:marLeft w:val="173"/>
          <w:marRight w:val="0"/>
          <w:marTop w:val="0"/>
          <w:marBottom w:val="0"/>
          <w:divBdr>
            <w:top w:val="none" w:sz="0" w:space="0" w:color="auto"/>
            <w:left w:val="none" w:sz="0" w:space="0" w:color="auto"/>
            <w:bottom w:val="none" w:sz="0" w:space="0" w:color="auto"/>
            <w:right w:val="none" w:sz="0" w:space="0" w:color="auto"/>
          </w:divBdr>
        </w:div>
      </w:divsChild>
    </w:div>
    <w:div w:id="121391281">
      <w:bodyDiv w:val="1"/>
      <w:marLeft w:val="0"/>
      <w:marRight w:val="0"/>
      <w:marTop w:val="0"/>
      <w:marBottom w:val="0"/>
      <w:divBdr>
        <w:top w:val="none" w:sz="0" w:space="0" w:color="auto"/>
        <w:left w:val="none" w:sz="0" w:space="0" w:color="auto"/>
        <w:bottom w:val="none" w:sz="0" w:space="0" w:color="auto"/>
        <w:right w:val="none" w:sz="0" w:space="0" w:color="auto"/>
      </w:divBdr>
    </w:div>
    <w:div w:id="142429659">
      <w:bodyDiv w:val="1"/>
      <w:marLeft w:val="0"/>
      <w:marRight w:val="0"/>
      <w:marTop w:val="0"/>
      <w:marBottom w:val="0"/>
      <w:divBdr>
        <w:top w:val="none" w:sz="0" w:space="0" w:color="auto"/>
        <w:left w:val="none" w:sz="0" w:space="0" w:color="auto"/>
        <w:bottom w:val="none" w:sz="0" w:space="0" w:color="auto"/>
        <w:right w:val="none" w:sz="0" w:space="0" w:color="auto"/>
      </w:divBdr>
      <w:divsChild>
        <w:div w:id="1180006629">
          <w:marLeft w:val="691"/>
          <w:marRight w:val="0"/>
          <w:marTop w:val="0"/>
          <w:marBottom w:val="120"/>
          <w:divBdr>
            <w:top w:val="none" w:sz="0" w:space="0" w:color="auto"/>
            <w:left w:val="none" w:sz="0" w:space="0" w:color="auto"/>
            <w:bottom w:val="none" w:sz="0" w:space="0" w:color="auto"/>
            <w:right w:val="none" w:sz="0" w:space="0" w:color="auto"/>
          </w:divBdr>
        </w:div>
        <w:div w:id="221865078">
          <w:marLeft w:val="1152"/>
          <w:marRight w:val="0"/>
          <w:marTop w:val="58"/>
          <w:marBottom w:val="120"/>
          <w:divBdr>
            <w:top w:val="none" w:sz="0" w:space="0" w:color="auto"/>
            <w:left w:val="none" w:sz="0" w:space="0" w:color="auto"/>
            <w:bottom w:val="none" w:sz="0" w:space="0" w:color="auto"/>
            <w:right w:val="none" w:sz="0" w:space="0" w:color="auto"/>
          </w:divBdr>
        </w:div>
        <w:div w:id="1406800167">
          <w:marLeft w:val="1152"/>
          <w:marRight w:val="0"/>
          <w:marTop w:val="58"/>
          <w:marBottom w:val="120"/>
          <w:divBdr>
            <w:top w:val="none" w:sz="0" w:space="0" w:color="auto"/>
            <w:left w:val="none" w:sz="0" w:space="0" w:color="auto"/>
            <w:bottom w:val="none" w:sz="0" w:space="0" w:color="auto"/>
            <w:right w:val="none" w:sz="0" w:space="0" w:color="auto"/>
          </w:divBdr>
        </w:div>
        <w:div w:id="635574422">
          <w:marLeft w:val="1152"/>
          <w:marRight w:val="0"/>
          <w:marTop w:val="58"/>
          <w:marBottom w:val="120"/>
          <w:divBdr>
            <w:top w:val="none" w:sz="0" w:space="0" w:color="auto"/>
            <w:left w:val="none" w:sz="0" w:space="0" w:color="auto"/>
            <w:bottom w:val="none" w:sz="0" w:space="0" w:color="auto"/>
            <w:right w:val="none" w:sz="0" w:space="0" w:color="auto"/>
          </w:divBdr>
        </w:div>
        <w:div w:id="960190181">
          <w:marLeft w:val="691"/>
          <w:marRight w:val="0"/>
          <w:marTop w:val="0"/>
          <w:marBottom w:val="120"/>
          <w:divBdr>
            <w:top w:val="none" w:sz="0" w:space="0" w:color="auto"/>
            <w:left w:val="none" w:sz="0" w:space="0" w:color="auto"/>
            <w:bottom w:val="none" w:sz="0" w:space="0" w:color="auto"/>
            <w:right w:val="none" w:sz="0" w:space="0" w:color="auto"/>
          </w:divBdr>
        </w:div>
        <w:div w:id="491717995">
          <w:marLeft w:val="1152"/>
          <w:marRight w:val="0"/>
          <w:marTop w:val="58"/>
          <w:marBottom w:val="120"/>
          <w:divBdr>
            <w:top w:val="none" w:sz="0" w:space="0" w:color="auto"/>
            <w:left w:val="none" w:sz="0" w:space="0" w:color="auto"/>
            <w:bottom w:val="none" w:sz="0" w:space="0" w:color="auto"/>
            <w:right w:val="none" w:sz="0" w:space="0" w:color="auto"/>
          </w:divBdr>
        </w:div>
        <w:div w:id="1789623521">
          <w:marLeft w:val="1152"/>
          <w:marRight w:val="0"/>
          <w:marTop w:val="58"/>
          <w:marBottom w:val="120"/>
          <w:divBdr>
            <w:top w:val="none" w:sz="0" w:space="0" w:color="auto"/>
            <w:left w:val="none" w:sz="0" w:space="0" w:color="auto"/>
            <w:bottom w:val="none" w:sz="0" w:space="0" w:color="auto"/>
            <w:right w:val="none" w:sz="0" w:space="0" w:color="auto"/>
          </w:divBdr>
        </w:div>
        <w:div w:id="375130272">
          <w:marLeft w:val="691"/>
          <w:marRight w:val="0"/>
          <w:marTop w:val="0"/>
          <w:marBottom w:val="120"/>
          <w:divBdr>
            <w:top w:val="none" w:sz="0" w:space="0" w:color="auto"/>
            <w:left w:val="none" w:sz="0" w:space="0" w:color="auto"/>
            <w:bottom w:val="none" w:sz="0" w:space="0" w:color="auto"/>
            <w:right w:val="none" w:sz="0" w:space="0" w:color="auto"/>
          </w:divBdr>
        </w:div>
        <w:div w:id="1175026139">
          <w:marLeft w:val="1152"/>
          <w:marRight w:val="0"/>
          <w:marTop w:val="58"/>
          <w:marBottom w:val="120"/>
          <w:divBdr>
            <w:top w:val="none" w:sz="0" w:space="0" w:color="auto"/>
            <w:left w:val="none" w:sz="0" w:space="0" w:color="auto"/>
            <w:bottom w:val="none" w:sz="0" w:space="0" w:color="auto"/>
            <w:right w:val="none" w:sz="0" w:space="0" w:color="auto"/>
          </w:divBdr>
        </w:div>
        <w:div w:id="1565292899">
          <w:marLeft w:val="1570"/>
          <w:marRight w:val="0"/>
          <w:marTop w:val="48"/>
          <w:marBottom w:val="120"/>
          <w:divBdr>
            <w:top w:val="none" w:sz="0" w:space="0" w:color="auto"/>
            <w:left w:val="none" w:sz="0" w:space="0" w:color="auto"/>
            <w:bottom w:val="none" w:sz="0" w:space="0" w:color="auto"/>
            <w:right w:val="none" w:sz="0" w:space="0" w:color="auto"/>
          </w:divBdr>
        </w:div>
        <w:div w:id="271404783">
          <w:marLeft w:val="1570"/>
          <w:marRight w:val="0"/>
          <w:marTop w:val="48"/>
          <w:marBottom w:val="120"/>
          <w:divBdr>
            <w:top w:val="none" w:sz="0" w:space="0" w:color="auto"/>
            <w:left w:val="none" w:sz="0" w:space="0" w:color="auto"/>
            <w:bottom w:val="none" w:sz="0" w:space="0" w:color="auto"/>
            <w:right w:val="none" w:sz="0" w:space="0" w:color="auto"/>
          </w:divBdr>
        </w:div>
        <w:div w:id="676035205">
          <w:marLeft w:val="1570"/>
          <w:marRight w:val="0"/>
          <w:marTop w:val="48"/>
          <w:marBottom w:val="120"/>
          <w:divBdr>
            <w:top w:val="none" w:sz="0" w:space="0" w:color="auto"/>
            <w:left w:val="none" w:sz="0" w:space="0" w:color="auto"/>
            <w:bottom w:val="none" w:sz="0" w:space="0" w:color="auto"/>
            <w:right w:val="none" w:sz="0" w:space="0" w:color="auto"/>
          </w:divBdr>
        </w:div>
        <w:div w:id="1002008727">
          <w:marLeft w:val="1152"/>
          <w:marRight w:val="0"/>
          <w:marTop w:val="58"/>
          <w:marBottom w:val="120"/>
          <w:divBdr>
            <w:top w:val="none" w:sz="0" w:space="0" w:color="auto"/>
            <w:left w:val="none" w:sz="0" w:space="0" w:color="auto"/>
            <w:bottom w:val="none" w:sz="0" w:space="0" w:color="auto"/>
            <w:right w:val="none" w:sz="0" w:space="0" w:color="auto"/>
          </w:divBdr>
        </w:div>
      </w:divsChild>
    </w:div>
    <w:div w:id="191579609">
      <w:bodyDiv w:val="1"/>
      <w:marLeft w:val="0"/>
      <w:marRight w:val="0"/>
      <w:marTop w:val="0"/>
      <w:marBottom w:val="0"/>
      <w:divBdr>
        <w:top w:val="none" w:sz="0" w:space="0" w:color="auto"/>
        <w:left w:val="none" w:sz="0" w:space="0" w:color="auto"/>
        <w:bottom w:val="none" w:sz="0" w:space="0" w:color="auto"/>
        <w:right w:val="none" w:sz="0" w:space="0" w:color="auto"/>
      </w:divBdr>
    </w:div>
    <w:div w:id="262998112">
      <w:bodyDiv w:val="1"/>
      <w:marLeft w:val="0"/>
      <w:marRight w:val="0"/>
      <w:marTop w:val="0"/>
      <w:marBottom w:val="0"/>
      <w:divBdr>
        <w:top w:val="none" w:sz="0" w:space="0" w:color="auto"/>
        <w:left w:val="none" w:sz="0" w:space="0" w:color="auto"/>
        <w:bottom w:val="none" w:sz="0" w:space="0" w:color="auto"/>
        <w:right w:val="none" w:sz="0" w:space="0" w:color="auto"/>
      </w:divBdr>
    </w:div>
    <w:div w:id="270165795">
      <w:bodyDiv w:val="1"/>
      <w:marLeft w:val="0"/>
      <w:marRight w:val="0"/>
      <w:marTop w:val="0"/>
      <w:marBottom w:val="0"/>
      <w:divBdr>
        <w:top w:val="none" w:sz="0" w:space="0" w:color="auto"/>
        <w:left w:val="none" w:sz="0" w:space="0" w:color="auto"/>
        <w:bottom w:val="none" w:sz="0" w:space="0" w:color="auto"/>
        <w:right w:val="none" w:sz="0" w:space="0" w:color="auto"/>
      </w:divBdr>
    </w:div>
    <w:div w:id="301006935">
      <w:bodyDiv w:val="1"/>
      <w:marLeft w:val="0"/>
      <w:marRight w:val="0"/>
      <w:marTop w:val="0"/>
      <w:marBottom w:val="0"/>
      <w:divBdr>
        <w:top w:val="none" w:sz="0" w:space="0" w:color="auto"/>
        <w:left w:val="none" w:sz="0" w:space="0" w:color="auto"/>
        <w:bottom w:val="none" w:sz="0" w:space="0" w:color="auto"/>
        <w:right w:val="none" w:sz="0" w:space="0" w:color="auto"/>
      </w:divBdr>
      <w:divsChild>
        <w:div w:id="251473460">
          <w:marLeft w:val="173"/>
          <w:marRight w:val="0"/>
          <w:marTop w:val="0"/>
          <w:marBottom w:val="0"/>
          <w:divBdr>
            <w:top w:val="none" w:sz="0" w:space="0" w:color="auto"/>
            <w:left w:val="none" w:sz="0" w:space="0" w:color="auto"/>
            <w:bottom w:val="none" w:sz="0" w:space="0" w:color="auto"/>
            <w:right w:val="none" w:sz="0" w:space="0" w:color="auto"/>
          </w:divBdr>
        </w:div>
        <w:div w:id="1285766851">
          <w:marLeft w:val="173"/>
          <w:marRight w:val="0"/>
          <w:marTop w:val="0"/>
          <w:marBottom w:val="0"/>
          <w:divBdr>
            <w:top w:val="none" w:sz="0" w:space="0" w:color="auto"/>
            <w:left w:val="none" w:sz="0" w:space="0" w:color="auto"/>
            <w:bottom w:val="none" w:sz="0" w:space="0" w:color="auto"/>
            <w:right w:val="none" w:sz="0" w:space="0" w:color="auto"/>
          </w:divBdr>
        </w:div>
        <w:div w:id="1359232339">
          <w:marLeft w:val="173"/>
          <w:marRight w:val="0"/>
          <w:marTop w:val="0"/>
          <w:marBottom w:val="0"/>
          <w:divBdr>
            <w:top w:val="none" w:sz="0" w:space="0" w:color="auto"/>
            <w:left w:val="none" w:sz="0" w:space="0" w:color="auto"/>
            <w:bottom w:val="none" w:sz="0" w:space="0" w:color="auto"/>
            <w:right w:val="none" w:sz="0" w:space="0" w:color="auto"/>
          </w:divBdr>
        </w:div>
        <w:div w:id="268850822">
          <w:marLeft w:val="173"/>
          <w:marRight w:val="0"/>
          <w:marTop w:val="0"/>
          <w:marBottom w:val="0"/>
          <w:divBdr>
            <w:top w:val="none" w:sz="0" w:space="0" w:color="auto"/>
            <w:left w:val="none" w:sz="0" w:space="0" w:color="auto"/>
            <w:bottom w:val="none" w:sz="0" w:space="0" w:color="auto"/>
            <w:right w:val="none" w:sz="0" w:space="0" w:color="auto"/>
          </w:divBdr>
        </w:div>
        <w:div w:id="2076269999">
          <w:marLeft w:val="173"/>
          <w:marRight w:val="0"/>
          <w:marTop w:val="0"/>
          <w:marBottom w:val="0"/>
          <w:divBdr>
            <w:top w:val="none" w:sz="0" w:space="0" w:color="auto"/>
            <w:left w:val="none" w:sz="0" w:space="0" w:color="auto"/>
            <w:bottom w:val="none" w:sz="0" w:space="0" w:color="auto"/>
            <w:right w:val="none" w:sz="0" w:space="0" w:color="auto"/>
          </w:divBdr>
        </w:div>
        <w:div w:id="9069432">
          <w:marLeft w:val="173"/>
          <w:marRight w:val="0"/>
          <w:marTop w:val="0"/>
          <w:marBottom w:val="0"/>
          <w:divBdr>
            <w:top w:val="none" w:sz="0" w:space="0" w:color="auto"/>
            <w:left w:val="none" w:sz="0" w:space="0" w:color="auto"/>
            <w:bottom w:val="none" w:sz="0" w:space="0" w:color="auto"/>
            <w:right w:val="none" w:sz="0" w:space="0" w:color="auto"/>
          </w:divBdr>
        </w:div>
      </w:divsChild>
    </w:div>
    <w:div w:id="337588023">
      <w:bodyDiv w:val="1"/>
      <w:marLeft w:val="0"/>
      <w:marRight w:val="0"/>
      <w:marTop w:val="0"/>
      <w:marBottom w:val="0"/>
      <w:divBdr>
        <w:top w:val="none" w:sz="0" w:space="0" w:color="auto"/>
        <w:left w:val="none" w:sz="0" w:space="0" w:color="auto"/>
        <w:bottom w:val="none" w:sz="0" w:space="0" w:color="auto"/>
        <w:right w:val="none" w:sz="0" w:space="0" w:color="auto"/>
      </w:divBdr>
      <w:divsChild>
        <w:div w:id="863903175">
          <w:marLeft w:val="173"/>
          <w:marRight w:val="0"/>
          <w:marTop w:val="0"/>
          <w:marBottom w:val="0"/>
          <w:divBdr>
            <w:top w:val="none" w:sz="0" w:space="0" w:color="auto"/>
            <w:left w:val="none" w:sz="0" w:space="0" w:color="auto"/>
            <w:bottom w:val="none" w:sz="0" w:space="0" w:color="auto"/>
            <w:right w:val="none" w:sz="0" w:space="0" w:color="auto"/>
          </w:divBdr>
        </w:div>
        <w:div w:id="516579826">
          <w:marLeft w:val="173"/>
          <w:marRight w:val="0"/>
          <w:marTop w:val="0"/>
          <w:marBottom w:val="0"/>
          <w:divBdr>
            <w:top w:val="none" w:sz="0" w:space="0" w:color="auto"/>
            <w:left w:val="none" w:sz="0" w:space="0" w:color="auto"/>
            <w:bottom w:val="none" w:sz="0" w:space="0" w:color="auto"/>
            <w:right w:val="none" w:sz="0" w:space="0" w:color="auto"/>
          </w:divBdr>
        </w:div>
        <w:div w:id="1362977624">
          <w:marLeft w:val="173"/>
          <w:marRight w:val="0"/>
          <w:marTop w:val="0"/>
          <w:marBottom w:val="0"/>
          <w:divBdr>
            <w:top w:val="none" w:sz="0" w:space="0" w:color="auto"/>
            <w:left w:val="none" w:sz="0" w:space="0" w:color="auto"/>
            <w:bottom w:val="none" w:sz="0" w:space="0" w:color="auto"/>
            <w:right w:val="none" w:sz="0" w:space="0" w:color="auto"/>
          </w:divBdr>
        </w:div>
        <w:div w:id="1441678216">
          <w:marLeft w:val="173"/>
          <w:marRight w:val="0"/>
          <w:marTop w:val="0"/>
          <w:marBottom w:val="0"/>
          <w:divBdr>
            <w:top w:val="none" w:sz="0" w:space="0" w:color="auto"/>
            <w:left w:val="none" w:sz="0" w:space="0" w:color="auto"/>
            <w:bottom w:val="none" w:sz="0" w:space="0" w:color="auto"/>
            <w:right w:val="none" w:sz="0" w:space="0" w:color="auto"/>
          </w:divBdr>
        </w:div>
        <w:div w:id="1646624238">
          <w:marLeft w:val="173"/>
          <w:marRight w:val="0"/>
          <w:marTop w:val="0"/>
          <w:marBottom w:val="0"/>
          <w:divBdr>
            <w:top w:val="none" w:sz="0" w:space="0" w:color="auto"/>
            <w:left w:val="none" w:sz="0" w:space="0" w:color="auto"/>
            <w:bottom w:val="none" w:sz="0" w:space="0" w:color="auto"/>
            <w:right w:val="none" w:sz="0" w:space="0" w:color="auto"/>
          </w:divBdr>
        </w:div>
        <w:div w:id="2070299941">
          <w:marLeft w:val="173"/>
          <w:marRight w:val="0"/>
          <w:marTop w:val="0"/>
          <w:marBottom w:val="0"/>
          <w:divBdr>
            <w:top w:val="none" w:sz="0" w:space="0" w:color="auto"/>
            <w:left w:val="none" w:sz="0" w:space="0" w:color="auto"/>
            <w:bottom w:val="none" w:sz="0" w:space="0" w:color="auto"/>
            <w:right w:val="none" w:sz="0" w:space="0" w:color="auto"/>
          </w:divBdr>
        </w:div>
        <w:div w:id="1435710985">
          <w:marLeft w:val="173"/>
          <w:marRight w:val="0"/>
          <w:marTop w:val="0"/>
          <w:marBottom w:val="0"/>
          <w:divBdr>
            <w:top w:val="none" w:sz="0" w:space="0" w:color="auto"/>
            <w:left w:val="none" w:sz="0" w:space="0" w:color="auto"/>
            <w:bottom w:val="none" w:sz="0" w:space="0" w:color="auto"/>
            <w:right w:val="none" w:sz="0" w:space="0" w:color="auto"/>
          </w:divBdr>
        </w:div>
      </w:divsChild>
    </w:div>
    <w:div w:id="355083248">
      <w:bodyDiv w:val="1"/>
      <w:marLeft w:val="0"/>
      <w:marRight w:val="0"/>
      <w:marTop w:val="0"/>
      <w:marBottom w:val="0"/>
      <w:divBdr>
        <w:top w:val="none" w:sz="0" w:space="0" w:color="auto"/>
        <w:left w:val="none" w:sz="0" w:space="0" w:color="auto"/>
        <w:bottom w:val="none" w:sz="0" w:space="0" w:color="auto"/>
        <w:right w:val="none" w:sz="0" w:space="0" w:color="auto"/>
      </w:divBdr>
      <w:divsChild>
        <w:div w:id="2059476675">
          <w:marLeft w:val="1152"/>
          <w:marRight w:val="0"/>
          <w:marTop w:val="58"/>
          <w:marBottom w:val="200"/>
          <w:divBdr>
            <w:top w:val="none" w:sz="0" w:space="0" w:color="auto"/>
            <w:left w:val="none" w:sz="0" w:space="0" w:color="auto"/>
            <w:bottom w:val="none" w:sz="0" w:space="0" w:color="auto"/>
            <w:right w:val="none" w:sz="0" w:space="0" w:color="auto"/>
          </w:divBdr>
        </w:div>
        <w:div w:id="120852162">
          <w:marLeft w:val="1152"/>
          <w:marRight w:val="0"/>
          <w:marTop w:val="58"/>
          <w:marBottom w:val="200"/>
          <w:divBdr>
            <w:top w:val="none" w:sz="0" w:space="0" w:color="auto"/>
            <w:left w:val="none" w:sz="0" w:space="0" w:color="auto"/>
            <w:bottom w:val="none" w:sz="0" w:space="0" w:color="auto"/>
            <w:right w:val="none" w:sz="0" w:space="0" w:color="auto"/>
          </w:divBdr>
        </w:div>
        <w:div w:id="730033366">
          <w:marLeft w:val="1152"/>
          <w:marRight w:val="0"/>
          <w:marTop w:val="58"/>
          <w:marBottom w:val="200"/>
          <w:divBdr>
            <w:top w:val="none" w:sz="0" w:space="0" w:color="auto"/>
            <w:left w:val="none" w:sz="0" w:space="0" w:color="auto"/>
            <w:bottom w:val="none" w:sz="0" w:space="0" w:color="auto"/>
            <w:right w:val="none" w:sz="0" w:space="0" w:color="auto"/>
          </w:divBdr>
        </w:div>
        <w:div w:id="635452768">
          <w:marLeft w:val="1152"/>
          <w:marRight w:val="0"/>
          <w:marTop w:val="58"/>
          <w:marBottom w:val="200"/>
          <w:divBdr>
            <w:top w:val="none" w:sz="0" w:space="0" w:color="auto"/>
            <w:left w:val="none" w:sz="0" w:space="0" w:color="auto"/>
            <w:bottom w:val="none" w:sz="0" w:space="0" w:color="auto"/>
            <w:right w:val="none" w:sz="0" w:space="0" w:color="auto"/>
          </w:divBdr>
        </w:div>
      </w:divsChild>
    </w:div>
    <w:div w:id="367989938">
      <w:bodyDiv w:val="1"/>
      <w:marLeft w:val="0"/>
      <w:marRight w:val="0"/>
      <w:marTop w:val="0"/>
      <w:marBottom w:val="0"/>
      <w:divBdr>
        <w:top w:val="none" w:sz="0" w:space="0" w:color="auto"/>
        <w:left w:val="none" w:sz="0" w:space="0" w:color="auto"/>
        <w:bottom w:val="none" w:sz="0" w:space="0" w:color="auto"/>
        <w:right w:val="none" w:sz="0" w:space="0" w:color="auto"/>
      </w:divBdr>
    </w:div>
    <w:div w:id="418260654">
      <w:bodyDiv w:val="1"/>
      <w:marLeft w:val="0"/>
      <w:marRight w:val="0"/>
      <w:marTop w:val="0"/>
      <w:marBottom w:val="0"/>
      <w:divBdr>
        <w:top w:val="none" w:sz="0" w:space="0" w:color="auto"/>
        <w:left w:val="none" w:sz="0" w:space="0" w:color="auto"/>
        <w:bottom w:val="none" w:sz="0" w:space="0" w:color="auto"/>
        <w:right w:val="none" w:sz="0" w:space="0" w:color="auto"/>
      </w:divBdr>
    </w:div>
    <w:div w:id="471217973">
      <w:bodyDiv w:val="1"/>
      <w:marLeft w:val="0"/>
      <w:marRight w:val="0"/>
      <w:marTop w:val="0"/>
      <w:marBottom w:val="0"/>
      <w:divBdr>
        <w:top w:val="none" w:sz="0" w:space="0" w:color="auto"/>
        <w:left w:val="none" w:sz="0" w:space="0" w:color="auto"/>
        <w:bottom w:val="none" w:sz="0" w:space="0" w:color="auto"/>
        <w:right w:val="none" w:sz="0" w:space="0" w:color="auto"/>
      </w:divBdr>
      <w:divsChild>
        <w:div w:id="119152865">
          <w:marLeft w:val="1152"/>
          <w:marRight w:val="0"/>
          <w:marTop w:val="58"/>
          <w:marBottom w:val="200"/>
          <w:divBdr>
            <w:top w:val="none" w:sz="0" w:space="0" w:color="auto"/>
            <w:left w:val="none" w:sz="0" w:space="0" w:color="auto"/>
            <w:bottom w:val="none" w:sz="0" w:space="0" w:color="auto"/>
            <w:right w:val="none" w:sz="0" w:space="0" w:color="auto"/>
          </w:divBdr>
        </w:div>
        <w:div w:id="1459369914">
          <w:marLeft w:val="1152"/>
          <w:marRight w:val="0"/>
          <w:marTop w:val="58"/>
          <w:marBottom w:val="200"/>
          <w:divBdr>
            <w:top w:val="none" w:sz="0" w:space="0" w:color="auto"/>
            <w:left w:val="none" w:sz="0" w:space="0" w:color="auto"/>
            <w:bottom w:val="none" w:sz="0" w:space="0" w:color="auto"/>
            <w:right w:val="none" w:sz="0" w:space="0" w:color="auto"/>
          </w:divBdr>
        </w:div>
        <w:div w:id="1186212611">
          <w:marLeft w:val="1152"/>
          <w:marRight w:val="0"/>
          <w:marTop w:val="58"/>
          <w:marBottom w:val="200"/>
          <w:divBdr>
            <w:top w:val="none" w:sz="0" w:space="0" w:color="auto"/>
            <w:left w:val="none" w:sz="0" w:space="0" w:color="auto"/>
            <w:bottom w:val="none" w:sz="0" w:space="0" w:color="auto"/>
            <w:right w:val="none" w:sz="0" w:space="0" w:color="auto"/>
          </w:divBdr>
        </w:div>
      </w:divsChild>
    </w:div>
    <w:div w:id="472722441">
      <w:bodyDiv w:val="1"/>
      <w:marLeft w:val="0"/>
      <w:marRight w:val="0"/>
      <w:marTop w:val="0"/>
      <w:marBottom w:val="0"/>
      <w:divBdr>
        <w:top w:val="none" w:sz="0" w:space="0" w:color="auto"/>
        <w:left w:val="none" w:sz="0" w:space="0" w:color="auto"/>
        <w:bottom w:val="none" w:sz="0" w:space="0" w:color="auto"/>
        <w:right w:val="none" w:sz="0" w:space="0" w:color="auto"/>
      </w:divBdr>
      <w:divsChild>
        <w:div w:id="101154021">
          <w:marLeft w:val="1152"/>
          <w:marRight w:val="0"/>
          <w:marTop w:val="50"/>
          <w:marBottom w:val="0"/>
          <w:divBdr>
            <w:top w:val="none" w:sz="0" w:space="0" w:color="auto"/>
            <w:left w:val="none" w:sz="0" w:space="0" w:color="auto"/>
            <w:bottom w:val="none" w:sz="0" w:space="0" w:color="auto"/>
            <w:right w:val="none" w:sz="0" w:space="0" w:color="auto"/>
          </w:divBdr>
        </w:div>
      </w:divsChild>
    </w:div>
    <w:div w:id="497230101">
      <w:bodyDiv w:val="1"/>
      <w:marLeft w:val="0"/>
      <w:marRight w:val="0"/>
      <w:marTop w:val="0"/>
      <w:marBottom w:val="0"/>
      <w:divBdr>
        <w:top w:val="none" w:sz="0" w:space="0" w:color="auto"/>
        <w:left w:val="none" w:sz="0" w:space="0" w:color="auto"/>
        <w:bottom w:val="none" w:sz="0" w:space="0" w:color="auto"/>
        <w:right w:val="none" w:sz="0" w:space="0" w:color="auto"/>
      </w:divBdr>
    </w:div>
    <w:div w:id="504127690">
      <w:bodyDiv w:val="1"/>
      <w:marLeft w:val="0"/>
      <w:marRight w:val="0"/>
      <w:marTop w:val="0"/>
      <w:marBottom w:val="0"/>
      <w:divBdr>
        <w:top w:val="none" w:sz="0" w:space="0" w:color="auto"/>
        <w:left w:val="none" w:sz="0" w:space="0" w:color="auto"/>
        <w:bottom w:val="none" w:sz="0" w:space="0" w:color="auto"/>
        <w:right w:val="none" w:sz="0" w:space="0" w:color="auto"/>
      </w:divBdr>
    </w:div>
    <w:div w:id="509563067">
      <w:bodyDiv w:val="1"/>
      <w:marLeft w:val="0"/>
      <w:marRight w:val="0"/>
      <w:marTop w:val="0"/>
      <w:marBottom w:val="0"/>
      <w:divBdr>
        <w:top w:val="none" w:sz="0" w:space="0" w:color="auto"/>
        <w:left w:val="none" w:sz="0" w:space="0" w:color="auto"/>
        <w:bottom w:val="none" w:sz="0" w:space="0" w:color="auto"/>
        <w:right w:val="none" w:sz="0" w:space="0" w:color="auto"/>
      </w:divBdr>
      <w:divsChild>
        <w:div w:id="370152550">
          <w:marLeft w:val="173"/>
          <w:marRight w:val="0"/>
          <w:marTop w:val="0"/>
          <w:marBottom w:val="0"/>
          <w:divBdr>
            <w:top w:val="none" w:sz="0" w:space="0" w:color="auto"/>
            <w:left w:val="none" w:sz="0" w:space="0" w:color="auto"/>
            <w:bottom w:val="none" w:sz="0" w:space="0" w:color="auto"/>
            <w:right w:val="none" w:sz="0" w:space="0" w:color="auto"/>
          </w:divBdr>
        </w:div>
        <w:div w:id="1442921676">
          <w:marLeft w:val="173"/>
          <w:marRight w:val="0"/>
          <w:marTop w:val="0"/>
          <w:marBottom w:val="0"/>
          <w:divBdr>
            <w:top w:val="none" w:sz="0" w:space="0" w:color="auto"/>
            <w:left w:val="none" w:sz="0" w:space="0" w:color="auto"/>
            <w:bottom w:val="none" w:sz="0" w:space="0" w:color="auto"/>
            <w:right w:val="none" w:sz="0" w:space="0" w:color="auto"/>
          </w:divBdr>
        </w:div>
        <w:div w:id="1240139517">
          <w:marLeft w:val="173"/>
          <w:marRight w:val="0"/>
          <w:marTop w:val="0"/>
          <w:marBottom w:val="0"/>
          <w:divBdr>
            <w:top w:val="none" w:sz="0" w:space="0" w:color="auto"/>
            <w:left w:val="none" w:sz="0" w:space="0" w:color="auto"/>
            <w:bottom w:val="none" w:sz="0" w:space="0" w:color="auto"/>
            <w:right w:val="none" w:sz="0" w:space="0" w:color="auto"/>
          </w:divBdr>
        </w:div>
        <w:div w:id="1148282475">
          <w:marLeft w:val="173"/>
          <w:marRight w:val="0"/>
          <w:marTop w:val="0"/>
          <w:marBottom w:val="0"/>
          <w:divBdr>
            <w:top w:val="none" w:sz="0" w:space="0" w:color="auto"/>
            <w:left w:val="none" w:sz="0" w:space="0" w:color="auto"/>
            <w:bottom w:val="none" w:sz="0" w:space="0" w:color="auto"/>
            <w:right w:val="none" w:sz="0" w:space="0" w:color="auto"/>
          </w:divBdr>
        </w:div>
        <w:div w:id="613361947">
          <w:marLeft w:val="173"/>
          <w:marRight w:val="0"/>
          <w:marTop w:val="0"/>
          <w:marBottom w:val="0"/>
          <w:divBdr>
            <w:top w:val="none" w:sz="0" w:space="0" w:color="auto"/>
            <w:left w:val="none" w:sz="0" w:space="0" w:color="auto"/>
            <w:bottom w:val="none" w:sz="0" w:space="0" w:color="auto"/>
            <w:right w:val="none" w:sz="0" w:space="0" w:color="auto"/>
          </w:divBdr>
        </w:div>
        <w:div w:id="763841570">
          <w:marLeft w:val="173"/>
          <w:marRight w:val="0"/>
          <w:marTop w:val="0"/>
          <w:marBottom w:val="0"/>
          <w:divBdr>
            <w:top w:val="none" w:sz="0" w:space="0" w:color="auto"/>
            <w:left w:val="none" w:sz="0" w:space="0" w:color="auto"/>
            <w:bottom w:val="none" w:sz="0" w:space="0" w:color="auto"/>
            <w:right w:val="none" w:sz="0" w:space="0" w:color="auto"/>
          </w:divBdr>
        </w:div>
        <w:div w:id="1739865923">
          <w:marLeft w:val="173"/>
          <w:marRight w:val="0"/>
          <w:marTop w:val="0"/>
          <w:marBottom w:val="0"/>
          <w:divBdr>
            <w:top w:val="none" w:sz="0" w:space="0" w:color="auto"/>
            <w:left w:val="none" w:sz="0" w:space="0" w:color="auto"/>
            <w:bottom w:val="none" w:sz="0" w:space="0" w:color="auto"/>
            <w:right w:val="none" w:sz="0" w:space="0" w:color="auto"/>
          </w:divBdr>
        </w:div>
        <w:div w:id="467892597">
          <w:marLeft w:val="173"/>
          <w:marRight w:val="0"/>
          <w:marTop w:val="0"/>
          <w:marBottom w:val="0"/>
          <w:divBdr>
            <w:top w:val="none" w:sz="0" w:space="0" w:color="auto"/>
            <w:left w:val="none" w:sz="0" w:space="0" w:color="auto"/>
            <w:bottom w:val="none" w:sz="0" w:space="0" w:color="auto"/>
            <w:right w:val="none" w:sz="0" w:space="0" w:color="auto"/>
          </w:divBdr>
        </w:div>
        <w:div w:id="130640003">
          <w:marLeft w:val="173"/>
          <w:marRight w:val="0"/>
          <w:marTop w:val="0"/>
          <w:marBottom w:val="0"/>
          <w:divBdr>
            <w:top w:val="none" w:sz="0" w:space="0" w:color="auto"/>
            <w:left w:val="none" w:sz="0" w:space="0" w:color="auto"/>
            <w:bottom w:val="none" w:sz="0" w:space="0" w:color="auto"/>
            <w:right w:val="none" w:sz="0" w:space="0" w:color="auto"/>
          </w:divBdr>
        </w:div>
      </w:divsChild>
    </w:div>
    <w:div w:id="516164602">
      <w:bodyDiv w:val="1"/>
      <w:marLeft w:val="0"/>
      <w:marRight w:val="0"/>
      <w:marTop w:val="0"/>
      <w:marBottom w:val="0"/>
      <w:divBdr>
        <w:top w:val="none" w:sz="0" w:space="0" w:color="auto"/>
        <w:left w:val="none" w:sz="0" w:space="0" w:color="auto"/>
        <w:bottom w:val="none" w:sz="0" w:space="0" w:color="auto"/>
        <w:right w:val="none" w:sz="0" w:space="0" w:color="auto"/>
      </w:divBdr>
      <w:divsChild>
        <w:div w:id="856190464">
          <w:marLeft w:val="691"/>
          <w:marRight w:val="0"/>
          <w:marTop w:val="0"/>
          <w:marBottom w:val="200"/>
          <w:divBdr>
            <w:top w:val="none" w:sz="0" w:space="0" w:color="auto"/>
            <w:left w:val="none" w:sz="0" w:space="0" w:color="auto"/>
            <w:bottom w:val="none" w:sz="0" w:space="0" w:color="auto"/>
            <w:right w:val="none" w:sz="0" w:space="0" w:color="auto"/>
          </w:divBdr>
        </w:div>
      </w:divsChild>
    </w:div>
    <w:div w:id="523713082">
      <w:bodyDiv w:val="1"/>
      <w:marLeft w:val="0"/>
      <w:marRight w:val="0"/>
      <w:marTop w:val="0"/>
      <w:marBottom w:val="0"/>
      <w:divBdr>
        <w:top w:val="none" w:sz="0" w:space="0" w:color="auto"/>
        <w:left w:val="none" w:sz="0" w:space="0" w:color="auto"/>
        <w:bottom w:val="none" w:sz="0" w:space="0" w:color="auto"/>
        <w:right w:val="none" w:sz="0" w:space="0" w:color="auto"/>
      </w:divBdr>
    </w:div>
    <w:div w:id="543518748">
      <w:bodyDiv w:val="1"/>
      <w:marLeft w:val="0"/>
      <w:marRight w:val="0"/>
      <w:marTop w:val="0"/>
      <w:marBottom w:val="0"/>
      <w:divBdr>
        <w:top w:val="none" w:sz="0" w:space="0" w:color="auto"/>
        <w:left w:val="none" w:sz="0" w:space="0" w:color="auto"/>
        <w:bottom w:val="none" w:sz="0" w:space="0" w:color="auto"/>
        <w:right w:val="none" w:sz="0" w:space="0" w:color="auto"/>
      </w:divBdr>
      <w:divsChild>
        <w:div w:id="1506672954">
          <w:marLeft w:val="274"/>
          <w:marRight w:val="0"/>
          <w:marTop w:val="0"/>
          <w:marBottom w:val="0"/>
          <w:divBdr>
            <w:top w:val="none" w:sz="0" w:space="0" w:color="auto"/>
            <w:left w:val="none" w:sz="0" w:space="0" w:color="auto"/>
            <w:bottom w:val="none" w:sz="0" w:space="0" w:color="auto"/>
            <w:right w:val="none" w:sz="0" w:space="0" w:color="auto"/>
          </w:divBdr>
        </w:div>
      </w:divsChild>
    </w:div>
    <w:div w:id="553350160">
      <w:bodyDiv w:val="1"/>
      <w:marLeft w:val="0"/>
      <w:marRight w:val="0"/>
      <w:marTop w:val="0"/>
      <w:marBottom w:val="0"/>
      <w:divBdr>
        <w:top w:val="none" w:sz="0" w:space="0" w:color="auto"/>
        <w:left w:val="none" w:sz="0" w:space="0" w:color="auto"/>
        <w:bottom w:val="none" w:sz="0" w:space="0" w:color="auto"/>
        <w:right w:val="none" w:sz="0" w:space="0" w:color="auto"/>
      </w:divBdr>
    </w:div>
    <w:div w:id="597569531">
      <w:bodyDiv w:val="1"/>
      <w:marLeft w:val="0"/>
      <w:marRight w:val="0"/>
      <w:marTop w:val="0"/>
      <w:marBottom w:val="0"/>
      <w:divBdr>
        <w:top w:val="none" w:sz="0" w:space="0" w:color="auto"/>
        <w:left w:val="none" w:sz="0" w:space="0" w:color="auto"/>
        <w:bottom w:val="none" w:sz="0" w:space="0" w:color="auto"/>
        <w:right w:val="none" w:sz="0" w:space="0" w:color="auto"/>
      </w:divBdr>
    </w:div>
    <w:div w:id="603343752">
      <w:bodyDiv w:val="1"/>
      <w:marLeft w:val="0"/>
      <w:marRight w:val="0"/>
      <w:marTop w:val="0"/>
      <w:marBottom w:val="0"/>
      <w:divBdr>
        <w:top w:val="none" w:sz="0" w:space="0" w:color="auto"/>
        <w:left w:val="none" w:sz="0" w:space="0" w:color="auto"/>
        <w:bottom w:val="none" w:sz="0" w:space="0" w:color="auto"/>
        <w:right w:val="none" w:sz="0" w:space="0" w:color="auto"/>
      </w:divBdr>
    </w:div>
    <w:div w:id="616176595">
      <w:bodyDiv w:val="1"/>
      <w:marLeft w:val="0"/>
      <w:marRight w:val="0"/>
      <w:marTop w:val="0"/>
      <w:marBottom w:val="0"/>
      <w:divBdr>
        <w:top w:val="none" w:sz="0" w:space="0" w:color="auto"/>
        <w:left w:val="none" w:sz="0" w:space="0" w:color="auto"/>
        <w:bottom w:val="none" w:sz="0" w:space="0" w:color="auto"/>
        <w:right w:val="none" w:sz="0" w:space="0" w:color="auto"/>
      </w:divBdr>
    </w:div>
    <w:div w:id="632903857">
      <w:bodyDiv w:val="1"/>
      <w:marLeft w:val="0"/>
      <w:marRight w:val="0"/>
      <w:marTop w:val="0"/>
      <w:marBottom w:val="0"/>
      <w:divBdr>
        <w:top w:val="none" w:sz="0" w:space="0" w:color="auto"/>
        <w:left w:val="none" w:sz="0" w:space="0" w:color="auto"/>
        <w:bottom w:val="none" w:sz="0" w:space="0" w:color="auto"/>
        <w:right w:val="none" w:sz="0" w:space="0" w:color="auto"/>
      </w:divBdr>
      <w:divsChild>
        <w:div w:id="1530533340">
          <w:marLeft w:val="1152"/>
          <w:marRight w:val="0"/>
          <w:marTop w:val="67"/>
          <w:marBottom w:val="40"/>
          <w:divBdr>
            <w:top w:val="none" w:sz="0" w:space="0" w:color="auto"/>
            <w:left w:val="none" w:sz="0" w:space="0" w:color="auto"/>
            <w:bottom w:val="none" w:sz="0" w:space="0" w:color="auto"/>
            <w:right w:val="none" w:sz="0" w:space="0" w:color="auto"/>
          </w:divBdr>
        </w:div>
        <w:div w:id="1164203654">
          <w:marLeft w:val="1152"/>
          <w:marRight w:val="0"/>
          <w:marTop w:val="67"/>
          <w:marBottom w:val="40"/>
          <w:divBdr>
            <w:top w:val="none" w:sz="0" w:space="0" w:color="auto"/>
            <w:left w:val="none" w:sz="0" w:space="0" w:color="auto"/>
            <w:bottom w:val="none" w:sz="0" w:space="0" w:color="auto"/>
            <w:right w:val="none" w:sz="0" w:space="0" w:color="auto"/>
          </w:divBdr>
        </w:div>
        <w:div w:id="1047217011">
          <w:marLeft w:val="1152"/>
          <w:marRight w:val="0"/>
          <w:marTop w:val="67"/>
          <w:marBottom w:val="40"/>
          <w:divBdr>
            <w:top w:val="none" w:sz="0" w:space="0" w:color="auto"/>
            <w:left w:val="none" w:sz="0" w:space="0" w:color="auto"/>
            <w:bottom w:val="none" w:sz="0" w:space="0" w:color="auto"/>
            <w:right w:val="none" w:sz="0" w:space="0" w:color="auto"/>
          </w:divBdr>
        </w:div>
        <w:div w:id="570626063">
          <w:marLeft w:val="1152"/>
          <w:marRight w:val="0"/>
          <w:marTop w:val="67"/>
          <w:marBottom w:val="40"/>
          <w:divBdr>
            <w:top w:val="none" w:sz="0" w:space="0" w:color="auto"/>
            <w:left w:val="none" w:sz="0" w:space="0" w:color="auto"/>
            <w:bottom w:val="none" w:sz="0" w:space="0" w:color="auto"/>
            <w:right w:val="none" w:sz="0" w:space="0" w:color="auto"/>
          </w:divBdr>
        </w:div>
      </w:divsChild>
    </w:div>
    <w:div w:id="638802157">
      <w:bodyDiv w:val="1"/>
      <w:marLeft w:val="0"/>
      <w:marRight w:val="0"/>
      <w:marTop w:val="0"/>
      <w:marBottom w:val="0"/>
      <w:divBdr>
        <w:top w:val="none" w:sz="0" w:space="0" w:color="auto"/>
        <w:left w:val="none" w:sz="0" w:space="0" w:color="auto"/>
        <w:bottom w:val="none" w:sz="0" w:space="0" w:color="auto"/>
        <w:right w:val="none" w:sz="0" w:space="0" w:color="auto"/>
      </w:divBdr>
    </w:div>
    <w:div w:id="644238129">
      <w:bodyDiv w:val="1"/>
      <w:marLeft w:val="0"/>
      <w:marRight w:val="0"/>
      <w:marTop w:val="0"/>
      <w:marBottom w:val="0"/>
      <w:divBdr>
        <w:top w:val="none" w:sz="0" w:space="0" w:color="auto"/>
        <w:left w:val="none" w:sz="0" w:space="0" w:color="auto"/>
        <w:bottom w:val="none" w:sz="0" w:space="0" w:color="auto"/>
        <w:right w:val="none" w:sz="0" w:space="0" w:color="auto"/>
      </w:divBdr>
    </w:div>
    <w:div w:id="647785583">
      <w:bodyDiv w:val="1"/>
      <w:marLeft w:val="0"/>
      <w:marRight w:val="0"/>
      <w:marTop w:val="0"/>
      <w:marBottom w:val="0"/>
      <w:divBdr>
        <w:top w:val="none" w:sz="0" w:space="0" w:color="auto"/>
        <w:left w:val="none" w:sz="0" w:space="0" w:color="auto"/>
        <w:bottom w:val="none" w:sz="0" w:space="0" w:color="auto"/>
        <w:right w:val="none" w:sz="0" w:space="0" w:color="auto"/>
      </w:divBdr>
    </w:div>
    <w:div w:id="701831327">
      <w:bodyDiv w:val="1"/>
      <w:marLeft w:val="0"/>
      <w:marRight w:val="0"/>
      <w:marTop w:val="0"/>
      <w:marBottom w:val="0"/>
      <w:divBdr>
        <w:top w:val="none" w:sz="0" w:space="0" w:color="auto"/>
        <w:left w:val="none" w:sz="0" w:space="0" w:color="auto"/>
        <w:bottom w:val="none" w:sz="0" w:space="0" w:color="auto"/>
        <w:right w:val="none" w:sz="0" w:space="0" w:color="auto"/>
      </w:divBdr>
    </w:div>
    <w:div w:id="728040236">
      <w:bodyDiv w:val="1"/>
      <w:marLeft w:val="0"/>
      <w:marRight w:val="0"/>
      <w:marTop w:val="0"/>
      <w:marBottom w:val="0"/>
      <w:divBdr>
        <w:top w:val="none" w:sz="0" w:space="0" w:color="auto"/>
        <w:left w:val="none" w:sz="0" w:space="0" w:color="auto"/>
        <w:bottom w:val="none" w:sz="0" w:space="0" w:color="auto"/>
        <w:right w:val="none" w:sz="0" w:space="0" w:color="auto"/>
      </w:divBdr>
      <w:divsChild>
        <w:div w:id="548956158">
          <w:marLeft w:val="1152"/>
          <w:marRight w:val="0"/>
          <w:marTop w:val="67"/>
          <w:marBottom w:val="40"/>
          <w:divBdr>
            <w:top w:val="none" w:sz="0" w:space="0" w:color="auto"/>
            <w:left w:val="none" w:sz="0" w:space="0" w:color="auto"/>
            <w:bottom w:val="none" w:sz="0" w:space="0" w:color="auto"/>
            <w:right w:val="none" w:sz="0" w:space="0" w:color="auto"/>
          </w:divBdr>
        </w:div>
        <w:div w:id="584652552">
          <w:marLeft w:val="1152"/>
          <w:marRight w:val="0"/>
          <w:marTop w:val="67"/>
          <w:marBottom w:val="40"/>
          <w:divBdr>
            <w:top w:val="none" w:sz="0" w:space="0" w:color="auto"/>
            <w:left w:val="none" w:sz="0" w:space="0" w:color="auto"/>
            <w:bottom w:val="none" w:sz="0" w:space="0" w:color="auto"/>
            <w:right w:val="none" w:sz="0" w:space="0" w:color="auto"/>
          </w:divBdr>
        </w:div>
        <w:div w:id="1611472430">
          <w:marLeft w:val="1152"/>
          <w:marRight w:val="0"/>
          <w:marTop w:val="67"/>
          <w:marBottom w:val="40"/>
          <w:divBdr>
            <w:top w:val="none" w:sz="0" w:space="0" w:color="auto"/>
            <w:left w:val="none" w:sz="0" w:space="0" w:color="auto"/>
            <w:bottom w:val="none" w:sz="0" w:space="0" w:color="auto"/>
            <w:right w:val="none" w:sz="0" w:space="0" w:color="auto"/>
          </w:divBdr>
        </w:div>
        <w:div w:id="317534259">
          <w:marLeft w:val="1152"/>
          <w:marRight w:val="0"/>
          <w:marTop w:val="67"/>
          <w:marBottom w:val="40"/>
          <w:divBdr>
            <w:top w:val="none" w:sz="0" w:space="0" w:color="auto"/>
            <w:left w:val="none" w:sz="0" w:space="0" w:color="auto"/>
            <w:bottom w:val="none" w:sz="0" w:space="0" w:color="auto"/>
            <w:right w:val="none" w:sz="0" w:space="0" w:color="auto"/>
          </w:divBdr>
        </w:div>
        <w:div w:id="954404899">
          <w:marLeft w:val="691"/>
          <w:marRight w:val="0"/>
          <w:marTop w:val="0"/>
          <w:marBottom w:val="40"/>
          <w:divBdr>
            <w:top w:val="none" w:sz="0" w:space="0" w:color="auto"/>
            <w:left w:val="none" w:sz="0" w:space="0" w:color="auto"/>
            <w:bottom w:val="none" w:sz="0" w:space="0" w:color="auto"/>
            <w:right w:val="none" w:sz="0" w:space="0" w:color="auto"/>
          </w:divBdr>
        </w:div>
        <w:div w:id="1103645194">
          <w:marLeft w:val="1152"/>
          <w:marRight w:val="0"/>
          <w:marTop w:val="67"/>
          <w:marBottom w:val="40"/>
          <w:divBdr>
            <w:top w:val="none" w:sz="0" w:space="0" w:color="auto"/>
            <w:left w:val="none" w:sz="0" w:space="0" w:color="auto"/>
            <w:bottom w:val="none" w:sz="0" w:space="0" w:color="auto"/>
            <w:right w:val="none" w:sz="0" w:space="0" w:color="auto"/>
          </w:divBdr>
        </w:div>
        <w:div w:id="37634644">
          <w:marLeft w:val="1152"/>
          <w:marRight w:val="0"/>
          <w:marTop w:val="67"/>
          <w:marBottom w:val="40"/>
          <w:divBdr>
            <w:top w:val="none" w:sz="0" w:space="0" w:color="auto"/>
            <w:left w:val="none" w:sz="0" w:space="0" w:color="auto"/>
            <w:bottom w:val="none" w:sz="0" w:space="0" w:color="auto"/>
            <w:right w:val="none" w:sz="0" w:space="0" w:color="auto"/>
          </w:divBdr>
        </w:div>
        <w:div w:id="1792632874">
          <w:marLeft w:val="1152"/>
          <w:marRight w:val="0"/>
          <w:marTop w:val="67"/>
          <w:marBottom w:val="40"/>
          <w:divBdr>
            <w:top w:val="none" w:sz="0" w:space="0" w:color="auto"/>
            <w:left w:val="none" w:sz="0" w:space="0" w:color="auto"/>
            <w:bottom w:val="none" w:sz="0" w:space="0" w:color="auto"/>
            <w:right w:val="none" w:sz="0" w:space="0" w:color="auto"/>
          </w:divBdr>
        </w:div>
        <w:div w:id="1887915281">
          <w:marLeft w:val="1152"/>
          <w:marRight w:val="0"/>
          <w:marTop w:val="67"/>
          <w:marBottom w:val="40"/>
          <w:divBdr>
            <w:top w:val="none" w:sz="0" w:space="0" w:color="auto"/>
            <w:left w:val="none" w:sz="0" w:space="0" w:color="auto"/>
            <w:bottom w:val="none" w:sz="0" w:space="0" w:color="auto"/>
            <w:right w:val="none" w:sz="0" w:space="0" w:color="auto"/>
          </w:divBdr>
        </w:div>
      </w:divsChild>
    </w:div>
    <w:div w:id="812408186">
      <w:bodyDiv w:val="1"/>
      <w:marLeft w:val="0"/>
      <w:marRight w:val="0"/>
      <w:marTop w:val="0"/>
      <w:marBottom w:val="0"/>
      <w:divBdr>
        <w:top w:val="none" w:sz="0" w:space="0" w:color="auto"/>
        <w:left w:val="none" w:sz="0" w:space="0" w:color="auto"/>
        <w:bottom w:val="none" w:sz="0" w:space="0" w:color="auto"/>
        <w:right w:val="none" w:sz="0" w:space="0" w:color="auto"/>
      </w:divBdr>
    </w:div>
    <w:div w:id="845755939">
      <w:bodyDiv w:val="1"/>
      <w:marLeft w:val="0"/>
      <w:marRight w:val="0"/>
      <w:marTop w:val="0"/>
      <w:marBottom w:val="0"/>
      <w:divBdr>
        <w:top w:val="none" w:sz="0" w:space="0" w:color="auto"/>
        <w:left w:val="none" w:sz="0" w:space="0" w:color="auto"/>
        <w:bottom w:val="none" w:sz="0" w:space="0" w:color="auto"/>
        <w:right w:val="none" w:sz="0" w:space="0" w:color="auto"/>
      </w:divBdr>
    </w:div>
    <w:div w:id="854075436">
      <w:bodyDiv w:val="1"/>
      <w:marLeft w:val="0"/>
      <w:marRight w:val="0"/>
      <w:marTop w:val="0"/>
      <w:marBottom w:val="0"/>
      <w:divBdr>
        <w:top w:val="none" w:sz="0" w:space="0" w:color="auto"/>
        <w:left w:val="none" w:sz="0" w:space="0" w:color="auto"/>
        <w:bottom w:val="none" w:sz="0" w:space="0" w:color="auto"/>
        <w:right w:val="none" w:sz="0" w:space="0" w:color="auto"/>
      </w:divBdr>
    </w:div>
    <w:div w:id="858815865">
      <w:bodyDiv w:val="1"/>
      <w:marLeft w:val="0"/>
      <w:marRight w:val="0"/>
      <w:marTop w:val="0"/>
      <w:marBottom w:val="0"/>
      <w:divBdr>
        <w:top w:val="none" w:sz="0" w:space="0" w:color="auto"/>
        <w:left w:val="none" w:sz="0" w:space="0" w:color="auto"/>
        <w:bottom w:val="none" w:sz="0" w:space="0" w:color="auto"/>
        <w:right w:val="none" w:sz="0" w:space="0" w:color="auto"/>
      </w:divBdr>
    </w:div>
    <w:div w:id="865024389">
      <w:bodyDiv w:val="1"/>
      <w:marLeft w:val="0"/>
      <w:marRight w:val="0"/>
      <w:marTop w:val="0"/>
      <w:marBottom w:val="0"/>
      <w:divBdr>
        <w:top w:val="none" w:sz="0" w:space="0" w:color="auto"/>
        <w:left w:val="none" w:sz="0" w:space="0" w:color="auto"/>
        <w:bottom w:val="none" w:sz="0" w:space="0" w:color="auto"/>
        <w:right w:val="none" w:sz="0" w:space="0" w:color="auto"/>
      </w:divBdr>
    </w:div>
    <w:div w:id="894046929">
      <w:bodyDiv w:val="1"/>
      <w:marLeft w:val="0"/>
      <w:marRight w:val="0"/>
      <w:marTop w:val="0"/>
      <w:marBottom w:val="0"/>
      <w:divBdr>
        <w:top w:val="none" w:sz="0" w:space="0" w:color="auto"/>
        <w:left w:val="none" w:sz="0" w:space="0" w:color="auto"/>
        <w:bottom w:val="none" w:sz="0" w:space="0" w:color="auto"/>
        <w:right w:val="none" w:sz="0" w:space="0" w:color="auto"/>
      </w:divBdr>
    </w:div>
    <w:div w:id="900360205">
      <w:bodyDiv w:val="1"/>
      <w:marLeft w:val="0"/>
      <w:marRight w:val="0"/>
      <w:marTop w:val="0"/>
      <w:marBottom w:val="0"/>
      <w:divBdr>
        <w:top w:val="none" w:sz="0" w:space="0" w:color="auto"/>
        <w:left w:val="none" w:sz="0" w:space="0" w:color="auto"/>
        <w:bottom w:val="none" w:sz="0" w:space="0" w:color="auto"/>
        <w:right w:val="none" w:sz="0" w:space="0" w:color="auto"/>
      </w:divBdr>
      <w:divsChild>
        <w:div w:id="23023120">
          <w:marLeft w:val="173"/>
          <w:marRight w:val="0"/>
          <w:marTop w:val="0"/>
          <w:marBottom w:val="0"/>
          <w:divBdr>
            <w:top w:val="none" w:sz="0" w:space="0" w:color="auto"/>
            <w:left w:val="none" w:sz="0" w:space="0" w:color="auto"/>
            <w:bottom w:val="none" w:sz="0" w:space="0" w:color="auto"/>
            <w:right w:val="none" w:sz="0" w:space="0" w:color="auto"/>
          </w:divBdr>
        </w:div>
        <w:div w:id="1033382513">
          <w:marLeft w:val="173"/>
          <w:marRight w:val="0"/>
          <w:marTop w:val="0"/>
          <w:marBottom w:val="0"/>
          <w:divBdr>
            <w:top w:val="none" w:sz="0" w:space="0" w:color="auto"/>
            <w:left w:val="none" w:sz="0" w:space="0" w:color="auto"/>
            <w:bottom w:val="none" w:sz="0" w:space="0" w:color="auto"/>
            <w:right w:val="none" w:sz="0" w:space="0" w:color="auto"/>
          </w:divBdr>
        </w:div>
        <w:div w:id="55515863">
          <w:marLeft w:val="173"/>
          <w:marRight w:val="0"/>
          <w:marTop w:val="0"/>
          <w:marBottom w:val="0"/>
          <w:divBdr>
            <w:top w:val="none" w:sz="0" w:space="0" w:color="auto"/>
            <w:left w:val="none" w:sz="0" w:space="0" w:color="auto"/>
            <w:bottom w:val="none" w:sz="0" w:space="0" w:color="auto"/>
            <w:right w:val="none" w:sz="0" w:space="0" w:color="auto"/>
          </w:divBdr>
        </w:div>
      </w:divsChild>
    </w:div>
    <w:div w:id="944769076">
      <w:bodyDiv w:val="1"/>
      <w:marLeft w:val="0"/>
      <w:marRight w:val="0"/>
      <w:marTop w:val="0"/>
      <w:marBottom w:val="0"/>
      <w:divBdr>
        <w:top w:val="none" w:sz="0" w:space="0" w:color="auto"/>
        <w:left w:val="none" w:sz="0" w:space="0" w:color="auto"/>
        <w:bottom w:val="none" w:sz="0" w:space="0" w:color="auto"/>
        <w:right w:val="none" w:sz="0" w:space="0" w:color="auto"/>
      </w:divBdr>
    </w:div>
    <w:div w:id="1002002019">
      <w:bodyDiv w:val="1"/>
      <w:marLeft w:val="0"/>
      <w:marRight w:val="0"/>
      <w:marTop w:val="0"/>
      <w:marBottom w:val="0"/>
      <w:divBdr>
        <w:top w:val="none" w:sz="0" w:space="0" w:color="auto"/>
        <w:left w:val="none" w:sz="0" w:space="0" w:color="auto"/>
        <w:bottom w:val="none" w:sz="0" w:space="0" w:color="auto"/>
        <w:right w:val="none" w:sz="0" w:space="0" w:color="auto"/>
      </w:divBdr>
    </w:div>
    <w:div w:id="1016923143">
      <w:bodyDiv w:val="1"/>
      <w:marLeft w:val="0"/>
      <w:marRight w:val="0"/>
      <w:marTop w:val="0"/>
      <w:marBottom w:val="0"/>
      <w:divBdr>
        <w:top w:val="none" w:sz="0" w:space="0" w:color="auto"/>
        <w:left w:val="none" w:sz="0" w:space="0" w:color="auto"/>
        <w:bottom w:val="none" w:sz="0" w:space="0" w:color="auto"/>
        <w:right w:val="none" w:sz="0" w:space="0" w:color="auto"/>
      </w:divBdr>
    </w:div>
    <w:div w:id="1068723625">
      <w:bodyDiv w:val="1"/>
      <w:marLeft w:val="0"/>
      <w:marRight w:val="0"/>
      <w:marTop w:val="0"/>
      <w:marBottom w:val="0"/>
      <w:divBdr>
        <w:top w:val="none" w:sz="0" w:space="0" w:color="auto"/>
        <w:left w:val="none" w:sz="0" w:space="0" w:color="auto"/>
        <w:bottom w:val="none" w:sz="0" w:space="0" w:color="auto"/>
        <w:right w:val="none" w:sz="0" w:space="0" w:color="auto"/>
      </w:divBdr>
    </w:div>
    <w:div w:id="1088190989">
      <w:bodyDiv w:val="1"/>
      <w:marLeft w:val="0"/>
      <w:marRight w:val="0"/>
      <w:marTop w:val="0"/>
      <w:marBottom w:val="0"/>
      <w:divBdr>
        <w:top w:val="none" w:sz="0" w:space="0" w:color="auto"/>
        <w:left w:val="none" w:sz="0" w:space="0" w:color="auto"/>
        <w:bottom w:val="none" w:sz="0" w:space="0" w:color="auto"/>
        <w:right w:val="none" w:sz="0" w:space="0" w:color="auto"/>
      </w:divBdr>
    </w:div>
    <w:div w:id="1096559429">
      <w:bodyDiv w:val="1"/>
      <w:marLeft w:val="0"/>
      <w:marRight w:val="0"/>
      <w:marTop w:val="0"/>
      <w:marBottom w:val="0"/>
      <w:divBdr>
        <w:top w:val="none" w:sz="0" w:space="0" w:color="auto"/>
        <w:left w:val="none" w:sz="0" w:space="0" w:color="auto"/>
        <w:bottom w:val="none" w:sz="0" w:space="0" w:color="auto"/>
        <w:right w:val="none" w:sz="0" w:space="0" w:color="auto"/>
      </w:divBdr>
    </w:div>
    <w:div w:id="1101489808">
      <w:bodyDiv w:val="1"/>
      <w:marLeft w:val="0"/>
      <w:marRight w:val="0"/>
      <w:marTop w:val="0"/>
      <w:marBottom w:val="0"/>
      <w:divBdr>
        <w:top w:val="none" w:sz="0" w:space="0" w:color="auto"/>
        <w:left w:val="none" w:sz="0" w:space="0" w:color="auto"/>
        <w:bottom w:val="none" w:sz="0" w:space="0" w:color="auto"/>
        <w:right w:val="none" w:sz="0" w:space="0" w:color="auto"/>
      </w:divBdr>
      <w:divsChild>
        <w:div w:id="1141384358">
          <w:marLeft w:val="173"/>
          <w:marRight w:val="0"/>
          <w:marTop w:val="0"/>
          <w:marBottom w:val="0"/>
          <w:divBdr>
            <w:top w:val="none" w:sz="0" w:space="0" w:color="auto"/>
            <w:left w:val="none" w:sz="0" w:space="0" w:color="auto"/>
            <w:bottom w:val="none" w:sz="0" w:space="0" w:color="auto"/>
            <w:right w:val="none" w:sz="0" w:space="0" w:color="auto"/>
          </w:divBdr>
        </w:div>
        <w:div w:id="389771054">
          <w:marLeft w:val="173"/>
          <w:marRight w:val="0"/>
          <w:marTop w:val="0"/>
          <w:marBottom w:val="0"/>
          <w:divBdr>
            <w:top w:val="none" w:sz="0" w:space="0" w:color="auto"/>
            <w:left w:val="none" w:sz="0" w:space="0" w:color="auto"/>
            <w:bottom w:val="none" w:sz="0" w:space="0" w:color="auto"/>
            <w:right w:val="none" w:sz="0" w:space="0" w:color="auto"/>
          </w:divBdr>
        </w:div>
        <w:div w:id="1158302504">
          <w:marLeft w:val="173"/>
          <w:marRight w:val="0"/>
          <w:marTop w:val="0"/>
          <w:marBottom w:val="0"/>
          <w:divBdr>
            <w:top w:val="none" w:sz="0" w:space="0" w:color="auto"/>
            <w:left w:val="none" w:sz="0" w:space="0" w:color="auto"/>
            <w:bottom w:val="none" w:sz="0" w:space="0" w:color="auto"/>
            <w:right w:val="none" w:sz="0" w:space="0" w:color="auto"/>
          </w:divBdr>
        </w:div>
        <w:div w:id="1652710211">
          <w:marLeft w:val="173"/>
          <w:marRight w:val="0"/>
          <w:marTop w:val="0"/>
          <w:marBottom w:val="0"/>
          <w:divBdr>
            <w:top w:val="none" w:sz="0" w:space="0" w:color="auto"/>
            <w:left w:val="none" w:sz="0" w:space="0" w:color="auto"/>
            <w:bottom w:val="none" w:sz="0" w:space="0" w:color="auto"/>
            <w:right w:val="none" w:sz="0" w:space="0" w:color="auto"/>
          </w:divBdr>
        </w:div>
      </w:divsChild>
    </w:div>
    <w:div w:id="1127890920">
      <w:bodyDiv w:val="1"/>
      <w:marLeft w:val="0"/>
      <w:marRight w:val="0"/>
      <w:marTop w:val="0"/>
      <w:marBottom w:val="0"/>
      <w:divBdr>
        <w:top w:val="none" w:sz="0" w:space="0" w:color="auto"/>
        <w:left w:val="none" w:sz="0" w:space="0" w:color="auto"/>
        <w:bottom w:val="none" w:sz="0" w:space="0" w:color="auto"/>
        <w:right w:val="none" w:sz="0" w:space="0" w:color="auto"/>
      </w:divBdr>
    </w:div>
    <w:div w:id="1129592482">
      <w:bodyDiv w:val="1"/>
      <w:marLeft w:val="0"/>
      <w:marRight w:val="0"/>
      <w:marTop w:val="0"/>
      <w:marBottom w:val="0"/>
      <w:divBdr>
        <w:top w:val="none" w:sz="0" w:space="0" w:color="auto"/>
        <w:left w:val="none" w:sz="0" w:space="0" w:color="auto"/>
        <w:bottom w:val="none" w:sz="0" w:space="0" w:color="auto"/>
        <w:right w:val="none" w:sz="0" w:space="0" w:color="auto"/>
      </w:divBdr>
    </w:div>
    <w:div w:id="1157845023">
      <w:bodyDiv w:val="1"/>
      <w:marLeft w:val="0"/>
      <w:marRight w:val="0"/>
      <w:marTop w:val="0"/>
      <w:marBottom w:val="0"/>
      <w:divBdr>
        <w:top w:val="none" w:sz="0" w:space="0" w:color="auto"/>
        <w:left w:val="none" w:sz="0" w:space="0" w:color="auto"/>
        <w:bottom w:val="none" w:sz="0" w:space="0" w:color="auto"/>
        <w:right w:val="none" w:sz="0" w:space="0" w:color="auto"/>
      </w:divBdr>
      <w:divsChild>
        <w:div w:id="272443005">
          <w:marLeft w:val="173"/>
          <w:marRight w:val="0"/>
          <w:marTop w:val="0"/>
          <w:marBottom w:val="0"/>
          <w:divBdr>
            <w:top w:val="none" w:sz="0" w:space="0" w:color="auto"/>
            <w:left w:val="none" w:sz="0" w:space="0" w:color="auto"/>
            <w:bottom w:val="none" w:sz="0" w:space="0" w:color="auto"/>
            <w:right w:val="none" w:sz="0" w:space="0" w:color="auto"/>
          </w:divBdr>
        </w:div>
      </w:divsChild>
    </w:div>
    <w:div w:id="1161775963">
      <w:bodyDiv w:val="1"/>
      <w:marLeft w:val="0"/>
      <w:marRight w:val="0"/>
      <w:marTop w:val="0"/>
      <w:marBottom w:val="0"/>
      <w:divBdr>
        <w:top w:val="none" w:sz="0" w:space="0" w:color="auto"/>
        <w:left w:val="none" w:sz="0" w:space="0" w:color="auto"/>
        <w:bottom w:val="none" w:sz="0" w:space="0" w:color="auto"/>
        <w:right w:val="none" w:sz="0" w:space="0" w:color="auto"/>
      </w:divBdr>
    </w:div>
    <w:div w:id="1202744417">
      <w:bodyDiv w:val="1"/>
      <w:marLeft w:val="0"/>
      <w:marRight w:val="0"/>
      <w:marTop w:val="0"/>
      <w:marBottom w:val="0"/>
      <w:divBdr>
        <w:top w:val="none" w:sz="0" w:space="0" w:color="auto"/>
        <w:left w:val="none" w:sz="0" w:space="0" w:color="auto"/>
        <w:bottom w:val="none" w:sz="0" w:space="0" w:color="auto"/>
        <w:right w:val="none" w:sz="0" w:space="0" w:color="auto"/>
      </w:divBdr>
      <w:divsChild>
        <w:div w:id="823817242">
          <w:marLeft w:val="1152"/>
          <w:marRight w:val="0"/>
          <w:marTop w:val="58"/>
          <w:marBottom w:val="200"/>
          <w:divBdr>
            <w:top w:val="none" w:sz="0" w:space="0" w:color="auto"/>
            <w:left w:val="none" w:sz="0" w:space="0" w:color="auto"/>
            <w:bottom w:val="none" w:sz="0" w:space="0" w:color="auto"/>
            <w:right w:val="none" w:sz="0" w:space="0" w:color="auto"/>
          </w:divBdr>
        </w:div>
        <w:div w:id="373580721">
          <w:marLeft w:val="1152"/>
          <w:marRight w:val="0"/>
          <w:marTop w:val="58"/>
          <w:marBottom w:val="200"/>
          <w:divBdr>
            <w:top w:val="none" w:sz="0" w:space="0" w:color="auto"/>
            <w:left w:val="none" w:sz="0" w:space="0" w:color="auto"/>
            <w:bottom w:val="none" w:sz="0" w:space="0" w:color="auto"/>
            <w:right w:val="none" w:sz="0" w:space="0" w:color="auto"/>
          </w:divBdr>
        </w:div>
        <w:div w:id="1225799032">
          <w:marLeft w:val="1152"/>
          <w:marRight w:val="0"/>
          <w:marTop w:val="58"/>
          <w:marBottom w:val="200"/>
          <w:divBdr>
            <w:top w:val="none" w:sz="0" w:space="0" w:color="auto"/>
            <w:left w:val="none" w:sz="0" w:space="0" w:color="auto"/>
            <w:bottom w:val="none" w:sz="0" w:space="0" w:color="auto"/>
            <w:right w:val="none" w:sz="0" w:space="0" w:color="auto"/>
          </w:divBdr>
        </w:div>
      </w:divsChild>
    </w:div>
    <w:div w:id="1252087231">
      <w:bodyDiv w:val="1"/>
      <w:marLeft w:val="0"/>
      <w:marRight w:val="0"/>
      <w:marTop w:val="0"/>
      <w:marBottom w:val="0"/>
      <w:divBdr>
        <w:top w:val="none" w:sz="0" w:space="0" w:color="auto"/>
        <w:left w:val="none" w:sz="0" w:space="0" w:color="auto"/>
        <w:bottom w:val="none" w:sz="0" w:space="0" w:color="auto"/>
        <w:right w:val="none" w:sz="0" w:space="0" w:color="auto"/>
      </w:divBdr>
    </w:div>
    <w:div w:id="1261795693">
      <w:bodyDiv w:val="1"/>
      <w:marLeft w:val="0"/>
      <w:marRight w:val="0"/>
      <w:marTop w:val="0"/>
      <w:marBottom w:val="0"/>
      <w:divBdr>
        <w:top w:val="none" w:sz="0" w:space="0" w:color="auto"/>
        <w:left w:val="none" w:sz="0" w:space="0" w:color="auto"/>
        <w:bottom w:val="none" w:sz="0" w:space="0" w:color="auto"/>
        <w:right w:val="none" w:sz="0" w:space="0" w:color="auto"/>
      </w:divBdr>
    </w:div>
    <w:div w:id="1273853180">
      <w:bodyDiv w:val="1"/>
      <w:marLeft w:val="0"/>
      <w:marRight w:val="0"/>
      <w:marTop w:val="0"/>
      <w:marBottom w:val="0"/>
      <w:divBdr>
        <w:top w:val="none" w:sz="0" w:space="0" w:color="auto"/>
        <w:left w:val="none" w:sz="0" w:space="0" w:color="auto"/>
        <w:bottom w:val="none" w:sz="0" w:space="0" w:color="auto"/>
        <w:right w:val="none" w:sz="0" w:space="0" w:color="auto"/>
      </w:divBdr>
      <w:divsChild>
        <w:div w:id="729232179">
          <w:marLeft w:val="691"/>
          <w:marRight w:val="0"/>
          <w:marTop w:val="0"/>
          <w:marBottom w:val="120"/>
          <w:divBdr>
            <w:top w:val="none" w:sz="0" w:space="0" w:color="auto"/>
            <w:left w:val="none" w:sz="0" w:space="0" w:color="auto"/>
            <w:bottom w:val="none" w:sz="0" w:space="0" w:color="auto"/>
            <w:right w:val="none" w:sz="0" w:space="0" w:color="auto"/>
          </w:divBdr>
        </w:div>
      </w:divsChild>
    </w:div>
    <w:div w:id="1303191542">
      <w:bodyDiv w:val="1"/>
      <w:marLeft w:val="0"/>
      <w:marRight w:val="0"/>
      <w:marTop w:val="0"/>
      <w:marBottom w:val="0"/>
      <w:divBdr>
        <w:top w:val="none" w:sz="0" w:space="0" w:color="auto"/>
        <w:left w:val="none" w:sz="0" w:space="0" w:color="auto"/>
        <w:bottom w:val="none" w:sz="0" w:space="0" w:color="auto"/>
        <w:right w:val="none" w:sz="0" w:space="0" w:color="auto"/>
      </w:divBdr>
    </w:div>
    <w:div w:id="1330258131">
      <w:bodyDiv w:val="1"/>
      <w:marLeft w:val="0"/>
      <w:marRight w:val="0"/>
      <w:marTop w:val="0"/>
      <w:marBottom w:val="0"/>
      <w:divBdr>
        <w:top w:val="none" w:sz="0" w:space="0" w:color="auto"/>
        <w:left w:val="none" w:sz="0" w:space="0" w:color="auto"/>
        <w:bottom w:val="none" w:sz="0" w:space="0" w:color="auto"/>
        <w:right w:val="none" w:sz="0" w:space="0" w:color="auto"/>
      </w:divBdr>
      <w:divsChild>
        <w:div w:id="1980719483">
          <w:marLeft w:val="1152"/>
          <w:marRight w:val="0"/>
          <w:marTop w:val="58"/>
          <w:marBottom w:val="120"/>
          <w:divBdr>
            <w:top w:val="none" w:sz="0" w:space="0" w:color="auto"/>
            <w:left w:val="none" w:sz="0" w:space="0" w:color="auto"/>
            <w:bottom w:val="none" w:sz="0" w:space="0" w:color="auto"/>
            <w:right w:val="none" w:sz="0" w:space="0" w:color="auto"/>
          </w:divBdr>
        </w:div>
      </w:divsChild>
    </w:div>
    <w:div w:id="1350178831">
      <w:bodyDiv w:val="1"/>
      <w:marLeft w:val="0"/>
      <w:marRight w:val="0"/>
      <w:marTop w:val="0"/>
      <w:marBottom w:val="0"/>
      <w:divBdr>
        <w:top w:val="none" w:sz="0" w:space="0" w:color="auto"/>
        <w:left w:val="none" w:sz="0" w:space="0" w:color="auto"/>
        <w:bottom w:val="none" w:sz="0" w:space="0" w:color="auto"/>
        <w:right w:val="none" w:sz="0" w:space="0" w:color="auto"/>
      </w:divBdr>
    </w:div>
    <w:div w:id="1368872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332">
          <w:marLeft w:val="691"/>
          <w:marRight w:val="0"/>
          <w:marTop w:val="0"/>
          <w:marBottom w:val="40"/>
          <w:divBdr>
            <w:top w:val="none" w:sz="0" w:space="0" w:color="auto"/>
            <w:left w:val="none" w:sz="0" w:space="0" w:color="auto"/>
            <w:bottom w:val="none" w:sz="0" w:space="0" w:color="auto"/>
            <w:right w:val="none" w:sz="0" w:space="0" w:color="auto"/>
          </w:divBdr>
        </w:div>
        <w:div w:id="1764644564">
          <w:marLeft w:val="1152"/>
          <w:marRight w:val="0"/>
          <w:marTop w:val="67"/>
          <w:marBottom w:val="40"/>
          <w:divBdr>
            <w:top w:val="none" w:sz="0" w:space="0" w:color="auto"/>
            <w:left w:val="none" w:sz="0" w:space="0" w:color="auto"/>
            <w:bottom w:val="none" w:sz="0" w:space="0" w:color="auto"/>
            <w:right w:val="none" w:sz="0" w:space="0" w:color="auto"/>
          </w:divBdr>
        </w:div>
        <w:div w:id="881985122">
          <w:marLeft w:val="1152"/>
          <w:marRight w:val="0"/>
          <w:marTop w:val="67"/>
          <w:marBottom w:val="40"/>
          <w:divBdr>
            <w:top w:val="none" w:sz="0" w:space="0" w:color="auto"/>
            <w:left w:val="none" w:sz="0" w:space="0" w:color="auto"/>
            <w:bottom w:val="none" w:sz="0" w:space="0" w:color="auto"/>
            <w:right w:val="none" w:sz="0" w:space="0" w:color="auto"/>
          </w:divBdr>
        </w:div>
        <w:div w:id="1213232454">
          <w:marLeft w:val="1152"/>
          <w:marRight w:val="0"/>
          <w:marTop w:val="67"/>
          <w:marBottom w:val="40"/>
          <w:divBdr>
            <w:top w:val="none" w:sz="0" w:space="0" w:color="auto"/>
            <w:left w:val="none" w:sz="0" w:space="0" w:color="auto"/>
            <w:bottom w:val="none" w:sz="0" w:space="0" w:color="auto"/>
            <w:right w:val="none" w:sz="0" w:space="0" w:color="auto"/>
          </w:divBdr>
        </w:div>
        <w:div w:id="1126772888">
          <w:marLeft w:val="1152"/>
          <w:marRight w:val="0"/>
          <w:marTop w:val="67"/>
          <w:marBottom w:val="40"/>
          <w:divBdr>
            <w:top w:val="none" w:sz="0" w:space="0" w:color="auto"/>
            <w:left w:val="none" w:sz="0" w:space="0" w:color="auto"/>
            <w:bottom w:val="none" w:sz="0" w:space="0" w:color="auto"/>
            <w:right w:val="none" w:sz="0" w:space="0" w:color="auto"/>
          </w:divBdr>
        </w:div>
        <w:div w:id="436945154">
          <w:marLeft w:val="691"/>
          <w:marRight w:val="0"/>
          <w:marTop w:val="0"/>
          <w:marBottom w:val="40"/>
          <w:divBdr>
            <w:top w:val="none" w:sz="0" w:space="0" w:color="auto"/>
            <w:left w:val="none" w:sz="0" w:space="0" w:color="auto"/>
            <w:bottom w:val="none" w:sz="0" w:space="0" w:color="auto"/>
            <w:right w:val="none" w:sz="0" w:space="0" w:color="auto"/>
          </w:divBdr>
        </w:div>
        <w:div w:id="12846489">
          <w:marLeft w:val="1152"/>
          <w:marRight w:val="0"/>
          <w:marTop w:val="67"/>
          <w:marBottom w:val="40"/>
          <w:divBdr>
            <w:top w:val="none" w:sz="0" w:space="0" w:color="auto"/>
            <w:left w:val="none" w:sz="0" w:space="0" w:color="auto"/>
            <w:bottom w:val="none" w:sz="0" w:space="0" w:color="auto"/>
            <w:right w:val="none" w:sz="0" w:space="0" w:color="auto"/>
          </w:divBdr>
        </w:div>
        <w:div w:id="1030061161">
          <w:marLeft w:val="1152"/>
          <w:marRight w:val="0"/>
          <w:marTop w:val="67"/>
          <w:marBottom w:val="40"/>
          <w:divBdr>
            <w:top w:val="none" w:sz="0" w:space="0" w:color="auto"/>
            <w:left w:val="none" w:sz="0" w:space="0" w:color="auto"/>
            <w:bottom w:val="none" w:sz="0" w:space="0" w:color="auto"/>
            <w:right w:val="none" w:sz="0" w:space="0" w:color="auto"/>
          </w:divBdr>
        </w:div>
        <w:div w:id="100494753">
          <w:marLeft w:val="1152"/>
          <w:marRight w:val="0"/>
          <w:marTop w:val="67"/>
          <w:marBottom w:val="40"/>
          <w:divBdr>
            <w:top w:val="none" w:sz="0" w:space="0" w:color="auto"/>
            <w:left w:val="none" w:sz="0" w:space="0" w:color="auto"/>
            <w:bottom w:val="none" w:sz="0" w:space="0" w:color="auto"/>
            <w:right w:val="none" w:sz="0" w:space="0" w:color="auto"/>
          </w:divBdr>
        </w:div>
        <w:div w:id="1467045990">
          <w:marLeft w:val="1152"/>
          <w:marRight w:val="0"/>
          <w:marTop w:val="67"/>
          <w:marBottom w:val="40"/>
          <w:divBdr>
            <w:top w:val="none" w:sz="0" w:space="0" w:color="auto"/>
            <w:left w:val="none" w:sz="0" w:space="0" w:color="auto"/>
            <w:bottom w:val="none" w:sz="0" w:space="0" w:color="auto"/>
            <w:right w:val="none" w:sz="0" w:space="0" w:color="auto"/>
          </w:divBdr>
        </w:div>
      </w:divsChild>
    </w:div>
    <w:div w:id="1377588693">
      <w:bodyDiv w:val="1"/>
      <w:marLeft w:val="0"/>
      <w:marRight w:val="0"/>
      <w:marTop w:val="0"/>
      <w:marBottom w:val="0"/>
      <w:divBdr>
        <w:top w:val="none" w:sz="0" w:space="0" w:color="auto"/>
        <w:left w:val="none" w:sz="0" w:space="0" w:color="auto"/>
        <w:bottom w:val="none" w:sz="0" w:space="0" w:color="auto"/>
        <w:right w:val="none" w:sz="0" w:space="0" w:color="auto"/>
      </w:divBdr>
    </w:div>
    <w:div w:id="1393851903">
      <w:bodyDiv w:val="1"/>
      <w:marLeft w:val="0"/>
      <w:marRight w:val="0"/>
      <w:marTop w:val="0"/>
      <w:marBottom w:val="0"/>
      <w:divBdr>
        <w:top w:val="none" w:sz="0" w:space="0" w:color="auto"/>
        <w:left w:val="none" w:sz="0" w:space="0" w:color="auto"/>
        <w:bottom w:val="none" w:sz="0" w:space="0" w:color="auto"/>
        <w:right w:val="none" w:sz="0" w:space="0" w:color="auto"/>
      </w:divBdr>
    </w:div>
    <w:div w:id="1398239155">
      <w:bodyDiv w:val="1"/>
      <w:marLeft w:val="0"/>
      <w:marRight w:val="0"/>
      <w:marTop w:val="0"/>
      <w:marBottom w:val="0"/>
      <w:divBdr>
        <w:top w:val="none" w:sz="0" w:space="0" w:color="auto"/>
        <w:left w:val="none" w:sz="0" w:space="0" w:color="auto"/>
        <w:bottom w:val="none" w:sz="0" w:space="0" w:color="auto"/>
        <w:right w:val="none" w:sz="0" w:space="0" w:color="auto"/>
      </w:divBdr>
      <w:divsChild>
        <w:div w:id="2069566436">
          <w:marLeft w:val="691"/>
          <w:marRight w:val="0"/>
          <w:marTop w:val="0"/>
          <w:marBottom w:val="40"/>
          <w:divBdr>
            <w:top w:val="none" w:sz="0" w:space="0" w:color="auto"/>
            <w:left w:val="none" w:sz="0" w:space="0" w:color="auto"/>
            <w:bottom w:val="none" w:sz="0" w:space="0" w:color="auto"/>
            <w:right w:val="none" w:sz="0" w:space="0" w:color="auto"/>
          </w:divBdr>
        </w:div>
        <w:div w:id="1911118096">
          <w:marLeft w:val="1152"/>
          <w:marRight w:val="0"/>
          <w:marTop w:val="67"/>
          <w:marBottom w:val="40"/>
          <w:divBdr>
            <w:top w:val="none" w:sz="0" w:space="0" w:color="auto"/>
            <w:left w:val="none" w:sz="0" w:space="0" w:color="auto"/>
            <w:bottom w:val="none" w:sz="0" w:space="0" w:color="auto"/>
            <w:right w:val="none" w:sz="0" w:space="0" w:color="auto"/>
          </w:divBdr>
        </w:div>
        <w:div w:id="703286495">
          <w:marLeft w:val="1152"/>
          <w:marRight w:val="0"/>
          <w:marTop w:val="67"/>
          <w:marBottom w:val="40"/>
          <w:divBdr>
            <w:top w:val="none" w:sz="0" w:space="0" w:color="auto"/>
            <w:left w:val="none" w:sz="0" w:space="0" w:color="auto"/>
            <w:bottom w:val="none" w:sz="0" w:space="0" w:color="auto"/>
            <w:right w:val="none" w:sz="0" w:space="0" w:color="auto"/>
          </w:divBdr>
        </w:div>
        <w:div w:id="1959489166">
          <w:marLeft w:val="1152"/>
          <w:marRight w:val="0"/>
          <w:marTop w:val="67"/>
          <w:marBottom w:val="40"/>
          <w:divBdr>
            <w:top w:val="none" w:sz="0" w:space="0" w:color="auto"/>
            <w:left w:val="none" w:sz="0" w:space="0" w:color="auto"/>
            <w:bottom w:val="none" w:sz="0" w:space="0" w:color="auto"/>
            <w:right w:val="none" w:sz="0" w:space="0" w:color="auto"/>
          </w:divBdr>
        </w:div>
        <w:div w:id="2112317860">
          <w:marLeft w:val="691"/>
          <w:marRight w:val="0"/>
          <w:marTop w:val="0"/>
          <w:marBottom w:val="40"/>
          <w:divBdr>
            <w:top w:val="none" w:sz="0" w:space="0" w:color="auto"/>
            <w:left w:val="none" w:sz="0" w:space="0" w:color="auto"/>
            <w:bottom w:val="none" w:sz="0" w:space="0" w:color="auto"/>
            <w:right w:val="none" w:sz="0" w:space="0" w:color="auto"/>
          </w:divBdr>
        </w:div>
        <w:div w:id="1011568329">
          <w:marLeft w:val="1152"/>
          <w:marRight w:val="0"/>
          <w:marTop w:val="67"/>
          <w:marBottom w:val="40"/>
          <w:divBdr>
            <w:top w:val="none" w:sz="0" w:space="0" w:color="auto"/>
            <w:left w:val="none" w:sz="0" w:space="0" w:color="auto"/>
            <w:bottom w:val="none" w:sz="0" w:space="0" w:color="auto"/>
            <w:right w:val="none" w:sz="0" w:space="0" w:color="auto"/>
          </w:divBdr>
        </w:div>
        <w:div w:id="1654407813">
          <w:marLeft w:val="1152"/>
          <w:marRight w:val="0"/>
          <w:marTop w:val="67"/>
          <w:marBottom w:val="40"/>
          <w:divBdr>
            <w:top w:val="none" w:sz="0" w:space="0" w:color="auto"/>
            <w:left w:val="none" w:sz="0" w:space="0" w:color="auto"/>
            <w:bottom w:val="none" w:sz="0" w:space="0" w:color="auto"/>
            <w:right w:val="none" w:sz="0" w:space="0" w:color="auto"/>
          </w:divBdr>
        </w:div>
        <w:div w:id="1638215927">
          <w:marLeft w:val="1152"/>
          <w:marRight w:val="0"/>
          <w:marTop w:val="67"/>
          <w:marBottom w:val="40"/>
          <w:divBdr>
            <w:top w:val="none" w:sz="0" w:space="0" w:color="auto"/>
            <w:left w:val="none" w:sz="0" w:space="0" w:color="auto"/>
            <w:bottom w:val="none" w:sz="0" w:space="0" w:color="auto"/>
            <w:right w:val="none" w:sz="0" w:space="0" w:color="auto"/>
          </w:divBdr>
        </w:div>
        <w:div w:id="993872173">
          <w:marLeft w:val="1152"/>
          <w:marRight w:val="0"/>
          <w:marTop w:val="67"/>
          <w:marBottom w:val="40"/>
          <w:divBdr>
            <w:top w:val="none" w:sz="0" w:space="0" w:color="auto"/>
            <w:left w:val="none" w:sz="0" w:space="0" w:color="auto"/>
            <w:bottom w:val="none" w:sz="0" w:space="0" w:color="auto"/>
            <w:right w:val="none" w:sz="0" w:space="0" w:color="auto"/>
          </w:divBdr>
        </w:div>
      </w:divsChild>
    </w:div>
    <w:div w:id="1402212072">
      <w:bodyDiv w:val="1"/>
      <w:marLeft w:val="0"/>
      <w:marRight w:val="0"/>
      <w:marTop w:val="0"/>
      <w:marBottom w:val="0"/>
      <w:divBdr>
        <w:top w:val="none" w:sz="0" w:space="0" w:color="auto"/>
        <w:left w:val="none" w:sz="0" w:space="0" w:color="auto"/>
        <w:bottom w:val="none" w:sz="0" w:space="0" w:color="auto"/>
        <w:right w:val="none" w:sz="0" w:space="0" w:color="auto"/>
      </w:divBdr>
    </w:div>
    <w:div w:id="1438712393">
      <w:bodyDiv w:val="1"/>
      <w:marLeft w:val="0"/>
      <w:marRight w:val="0"/>
      <w:marTop w:val="0"/>
      <w:marBottom w:val="0"/>
      <w:divBdr>
        <w:top w:val="none" w:sz="0" w:space="0" w:color="auto"/>
        <w:left w:val="none" w:sz="0" w:space="0" w:color="auto"/>
        <w:bottom w:val="none" w:sz="0" w:space="0" w:color="auto"/>
        <w:right w:val="none" w:sz="0" w:space="0" w:color="auto"/>
      </w:divBdr>
    </w:div>
    <w:div w:id="1461924011">
      <w:bodyDiv w:val="1"/>
      <w:marLeft w:val="0"/>
      <w:marRight w:val="0"/>
      <w:marTop w:val="0"/>
      <w:marBottom w:val="0"/>
      <w:divBdr>
        <w:top w:val="none" w:sz="0" w:space="0" w:color="auto"/>
        <w:left w:val="none" w:sz="0" w:space="0" w:color="auto"/>
        <w:bottom w:val="none" w:sz="0" w:space="0" w:color="auto"/>
        <w:right w:val="none" w:sz="0" w:space="0" w:color="auto"/>
      </w:divBdr>
    </w:div>
    <w:div w:id="1478035558">
      <w:bodyDiv w:val="1"/>
      <w:marLeft w:val="0"/>
      <w:marRight w:val="0"/>
      <w:marTop w:val="0"/>
      <w:marBottom w:val="0"/>
      <w:divBdr>
        <w:top w:val="none" w:sz="0" w:space="0" w:color="auto"/>
        <w:left w:val="none" w:sz="0" w:space="0" w:color="auto"/>
        <w:bottom w:val="none" w:sz="0" w:space="0" w:color="auto"/>
        <w:right w:val="none" w:sz="0" w:space="0" w:color="auto"/>
      </w:divBdr>
    </w:div>
    <w:div w:id="1499228312">
      <w:bodyDiv w:val="1"/>
      <w:marLeft w:val="0"/>
      <w:marRight w:val="0"/>
      <w:marTop w:val="0"/>
      <w:marBottom w:val="0"/>
      <w:divBdr>
        <w:top w:val="none" w:sz="0" w:space="0" w:color="auto"/>
        <w:left w:val="none" w:sz="0" w:space="0" w:color="auto"/>
        <w:bottom w:val="none" w:sz="0" w:space="0" w:color="auto"/>
        <w:right w:val="none" w:sz="0" w:space="0" w:color="auto"/>
      </w:divBdr>
      <w:divsChild>
        <w:div w:id="969559076">
          <w:marLeft w:val="1152"/>
          <w:marRight w:val="0"/>
          <w:marTop w:val="0"/>
          <w:marBottom w:val="200"/>
          <w:divBdr>
            <w:top w:val="none" w:sz="0" w:space="0" w:color="auto"/>
            <w:left w:val="none" w:sz="0" w:space="0" w:color="auto"/>
            <w:bottom w:val="none" w:sz="0" w:space="0" w:color="auto"/>
            <w:right w:val="none" w:sz="0" w:space="0" w:color="auto"/>
          </w:divBdr>
        </w:div>
        <w:div w:id="353923161">
          <w:marLeft w:val="1152"/>
          <w:marRight w:val="0"/>
          <w:marTop w:val="0"/>
          <w:marBottom w:val="200"/>
          <w:divBdr>
            <w:top w:val="none" w:sz="0" w:space="0" w:color="auto"/>
            <w:left w:val="none" w:sz="0" w:space="0" w:color="auto"/>
            <w:bottom w:val="none" w:sz="0" w:space="0" w:color="auto"/>
            <w:right w:val="none" w:sz="0" w:space="0" w:color="auto"/>
          </w:divBdr>
        </w:div>
        <w:div w:id="1411930037">
          <w:marLeft w:val="1152"/>
          <w:marRight w:val="0"/>
          <w:marTop w:val="0"/>
          <w:marBottom w:val="200"/>
          <w:divBdr>
            <w:top w:val="none" w:sz="0" w:space="0" w:color="auto"/>
            <w:left w:val="none" w:sz="0" w:space="0" w:color="auto"/>
            <w:bottom w:val="none" w:sz="0" w:space="0" w:color="auto"/>
            <w:right w:val="none" w:sz="0" w:space="0" w:color="auto"/>
          </w:divBdr>
        </w:div>
        <w:div w:id="2108768037">
          <w:marLeft w:val="1152"/>
          <w:marRight w:val="0"/>
          <w:marTop w:val="0"/>
          <w:marBottom w:val="200"/>
          <w:divBdr>
            <w:top w:val="none" w:sz="0" w:space="0" w:color="auto"/>
            <w:left w:val="none" w:sz="0" w:space="0" w:color="auto"/>
            <w:bottom w:val="none" w:sz="0" w:space="0" w:color="auto"/>
            <w:right w:val="none" w:sz="0" w:space="0" w:color="auto"/>
          </w:divBdr>
        </w:div>
        <w:div w:id="466625325">
          <w:marLeft w:val="1152"/>
          <w:marRight w:val="0"/>
          <w:marTop w:val="0"/>
          <w:marBottom w:val="200"/>
          <w:divBdr>
            <w:top w:val="none" w:sz="0" w:space="0" w:color="auto"/>
            <w:left w:val="none" w:sz="0" w:space="0" w:color="auto"/>
            <w:bottom w:val="none" w:sz="0" w:space="0" w:color="auto"/>
            <w:right w:val="none" w:sz="0" w:space="0" w:color="auto"/>
          </w:divBdr>
        </w:div>
        <w:div w:id="684131401">
          <w:marLeft w:val="1152"/>
          <w:marRight w:val="0"/>
          <w:marTop w:val="0"/>
          <w:marBottom w:val="200"/>
          <w:divBdr>
            <w:top w:val="none" w:sz="0" w:space="0" w:color="auto"/>
            <w:left w:val="none" w:sz="0" w:space="0" w:color="auto"/>
            <w:bottom w:val="none" w:sz="0" w:space="0" w:color="auto"/>
            <w:right w:val="none" w:sz="0" w:space="0" w:color="auto"/>
          </w:divBdr>
        </w:div>
        <w:div w:id="812795924">
          <w:marLeft w:val="1152"/>
          <w:marRight w:val="0"/>
          <w:marTop w:val="0"/>
          <w:marBottom w:val="200"/>
          <w:divBdr>
            <w:top w:val="none" w:sz="0" w:space="0" w:color="auto"/>
            <w:left w:val="none" w:sz="0" w:space="0" w:color="auto"/>
            <w:bottom w:val="none" w:sz="0" w:space="0" w:color="auto"/>
            <w:right w:val="none" w:sz="0" w:space="0" w:color="auto"/>
          </w:divBdr>
        </w:div>
        <w:div w:id="1085227061">
          <w:marLeft w:val="1152"/>
          <w:marRight w:val="0"/>
          <w:marTop w:val="0"/>
          <w:marBottom w:val="200"/>
          <w:divBdr>
            <w:top w:val="none" w:sz="0" w:space="0" w:color="auto"/>
            <w:left w:val="none" w:sz="0" w:space="0" w:color="auto"/>
            <w:bottom w:val="none" w:sz="0" w:space="0" w:color="auto"/>
            <w:right w:val="none" w:sz="0" w:space="0" w:color="auto"/>
          </w:divBdr>
        </w:div>
        <w:div w:id="1875340735">
          <w:marLeft w:val="1152"/>
          <w:marRight w:val="0"/>
          <w:marTop w:val="0"/>
          <w:marBottom w:val="200"/>
          <w:divBdr>
            <w:top w:val="none" w:sz="0" w:space="0" w:color="auto"/>
            <w:left w:val="none" w:sz="0" w:space="0" w:color="auto"/>
            <w:bottom w:val="none" w:sz="0" w:space="0" w:color="auto"/>
            <w:right w:val="none" w:sz="0" w:space="0" w:color="auto"/>
          </w:divBdr>
        </w:div>
      </w:divsChild>
    </w:div>
    <w:div w:id="1516919282">
      <w:bodyDiv w:val="1"/>
      <w:marLeft w:val="0"/>
      <w:marRight w:val="0"/>
      <w:marTop w:val="0"/>
      <w:marBottom w:val="0"/>
      <w:divBdr>
        <w:top w:val="none" w:sz="0" w:space="0" w:color="auto"/>
        <w:left w:val="none" w:sz="0" w:space="0" w:color="auto"/>
        <w:bottom w:val="none" w:sz="0" w:space="0" w:color="auto"/>
        <w:right w:val="none" w:sz="0" w:space="0" w:color="auto"/>
      </w:divBdr>
    </w:div>
    <w:div w:id="1554199439">
      <w:bodyDiv w:val="1"/>
      <w:marLeft w:val="0"/>
      <w:marRight w:val="0"/>
      <w:marTop w:val="0"/>
      <w:marBottom w:val="0"/>
      <w:divBdr>
        <w:top w:val="none" w:sz="0" w:space="0" w:color="auto"/>
        <w:left w:val="none" w:sz="0" w:space="0" w:color="auto"/>
        <w:bottom w:val="none" w:sz="0" w:space="0" w:color="auto"/>
        <w:right w:val="none" w:sz="0" w:space="0" w:color="auto"/>
      </w:divBdr>
      <w:divsChild>
        <w:div w:id="1347364028">
          <w:marLeft w:val="173"/>
          <w:marRight w:val="0"/>
          <w:marTop w:val="0"/>
          <w:marBottom w:val="0"/>
          <w:divBdr>
            <w:top w:val="none" w:sz="0" w:space="0" w:color="auto"/>
            <w:left w:val="none" w:sz="0" w:space="0" w:color="auto"/>
            <w:bottom w:val="none" w:sz="0" w:space="0" w:color="auto"/>
            <w:right w:val="none" w:sz="0" w:space="0" w:color="auto"/>
          </w:divBdr>
        </w:div>
        <w:div w:id="1405254807">
          <w:marLeft w:val="173"/>
          <w:marRight w:val="0"/>
          <w:marTop w:val="0"/>
          <w:marBottom w:val="0"/>
          <w:divBdr>
            <w:top w:val="none" w:sz="0" w:space="0" w:color="auto"/>
            <w:left w:val="none" w:sz="0" w:space="0" w:color="auto"/>
            <w:bottom w:val="none" w:sz="0" w:space="0" w:color="auto"/>
            <w:right w:val="none" w:sz="0" w:space="0" w:color="auto"/>
          </w:divBdr>
        </w:div>
        <w:div w:id="826213510">
          <w:marLeft w:val="173"/>
          <w:marRight w:val="0"/>
          <w:marTop w:val="0"/>
          <w:marBottom w:val="0"/>
          <w:divBdr>
            <w:top w:val="none" w:sz="0" w:space="0" w:color="auto"/>
            <w:left w:val="none" w:sz="0" w:space="0" w:color="auto"/>
            <w:bottom w:val="none" w:sz="0" w:space="0" w:color="auto"/>
            <w:right w:val="none" w:sz="0" w:space="0" w:color="auto"/>
          </w:divBdr>
        </w:div>
        <w:div w:id="846023874">
          <w:marLeft w:val="173"/>
          <w:marRight w:val="0"/>
          <w:marTop w:val="0"/>
          <w:marBottom w:val="0"/>
          <w:divBdr>
            <w:top w:val="none" w:sz="0" w:space="0" w:color="auto"/>
            <w:left w:val="none" w:sz="0" w:space="0" w:color="auto"/>
            <w:bottom w:val="none" w:sz="0" w:space="0" w:color="auto"/>
            <w:right w:val="none" w:sz="0" w:space="0" w:color="auto"/>
          </w:divBdr>
        </w:div>
      </w:divsChild>
    </w:div>
    <w:div w:id="1571695967">
      <w:bodyDiv w:val="1"/>
      <w:marLeft w:val="0"/>
      <w:marRight w:val="0"/>
      <w:marTop w:val="0"/>
      <w:marBottom w:val="0"/>
      <w:divBdr>
        <w:top w:val="none" w:sz="0" w:space="0" w:color="auto"/>
        <w:left w:val="none" w:sz="0" w:space="0" w:color="auto"/>
        <w:bottom w:val="none" w:sz="0" w:space="0" w:color="auto"/>
        <w:right w:val="none" w:sz="0" w:space="0" w:color="auto"/>
      </w:divBdr>
    </w:div>
    <w:div w:id="1574242452">
      <w:bodyDiv w:val="1"/>
      <w:marLeft w:val="0"/>
      <w:marRight w:val="0"/>
      <w:marTop w:val="0"/>
      <w:marBottom w:val="0"/>
      <w:divBdr>
        <w:top w:val="none" w:sz="0" w:space="0" w:color="auto"/>
        <w:left w:val="none" w:sz="0" w:space="0" w:color="auto"/>
        <w:bottom w:val="none" w:sz="0" w:space="0" w:color="auto"/>
        <w:right w:val="none" w:sz="0" w:space="0" w:color="auto"/>
      </w:divBdr>
    </w:div>
    <w:div w:id="1684673224">
      <w:bodyDiv w:val="1"/>
      <w:marLeft w:val="0"/>
      <w:marRight w:val="0"/>
      <w:marTop w:val="0"/>
      <w:marBottom w:val="0"/>
      <w:divBdr>
        <w:top w:val="none" w:sz="0" w:space="0" w:color="auto"/>
        <w:left w:val="none" w:sz="0" w:space="0" w:color="auto"/>
        <w:bottom w:val="none" w:sz="0" w:space="0" w:color="auto"/>
        <w:right w:val="none" w:sz="0" w:space="0" w:color="auto"/>
      </w:divBdr>
      <w:divsChild>
        <w:div w:id="830753983">
          <w:marLeft w:val="173"/>
          <w:marRight w:val="0"/>
          <w:marTop w:val="0"/>
          <w:marBottom w:val="0"/>
          <w:divBdr>
            <w:top w:val="none" w:sz="0" w:space="0" w:color="auto"/>
            <w:left w:val="none" w:sz="0" w:space="0" w:color="auto"/>
            <w:bottom w:val="none" w:sz="0" w:space="0" w:color="auto"/>
            <w:right w:val="none" w:sz="0" w:space="0" w:color="auto"/>
          </w:divBdr>
        </w:div>
      </w:divsChild>
    </w:div>
    <w:div w:id="1725828454">
      <w:bodyDiv w:val="1"/>
      <w:marLeft w:val="0"/>
      <w:marRight w:val="0"/>
      <w:marTop w:val="0"/>
      <w:marBottom w:val="0"/>
      <w:divBdr>
        <w:top w:val="none" w:sz="0" w:space="0" w:color="auto"/>
        <w:left w:val="none" w:sz="0" w:space="0" w:color="auto"/>
        <w:bottom w:val="none" w:sz="0" w:space="0" w:color="auto"/>
        <w:right w:val="none" w:sz="0" w:space="0" w:color="auto"/>
      </w:divBdr>
    </w:div>
    <w:div w:id="1784373645">
      <w:bodyDiv w:val="1"/>
      <w:marLeft w:val="0"/>
      <w:marRight w:val="0"/>
      <w:marTop w:val="0"/>
      <w:marBottom w:val="0"/>
      <w:divBdr>
        <w:top w:val="none" w:sz="0" w:space="0" w:color="auto"/>
        <w:left w:val="none" w:sz="0" w:space="0" w:color="auto"/>
        <w:bottom w:val="none" w:sz="0" w:space="0" w:color="auto"/>
        <w:right w:val="none" w:sz="0" w:space="0" w:color="auto"/>
      </w:divBdr>
    </w:div>
    <w:div w:id="1789159265">
      <w:bodyDiv w:val="1"/>
      <w:marLeft w:val="0"/>
      <w:marRight w:val="0"/>
      <w:marTop w:val="0"/>
      <w:marBottom w:val="0"/>
      <w:divBdr>
        <w:top w:val="none" w:sz="0" w:space="0" w:color="auto"/>
        <w:left w:val="none" w:sz="0" w:space="0" w:color="auto"/>
        <w:bottom w:val="none" w:sz="0" w:space="0" w:color="auto"/>
        <w:right w:val="none" w:sz="0" w:space="0" w:color="auto"/>
      </w:divBdr>
    </w:div>
    <w:div w:id="1791707311">
      <w:bodyDiv w:val="1"/>
      <w:marLeft w:val="0"/>
      <w:marRight w:val="0"/>
      <w:marTop w:val="0"/>
      <w:marBottom w:val="0"/>
      <w:divBdr>
        <w:top w:val="none" w:sz="0" w:space="0" w:color="auto"/>
        <w:left w:val="none" w:sz="0" w:space="0" w:color="auto"/>
        <w:bottom w:val="none" w:sz="0" w:space="0" w:color="auto"/>
        <w:right w:val="none" w:sz="0" w:space="0" w:color="auto"/>
      </w:divBdr>
    </w:div>
    <w:div w:id="1800144708">
      <w:bodyDiv w:val="1"/>
      <w:marLeft w:val="0"/>
      <w:marRight w:val="0"/>
      <w:marTop w:val="0"/>
      <w:marBottom w:val="0"/>
      <w:divBdr>
        <w:top w:val="none" w:sz="0" w:space="0" w:color="auto"/>
        <w:left w:val="none" w:sz="0" w:space="0" w:color="auto"/>
        <w:bottom w:val="none" w:sz="0" w:space="0" w:color="auto"/>
        <w:right w:val="none" w:sz="0" w:space="0" w:color="auto"/>
      </w:divBdr>
      <w:divsChild>
        <w:div w:id="1793279522">
          <w:marLeft w:val="274"/>
          <w:marRight w:val="0"/>
          <w:marTop w:val="0"/>
          <w:marBottom w:val="0"/>
          <w:divBdr>
            <w:top w:val="none" w:sz="0" w:space="0" w:color="auto"/>
            <w:left w:val="none" w:sz="0" w:space="0" w:color="auto"/>
            <w:bottom w:val="none" w:sz="0" w:space="0" w:color="auto"/>
            <w:right w:val="none" w:sz="0" w:space="0" w:color="auto"/>
          </w:divBdr>
        </w:div>
        <w:div w:id="486363855">
          <w:marLeft w:val="274"/>
          <w:marRight w:val="0"/>
          <w:marTop w:val="0"/>
          <w:marBottom w:val="0"/>
          <w:divBdr>
            <w:top w:val="none" w:sz="0" w:space="0" w:color="auto"/>
            <w:left w:val="none" w:sz="0" w:space="0" w:color="auto"/>
            <w:bottom w:val="none" w:sz="0" w:space="0" w:color="auto"/>
            <w:right w:val="none" w:sz="0" w:space="0" w:color="auto"/>
          </w:divBdr>
        </w:div>
        <w:div w:id="417409374">
          <w:marLeft w:val="274"/>
          <w:marRight w:val="0"/>
          <w:marTop w:val="0"/>
          <w:marBottom w:val="0"/>
          <w:divBdr>
            <w:top w:val="none" w:sz="0" w:space="0" w:color="auto"/>
            <w:left w:val="none" w:sz="0" w:space="0" w:color="auto"/>
            <w:bottom w:val="none" w:sz="0" w:space="0" w:color="auto"/>
            <w:right w:val="none" w:sz="0" w:space="0" w:color="auto"/>
          </w:divBdr>
        </w:div>
        <w:div w:id="1253666660">
          <w:marLeft w:val="274"/>
          <w:marRight w:val="0"/>
          <w:marTop w:val="0"/>
          <w:marBottom w:val="0"/>
          <w:divBdr>
            <w:top w:val="none" w:sz="0" w:space="0" w:color="auto"/>
            <w:left w:val="none" w:sz="0" w:space="0" w:color="auto"/>
            <w:bottom w:val="none" w:sz="0" w:space="0" w:color="auto"/>
            <w:right w:val="none" w:sz="0" w:space="0" w:color="auto"/>
          </w:divBdr>
        </w:div>
        <w:div w:id="1890526831">
          <w:marLeft w:val="274"/>
          <w:marRight w:val="0"/>
          <w:marTop w:val="0"/>
          <w:marBottom w:val="0"/>
          <w:divBdr>
            <w:top w:val="none" w:sz="0" w:space="0" w:color="auto"/>
            <w:left w:val="none" w:sz="0" w:space="0" w:color="auto"/>
            <w:bottom w:val="none" w:sz="0" w:space="0" w:color="auto"/>
            <w:right w:val="none" w:sz="0" w:space="0" w:color="auto"/>
          </w:divBdr>
        </w:div>
        <w:div w:id="1193495757">
          <w:marLeft w:val="274"/>
          <w:marRight w:val="0"/>
          <w:marTop w:val="0"/>
          <w:marBottom w:val="0"/>
          <w:divBdr>
            <w:top w:val="none" w:sz="0" w:space="0" w:color="auto"/>
            <w:left w:val="none" w:sz="0" w:space="0" w:color="auto"/>
            <w:bottom w:val="none" w:sz="0" w:space="0" w:color="auto"/>
            <w:right w:val="none" w:sz="0" w:space="0" w:color="auto"/>
          </w:divBdr>
        </w:div>
        <w:div w:id="1582332530">
          <w:marLeft w:val="274"/>
          <w:marRight w:val="0"/>
          <w:marTop w:val="0"/>
          <w:marBottom w:val="0"/>
          <w:divBdr>
            <w:top w:val="none" w:sz="0" w:space="0" w:color="auto"/>
            <w:left w:val="none" w:sz="0" w:space="0" w:color="auto"/>
            <w:bottom w:val="none" w:sz="0" w:space="0" w:color="auto"/>
            <w:right w:val="none" w:sz="0" w:space="0" w:color="auto"/>
          </w:divBdr>
        </w:div>
        <w:div w:id="1725523596">
          <w:marLeft w:val="274"/>
          <w:marRight w:val="0"/>
          <w:marTop w:val="0"/>
          <w:marBottom w:val="0"/>
          <w:divBdr>
            <w:top w:val="none" w:sz="0" w:space="0" w:color="auto"/>
            <w:left w:val="none" w:sz="0" w:space="0" w:color="auto"/>
            <w:bottom w:val="none" w:sz="0" w:space="0" w:color="auto"/>
            <w:right w:val="none" w:sz="0" w:space="0" w:color="auto"/>
          </w:divBdr>
        </w:div>
      </w:divsChild>
    </w:div>
    <w:div w:id="1817722293">
      <w:bodyDiv w:val="1"/>
      <w:marLeft w:val="0"/>
      <w:marRight w:val="0"/>
      <w:marTop w:val="0"/>
      <w:marBottom w:val="0"/>
      <w:divBdr>
        <w:top w:val="none" w:sz="0" w:space="0" w:color="auto"/>
        <w:left w:val="none" w:sz="0" w:space="0" w:color="auto"/>
        <w:bottom w:val="none" w:sz="0" w:space="0" w:color="auto"/>
        <w:right w:val="none" w:sz="0" w:space="0" w:color="auto"/>
      </w:divBdr>
    </w:div>
    <w:div w:id="1823541512">
      <w:bodyDiv w:val="1"/>
      <w:marLeft w:val="0"/>
      <w:marRight w:val="0"/>
      <w:marTop w:val="0"/>
      <w:marBottom w:val="0"/>
      <w:divBdr>
        <w:top w:val="none" w:sz="0" w:space="0" w:color="auto"/>
        <w:left w:val="none" w:sz="0" w:space="0" w:color="auto"/>
        <w:bottom w:val="none" w:sz="0" w:space="0" w:color="auto"/>
        <w:right w:val="none" w:sz="0" w:space="0" w:color="auto"/>
      </w:divBdr>
    </w:div>
    <w:div w:id="1836532707">
      <w:bodyDiv w:val="1"/>
      <w:marLeft w:val="0"/>
      <w:marRight w:val="0"/>
      <w:marTop w:val="0"/>
      <w:marBottom w:val="0"/>
      <w:divBdr>
        <w:top w:val="none" w:sz="0" w:space="0" w:color="auto"/>
        <w:left w:val="none" w:sz="0" w:space="0" w:color="auto"/>
        <w:bottom w:val="none" w:sz="0" w:space="0" w:color="auto"/>
        <w:right w:val="none" w:sz="0" w:space="0" w:color="auto"/>
      </w:divBdr>
    </w:div>
    <w:div w:id="1850293681">
      <w:bodyDiv w:val="1"/>
      <w:marLeft w:val="0"/>
      <w:marRight w:val="0"/>
      <w:marTop w:val="0"/>
      <w:marBottom w:val="0"/>
      <w:divBdr>
        <w:top w:val="none" w:sz="0" w:space="0" w:color="auto"/>
        <w:left w:val="none" w:sz="0" w:space="0" w:color="auto"/>
        <w:bottom w:val="none" w:sz="0" w:space="0" w:color="auto"/>
        <w:right w:val="none" w:sz="0" w:space="0" w:color="auto"/>
      </w:divBdr>
      <w:divsChild>
        <w:div w:id="1449543271">
          <w:marLeft w:val="173"/>
          <w:marRight w:val="0"/>
          <w:marTop w:val="0"/>
          <w:marBottom w:val="0"/>
          <w:divBdr>
            <w:top w:val="none" w:sz="0" w:space="0" w:color="auto"/>
            <w:left w:val="none" w:sz="0" w:space="0" w:color="auto"/>
            <w:bottom w:val="none" w:sz="0" w:space="0" w:color="auto"/>
            <w:right w:val="none" w:sz="0" w:space="0" w:color="auto"/>
          </w:divBdr>
        </w:div>
        <w:div w:id="974723647">
          <w:marLeft w:val="173"/>
          <w:marRight w:val="0"/>
          <w:marTop w:val="0"/>
          <w:marBottom w:val="0"/>
          <w:divBdr>
            <w:top w:val="none" w:sz="0" w:space="0" w:color="auto"/>
            <w:left w:val="none" w:sz="0" w:space="0" w:color="auto"/>
            <w:bottom w:val="none" w:sz="0" w:space="0" w:color="auto"/>
            <w:right w:val="none" w:sz="0" w:space="0" w:color="auto"/>
          </w:divBdr>
        </w:div>
      </w:divsChild>
    </w:div>
    <w:div w:id="1857383078">
      <w:bodyDiv w:val="1"/>
      <w:marLeft w:val="0"/>
      <w:marRight w:val="0"/>
      <w:marTop w:val="0"/>
      <w:marBottom w:val="0"/>
      <w:divBdr>
        <w:top w:val="none" w:sz="0" w:space="0" w:color="auto"/>
        <w:left w:val="none" w:sz="0" w:space="0" w:color="auto"/>
        <w:bottom w:val="none" w:sz="0" w:space="0" w:color="auto"/>
        <w:right w:val="none" w:sz="0" w:space="0" w:color="auto"/>
      </w:divBdr>
    </w:div>
    <w:div w:id="1862234271">
      <w:bodyDiv w:val="1"/>
      <w:marLeft w:val="0"/>
      <w:marRight w:val="0"/>
      <w:marTop w:val="0"/>
      <w:marBottom w:val="0"/>
      <w:divBdr>
        <w:top w:val="none" w:sz="0" w:space="0" w:color="auto"/>
        <w:left w:val="none" w:sz="0" w:space="0" w:color="auto"/>
        <w:bottom w:val="none" w:sz="0" w:space="0" w:color="auto"/>
        <w:right w:val="none" w:sz="0" w:space="0" w:color="auto"/>
      </w:divBdr>
      <w:divsChild>
        <w:div w:id="960263412">
          <w:marLeft w:val="1570"/>
          <w:marRight w:val="0"/>
          <w:marTop w:val="58"/>
          <w:marBottom w:val="120"/>
          <w:divBdr>
            <w:top w:val="none" w:sz="0" w:space="0" w:color="auto"/>
            <w:left w:val="none" w:sz="0" w:space="0" w:color="auto"/>
            <w:bottom w:val="none" w:sz="0" w:space="0" w:color="auto"/>
            <w:right w:val="none" w:sz="0" w:space="0" w:color="auto"/>
          </w:divBdr>
        </w:div>
        <w:div w:id="852571573">
          <w:marLeft w:val="1570"/>
          <w:marRight w:val="0"/>
          <w:marTop w:val="58"/>
          <w:marBottom w:val="120"/>
          <w:divBdr>
            <w:top w:val="none" w:sz="0" w:space="0" w:color="auto"/>
            <w:left w:val="none" w:sz="0" w:space="0" w:color="auto"/>
            <w:bottom w:val="none" w:sz="0" w:space="0" w:color="auto"/>
            <w:right w:val="none" w:sz="0" w:space="0" w:color="auto"/>
          </w:divBdr>
        </w:div>
        <w:div w:id="1708405260">
          <w:marLeft w:val="1570"/>
          <w:marRight w:val="0"/>
          <w:marTop w:val="58"/>
          <w:marBottom w:val="120"/>
          <w:divBdr>
            <w:top w:val="none" w:sz="0" w:space="0" w:color="auto"/>
            <w:left w:val="none" w:sz="0" w:space="0" w:color="auto"/>
            <w:bottom w:val="none" w:sz="0" w:space="0" w:color="auto"/>
            <w:right w:val="none" w:sz="0" w:space="0" w:color="auto"/>
          </w:divBdr>
        </w:div>
        <w:div w:id="1749229887">
          <w:marLeft w:val="1570"/>
          <w:marRight w:val="0"/>
          <w:marTop w:val="58"/>
          <w:marBottom w:val="120"/>
          <w:divBdr>
            <w:top w:val="none" w:sz="0" w:space="0" w:color="auto"/>
            <w:left w:val="none" w:sz="0" w:space="0" w:color="auto"/>
            <w:bottom w:val="none" w:sz="0" w:space="0" w:color="auto"/>
            <w:right w:val="none" w:sz="0" w:space="0" w:color="auto"/>
          </w:divBdr>
        </w:div>
      </w:divsChild>
    </w:div>
    <w:div w:id="1921909483">
      <w:bodyDiv w:val="1"/>
      <w:marLeft w:val="0"/>
      <w:marRight w:val="0"/>
      <w:marTop w:val="0"/>
      <w:marBottom w:val="0"/>
      <w:divBdr>
        <w:top w:val="none" w:sz="0" w:space="0" w:color="auto"/>
        <w:left w:val="none" w:sz="0" w:space="0" w:color="auto"/>
        <w:bottom w:val="none" w:sz="0" w:space="0" w:color="auto"/>
        <w:right w:val="none" w:sz="0" w:space="0" w:color="auto"/>
      </w:divBdr>
    </w:div>
    <w:div w:id="1966350836">
      <w:bodyDiv w:val="1"/>
      <w:marLeft w:val="0"/>
      <w:marRight w:val="0"/>
      <w:marTop w:val="0"/>
      <w:marBottom w:val="0"/>
      <w:divBdr>
        <w:top w:val="none" w:sz="0" w:space="0" w:color="auto"/>
        <w:left w:val="none" w:sz="0" w:space="0" w:color="auto"/>
        <w:bottom w:val="none" w:sz="0" w:space="0" w:color="auto"/>
        <w:right w:val="none" w:sz="0" w:space="0" w:color="auto"/>
      </w:divBdr>
    </w:div>
    <w:div w:id="1991324845">
      <w:bodyDiv w:val="1"/>
      <w:marLeft w:val="0"/>
      <w:marRight w:val="0"/>
      <w:marTop w:val="0"/>
      <w:marBottom w:val="0"/>
      <w:divBdr>
        <w:top w:val="none" w:sz="0" w:space="0" w:color="auto"/>
        <w:left w:val="none" w:sz="0" w:space="0" w:color="auto"/>
        <w:bottom w:val="none" w:sz="0" w:space="0" w:color="auto"/>
        <w:right w:val="none" w:sz="0" w:space="0" w:color="auto"/>
      </w:divBdr>
    </w:div>
    <w:div w:id="2001811672">
      <w:bodyDiv w:val="1"/>
      <w:marLeft w:val="0"/>
      <w:marRight w:val="0"/>
      <w:marTop w:val="0"/>
      <w:marBottom w:val="0"/>
      <w:divBdr>
        <w:top w:val="none" w:sz="0" w:space="0" w:color="auto"/>
        <w:left w:val="none" w:sz="0" w:space="0" w:color="auto"/>
        <w:bottom w:val="none" w:sz="0" w:space="0" w:color="auto"/>
        <w:right w:val="none" w:sz="0" w:space="0" w:color="auto"/>
      </w:divBdr>
      <w:divsChild>
        <w:div w:id="424154206">
          <w:marLeft w:val="173"/>
          <w:marRight w:val="0"/>
          <w:marTop w:val="0"/>
          <w:marBottom w:val="0"/>
          <w:divBdr>
            <w:top w:val="none" w:sz="0" w:space="0" w:color="auto"/>
            <w:left w:val="none" w:sz="0" w:space="0" w:color="auto"/>
            <w:bottom w:val="none" w:sz="0" w:space="0" w:color="auto"/>
            <w:right w:val="none" w:sz="0" w:space="0" w:color="auto"/>
          </w:divBdr>
        </w:div>
      </w:divsChild>
    </w:div>
    <w:div w:id="2024014893">
      <w:bodyDiv w:val="1"/>
      <w:marLeft w:val="0"/>
      <w:marRight w:val="0"/>
      <w:marTop w:val="0"/>
      <w:marBottom w:val="0"/>
      <w:divBdr>
        <w:top w:val="none" w:sz="0" w:space="0" w:color="auto"/>
        <w:left w:val="none" w:sz="0" w:space="0" w:color="auto"/>
        <w:bottom w:val="none" w:sz="0" w:space="0" w:color="auto"/>
        <w:right w:val="none" w:sz="0" w:space="0" w:color="auto"/>
      </w:divBdr>
    </w:div>
    <w:div w:id="2037000432">
      <w:bodyDiv w:val="1"/>
      <w:marLeft w:val="0"/>
      <w:marRight w:val="0"/>
      <w:marTop w:val="0"/>
      <w:marBottom w:val="0"/>
      <w:divBdr>
        <w:top w:val="none" w:sz="0" w:space="0" w:color="auto"/>
        <w:left w:val="none" w:sz="0" w:space="0" w:color="auto"/>
        <w:bottom w:val="none" w:sz="0" w:space="0" w:color="auto"/>
        <w:right w:val="none" w:sz="0" w:space="0" w:color="auto"/>
      </w:divBdr>
    </w:div>
    <w:div w:id="2053071251">
      <w:bodyDiv w:val="1"/>
      <w:marLeft w:val="0"/>
      <w:marRight w:val="0"/>
      <w:marTop w:val="0"/>
      <w:marBottom w:val="0"/>
      <w:divBdr>
        <w:top w:val="none" w:sz="0" w:space="0" w:color="auto"/>
        <w:left w:val="none" w:sz="0" w:space="0" w:color="auto"/>
        <w:bottom w:val="none" w:sz="0" w:space="0" w:color="auto"/>
        <w:right w:val="none" w:sz="0" w:space="0" w:color="auto"/>
      </w:divBdr>
      <w:divsChild>
        <w:div w:id="1872568565">
          <w:marLeft w:val="691"/>
          <w:marRight w:val="0"/>
          <w:marTop w:val="0"/>
          <w:marBottom w:val="200"/>
          <w:divBdr>
            <w:top w:val="none" w:sz="0" w:space="0" w:color="auto"/>
            <w:left w:val="none" w:sz="0" w:space="0" w:color="auto"/>
            <w:bottom w:val="none" w:sz="0" w:space="0" w:color="auto"/>
            <w:right w:val="none" w:sz="0" w:space="0" w:color="auto"/>
          </w:divBdr>
        </w:div>
      </w:divsChild>
    </w:div>
    <w:div w:id="2085912049">
      <w:bodyDiv w:val="1"/>
      <w:marLeft w:val="0"/>
      <w:marRight w:val="0"/>
      <w:marTop w:val="0"/>
      <w:marBottom w:val="0"/>
      <w:divBdr>
        <w:top w:val="none" w:sz="0" w:space="0" w:color="auto"/>
        <w:left w:val="none" w:sz="0" w:space="0" w:color="auto"/>
        <w:bottom w:val="none" w:sz="0" w:space="0" w:color="auto"/>
        <w:right w:val="none" w:sz="0" w:space="0" w:color="auto"/>
      </w:divBdr>
    </w:div>
    <w:div w:id="2101564123">
      <w:bodyDiv w:val="1"/>
      <w:marLeft w:val="0"/>
      <w:marRight w:val="0"/>
      <w:marTop w:val="0"/>
      <w:marBottom w:val="0"/>
      <w:divBdr>
        <w:top w:val="none" w:sz="0" w:space="0" w:color="auto"/>
        <w:left w:val="none" w:sz="0" w:space="0" w:color="auto"/>
        <w:bottom w:val="none" w:sz="0" w:space="0" w:color="auto"/>
        <w:right w:val="none" w:sz="0" w:space="0" w:color="auto"/>
      </w:divBdr>
    </w:div>
    <w:div w:id="2129084509">
      <w:bodyDiv w:val="1"/>
      <w:marLeft w:val="0"/>
      <w:marRight w:val="0"/>
      <w:marTop w:val="0"/>
      <w:marBottom w:val="0"/>
      <w:divBdr>
        <w:top w:val="none" w:sz="0" w:space="0" w:color="auto"/>
        <w:left w:val="none" w:sz="0" w:space="0" w:color="auto"/>
        <w:bottom w:val="none" w:sz="0" w:space="0" w:color="auto"/>
        <w:right w:val="none" w:sz="0" w:space="0" w:color="auto"/>
      </w:divBdr>
      <w:divsChild>
        <w:div w:id="1060906797">
          <w:marLeft w:val="691"/>
          <w:marRight w:val="0"/>
          <w:marTop w:val="0"/>
          <w:marBottom w:val="100"/>
          <w:divBdr>
            <w:top w:val="none" w:sz="0" w:space="0" w:color="auto"/>
            <w:left w:val="none" w:sz="0" w:space="0" w:color="auto"/>
            <w:bottom w:val="none" w:sz="0" w:space="0" w:color="auto"/>
            <w:right w:val="none" w:sz="0" w:space="0" w:color="auto"/>
          </w:divBdr>
        </w:div>
        <w:div w:id="1921477553">
          <w:marLeft w:val="691"/>
          <w:marRight w:val="0"/>
          <w:marTop w:val="0"/>
          <w:marBottom w:val="100"/>
          <w:divBdr>
            <w:top w:val="none" w:sz="0" w:space="0" w:color="auto"/>
            <w:left w:val="none" w:sz="0" w:space="0" w:color="auto"/>
            <w:bottom w:val="none" w:sz="0" w:space="0" w:color="auto"/>
            <w:right w:val="none" w:sz="0" w:space="0" w:color="auto"/>
          </w:divBdr>
        </w:div>
        <w:div w:id="880289684">
          <w:marLeft w:val="691"/>
          <w:marRight w:val="0"/>
          <w:marTop w:val="0"/>
          <w:marBottom w:val="100"/>
          <w:divBdr>
            <w:top w:val="none" w:sz="0" w:space="0" w:color="auto"/>
            <w:left w:val="none" w:sz="0" w:space="0" w:color="auto"/>
            <w:bottom w:val="none" w:sz="0" w:space="0" w:color="auto"/>
            <w:right w:val="none" w:sz="0" w:space="0" w:color="auto"/>
          </w:divBdr>
        </w:div>
      </w:divsChild>
    </w:div>
    <w:div w:id="2129153435">
      <w:bodyDiv w:val="1"/>
      <w:marLeft w:val="0"/>
      <w:marRight w:val="0"/>
      <w:marTop w:val="0"/>
      <w:marBottom w:val="0"/>
      <w:divBdr>
        <w:top w:val="none" w:sz="0" w:space="0" w:color="auto"/>
        <w:left w:val="none" w:sz="0" w:space="0" w:color="auto"/>
        <w:bottom w:val="none" w:sz="0" w:space="0" w:color="auto"/>
        <w:right w:val="none" w:sz="0" w:space="0" w:color="auto"/>
      </w:divBdr>
      <w:divsChild>
        <w:div w:id="776289157">
          <w:marLeft w:val="274"/>
          <w:marRight w:val="0"/>
          <w:marTop w:val="0"/>
          <w:marBottom w:val="0"/>
          <w:divBdr>
            <w:top w:val="none" w:sz="0" w:space="0" w:color="auto"/>
            <w:left w:val="none" w:sz="0" w:space="0" w:color="auto"/>
            <w:bottom w:val="none" w:sz="0" w:space="0" w:color="auto"/>
            <w:right w:val="none" w:sz="0" w:space="0" w:color="auto"/>
          </w:divBdr>
        </w:div>
      </w:divsChild>
    </w:div>
    <w:div w:id="21347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de.ct.gov/sde/cwp/view.asp?a=2680&amp;q=33440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de.ct.gov/sde/cwp/view.asp?a=2680&amp;q=334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EE2A223987441B6EF9206597E597E" ma:contentTypeVersion="0" ma:contentTypeDescription="Create a new document." ma:contentTypeScope="" ma:versionID="d3b3dbd3c71dcec868d33d820e76be73">
  <xsd:schema xmlns:xsd="http://www.w3.org/2001/XMLSchema" xmlns:xs="http://www.w3.org/2001/XMLSchema" xmlns:p="http://schemas.microsoft.com/office/2006/metadata/properties" xmlns:ns2="64af3273-55ea-401c-8088-5cc0dd178d04" targetNamespace="http://schemas.microsoft.com/office/2006/metadata/properties" ma:root="true" ma:fieldsID="2e09fd7406152ee76e1e9169fbf1bc1c" ns2:_="">
    <xsd:import namespace="64af3273-55ea-401c-8088-5cc0dd178d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f3273-55ea-401c-8088-5cc0dd178d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4af3273-55ea-401c-8088-5cc0dd178d04">R6CDRRU2QW4X-22-1514</_dlc_DocId>
    <_dlc_DocIdUrl xmlns="64af3273-55ea-401c-8088-5cc0dd178d04">
      <Url>https://blumshapiro.sharepoint.com/businessolutions/_layouts/15/DocIdRedir.aspx?ID=R6CDRRU2QW4X-22-1514</Url>
      <Description>R6CDRRU2QW4X-22-1514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8296-F9F2-43EC-851B-4D71536A1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f3273-55ea-401c-8088-5cc0dd178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01B5C-7735-458B-8E56-B1512A11F10C}">
  <ds:schemaRefs>
    <ds:schemaRef ds:uri="http://schemas.microsoft.com/sharepoint/events"/>
  </ds:schemaRefs>
</ds:datastoreItem>
</file>

<file path=customXml/itemProps3.xml><?xml version="1.0" encoding="utf-8"?>
<ds:datastoreItem xmlns:ds="http://schemas.openxmlformats.org/officeDocument/2006/customXml" ds:itemID="{45F6E447-3FDD-46E7-B51A-0F9AB5474799}">
  <ds:schemaRefs>
    <ds:schemaRef ds:uri="http://schemas.microsoft.com/sharepoint/v3/contenttype/forms"/>
  </ds:schemaRefs>
</ds:datastoreItem>
</file>

<file path=customXml/itemProps4.xml><?xml version="1.0" encoding="utf-8"?>
<ds:datastoreItem xmlns:ds="http://schemas.openxmlformats.org/officeDocument/2006/customXml" ds:itemID="{8C11C484-C21F-4075-82AD-09F228385B6C}">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64af3273-55ea-401c-8088-5cc0dd178d04"/>
    <ds:schemaRef ds:uri="http://purl.org/dc/elements/1.1/"/>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89837A5-3353-40C0-87F0-55842900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3446</Words>
  <Characters>19644</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CT Health Equity Advocacy Organization Business Plan</vt:lpstr>
    </vt:vector>
  </TitlesOfParts>
  <Company>CSDE</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Health Equity Advocacy Organization Business Plan</dc:title>
  <dc:creator>Ed Nevins</dc:creator>
  <cp:lastModifiedBy>W2K</cp:lastModifiedBy>
  <cp:revision>2</cp:revision>
  <cp:lastPrinted>2016-10-14T15:57:00Z</cp:lastPrinted>
  <dcterms:created xsi:type="dcterms:W3CDTF">2017-06-19T18:41:00Z</dcterms:created>
  <dcterms:modified xsi:type="dcterms:W3CDTF">2017-06-19T18:41:00Z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0x0101003E8EE2A223987441B6EF9206597E597E</vt:lpwstr>
  </property>
  <property fmtid="{D5CDD505-2E9C-101B-9397-08002B2CF9AE}" pid="3" name="_dlc_DocIdItemGuid">
    <vt:lpwstr>09228d62-d221-42dd-8a86-875ad0db8d9c</vt:lpwstr>
  </property>
</Properties>
</file>