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6B2A" w:rsidRPr="00F72FD0" w:rsidRDefault="00F72FD0" w:rsidP="00F72FD0">
      <w:pPr>
        <w:pStyle w:val="Heading7"/>
        <w:jc w:val="center"/>
        <w:rPr>
          <w:rStyle w:val="IntenseReference"/>
          <w:i w:val="0"/>
          <w:color w:val="1F497D" w:themeColor="text2"/>
          <w:sz w:val="28"/>
          <w:szCs w:val="28"/>
        </w:rPr>
      </w:pPr>
      <w:r w:rsidRPr="00F72FD0">
        <w:rPr>
          <w:rStyle w:val="IntenseReference"/>
          <w:i w:val="0"/>
          <w:color w:val="1F497D" w:themeColor="text2"/>
          <w:sz w:val="28"/>
          <w:szCs w:val="28"/>
        </w:rPr>
        <w:t xml:space="preserve">Overview of </w:t>
      </w:r>
      <w:r>
        <w:rPr>
          <w:rStyle w:val="IntenseReference"/>
          <w:i w:val="0"/>
          <w:color w:val="1F497D" w:themeColor="text2"/>
          <w:sz w:val="28"/>
          <w:szCs w:val="28"/>
        </w:rPr>
        <w:t xml:space="preserve">Meeting the Challenge </w:t>
      </w:r>
      <w:r w:rsidR="004538AF" w:rsidRPr="00F72FD0">
        <w:rPr>
          <w:rStyle w:val="IntenseReference"/>
          <w:i w:val="0"/>
          <w:color w:val="1F497D" w:themeColor="text2"/>
          <w:sz w:val="28"/>
          <w:szCs w:val="28"/>
        </w:rPr>
        <w:t>Modules 2 and 3</w:t>
      </w:r>
    </w:p>
    <w:p w:rsidR="00F72FD0" w:rsidRPr="00F72FD0" w:rsidRDefault="00F72FD0" w:rsidP="00F72FD0"/>
    <w:p w:rsidR="000A7D48" w:rsidRPr="00F72FD0" w:rsidRDefault="00112587" w:rsidP="00F72FD0">
      <w:pPr>
        <w:pStyle w:val="Normal1"/>
        <w:rPr>
          <w:rFonts w:ascii="Calibri" w:hAnsi="Calibri"/>
          <w:sz w:val="24"/>
          <w:szCs w:val="22"/>
        </w:rPr>
      </w:pPr>
      <w:r w:rsidRPr="00F72FD0">
        <w:rPr>
          <w:rFonts w:ascii="Calibri" w:hAnsi="Calibri"/>
          <w:b/>
          <w:sz w:val="24"/>
          <w:szCs w:val="22"/>
        </w:rPr>
        <w:t>M</w:t>
      </w:r>
      <w:r w:rsidR="00F72FD0" w:rsidRPr="00F72FD0">
        <w:rPr>
          <w:rFonts w:ascii="Calibri" w:hAnsi="Calibri"/>
          <w:b/>
          <w:sz w:val="24"/>
          <w:szCs w:val="22"/>
        </w:rPr>
        <w:t>odule 2 EL:</w:t>
      </w:r>
      <w:r w:rsidRPr="00F72FD0">
        <w:rPr>
          <w:rFonts w:ascii="Calibri" w:hAnsi="Calibri"/>
          <w:b/>
          <w:sz w:val="24"/>
          <w:szCs w:val="22"/>
        </w:rPr>
        <w:t xml:space="preserve"> </w:t>
      </w:r>
      <w:r w:rsidR="00DD19A7" w:rsidRPr="00F72FD0">
        <w:rPr>
          <w:rFonts w:ascii="Calibri" w:hAnsi="Calibri"/>
          <w:b/>
          <w:sz w:val="24"/>
          <w:szCs w:val="22"/>
        </w:rPr>
        <w:t>Accessing the Connecticut Core Standards in English Language Arts with English Learners</w:t>
      </w:r>
      <w:r w:rsidR="00CF1532">
        <w:rPr>
          <w:rFonts w:ascii="Calibri" w:hAnsi="Calibri"/>
          <w:b/>
          <w:sz w:val="24"/>
          <w:szCs w:val="22"/>
        </w:rPr>
        <w:t xml:space="preserve"> (</w:t>
      </w:r>
      <w:proofErr w:type="spellStart"/>
      <w:r w:rsidR="00CF1532">
        <w:rPr>
          <w:rFonts w:ascii="Calibri" w:hAnsi="Calibri"/>
          <w:b/>
          <w:sz w:val="24"/>
          <w:szCs w:val="22"/>
        </w:rPr>
        <w:t>EL</w:t>
      </w:r>
      <w:r w:rsidR="00F6792D">
        <w:rPr>
          <w:rFonts w:ascii="Calibri" w:hAnsi="Calibri"/>
          <w:b/>
          <w:sz w:val="24"/>
          <w:szCs w:val="22"/>
        </w:rPr>
        <w:t>s</w:t>
      </w:r>
      <w:proofErr w:type="spellEnd"/>
      <w:r w:rsidR="00CF1532">
        <w:rPr>
          <w:rFonts w:ascii="Calibri" w:hAnsi="Calibri"/>
          <w:b/>
          <w:sz w:val="24"/>
          <w:szCs w:val="22"/>
        </w:rPr>
        <w:t>)</w:t>
      </w:r>
    </w:p>
    <w:p w:rsidR="000A7D48" w:rsidRPr="00F72FD0" w:rsidRDefault="000A7D48" w:rsidP="00F72FD0">
      <w:pPr>
        <w:pStyle w:val="Normal1"/>
        <w:rPr>
          <w:rFonts w:ascii="Calibri" w:hAnsi="Calibri"/>
          <w:szCs w:val="22"/>
        </w:rPr>
      </w:pPr>
    </w:p>
    <w:p w:rsidR="000A7D48" w:rsidRPr="00112587" w:rsidRDefault="00852EBB" w:rsidP="00112587">
      <w:pPr>
        <w:pStyle w:val="Normal1"/>
        <w:spacing w:line="480" w:lineRule="auto"/>
        <w:rPr>
          <w:rFonts w:asciiTheme="majorHAnsi" w:hAnsiTheme="majorHAnsi"/>
          <w:szCs w:val="22"/>
        </w:rPr>
      </w:pPr>
      <w:r>
        <w:rPr>
          <w:rFonts w:asciiTheme="majorHAnsi" w:hAnsiTheme="majorHAnsi"/>
          <w:b/>
          <w:szCs w:val="22"/>
        </w:rPr>
        <w:t>Topic Areas</w:t>
      </w:r>
    </w:p>
    <w:p w:rsidR="000A7D48" w:rsidRPr="00112587" w:rsidRDefault="00112587" w:rsidP="00F6792D">
      <w:pPr>
        <w:pStyle w:val="Normal1"/>
        <w:numPr>
          <w:ilvl w:val="0"/>
          <w:numId w:val="4"/>
        </w:numPr>
        <w:spacing w:before="60" w:after="40"/>
        <w:ind w:left="72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Opportunities for E</w:t>
      </w:r>
      <w:r w:rsidR="00DD19A7" w:rsidRPr="00112587">
        <w:rPr>
          <w:rFonts w:asciiTheme="majorHAnsi" w:hAnsiTheme="majorHAnsi"/>
          <w:szCs w:val="22"/>
        </w:rPr>
        <w:t>Ls using the Connecticut Core Standards</w:t>
      </w:r>
      <w:r w:rsidR="00CF1532">
        <w:rPr>
          <w:rFonts w:asciiTheme="majorHAnsi" w:hAnsiTheme="majorHAnsi"/>
          <w:szCs w:val="22"/>
        </w:rPr>
        <w:t xml:space="preserve"> (CCS)</w:t>
      </w:r>
    </w:p>
    <w:p w:rsidR="000A7D48" w:rsidRPr="00112587" w:rsidRDefault="00DD19A7" w:rsidP="00F6792D">
      <w:pPr>
        <w:pStyle w:val="Normal1"/>
        <w:numPr>
          <w:ilvl w:val="0"/>
          <w:numId w:val="4"/>
        </w:numPr>
        <w:spacing w:before="60" w:after="40"/>
        <w:ind w:left="720"/>
        <w:rPr>
          <w:rFonts w:asciiTheme="majorHAnsi" w:hAnsiTheme="majorHAnsi"/>
          <w:szCs w:val="22"/>
        </w:rPr>
      </w:pPr>
      <w:r w:rsidRPr="00112587">
        <w:rPr>
          <w:rFonts w:asciiTheme="majorHAnsi" w:hAnsiTheme="majorHAnsi"/>
          <w:szCs w:val="22"/>
        </w:rPr>
        <w:t>Speaking and Listening to Work Collaboratively</w:t>
      </w:r>
    </w:p>
    <w:p w:rsidR="000A7D48" w:rsidRPr="00112587" w:rsidRDefault="00DD19A7" w:rsidP="00F6792D">
      <w:pPr>
        <w:pStyle w:val="Normal1"/>
        <w:numPr>
          <w:ilvl w:val="0"/>
          <w:numId w:val="4"/>
        </w:numPr>
        <w:spacing w:before="60" w:after="40"/>
        <w:ind w:left="720"/>
        <w:rPr>
          <w:rFonts w:asciiTheme="majorHAnsi" w:hAnsiTheme="majorHAnsi"/>
          <w:szCs w:val="22"/>
        </w:rPr>
      </w:pPr>
      <w:r w:rsidRPr="00112587">
        <w:rPr>
          <w:rFonts w:asciiTheme="majorHAnsi" w:hAnsiTheme="majorHAnsi"/>
          <w:szCs w:val="22"/>
        </w:rPr>
        <w:t>Reading to Engage with Complex Texts</w:t>
      </w:r>
    </w:p>
    <w:p w:rsidR="000A7D48" w:rsidRPr="00112587" w:rsidRDefault="00DD19A7" w:rsidP="00F6792D">
      <w:pPr>
        <w:pStyle w:val="Normal1"/>
        <w:numPr>
          <w:ilvl w:val="0"/>
          <w:numId w:val="4"/>
        </w:numPr>
        <w:spacing w:before="60" w:after="40"/>
        <w:ind w:left="720"/>
        <w:rPr>
          <w:rFonts w:asciiTheme="majorHAnsi" w:hAnsiTheme="majorHAnsi"/>
          <w:szCs w:val="22"/>
        </w:rPr>
      </w:pPr>
      <w:r w:rsidRPr="00112587">
        <w:rPr>
          <w:rFonts w:asciiTheme="majorHAnsi" w:hAnsiTheme="majorHAnsi"/>
          <w:szCs w:val="22"/>
        </w:rPr>
        <w:t>Using Evidence in Writing and Research</w:t>
      </w:r>
    </w:p>
    <w:p w:rsidR="00DD19A7" w:rsidRPr="00112587" w:rsidRDefault="00DD19A7" w:rsidP="00F72FD0">
      <w:pPr>
        <w:ind w:left="360" w:hanging="360"/>
        <w:rPr>
          <w:rFonts w:asciiTheme="majorHAnsi" w:hAnsiTheme="majorHAnsi"/>
          <w:b/>
          <w:szCs w:val="22"/>
        </w:rPr>
      </w:pPr>
    </w:p>
    <w:p w:rsidR="000A7D48" w:rsidRPr="00112587" w:rsidRDefault="00852EBB" w:rsidP="00112587">
      <w:pPr>
        <w:pStyle w:val="Normal1"/>
        <w:rPr>
          <w:rFonts w:asciiTheme="majorHAnsi" w:hAnsiTheme="majorHAnsi"/>
          <w:szCs w:val="22"/>
        </w:rPr>
      </w:pPr>
      <w:r>
        <w:rPr>
          <w:rFonts w:asciiTheme="majorHAnsi" w:hAnsiTheme="majorHAnsi"/>
          <w:b/>
          <w:szCs w:val="22"/>
        </w:rPr>
        <w:t>Focus of Learning</w:t>
      </w:r>
      <w:r w:rsidR="00112587">
        <w:rPr>
          <w:rFonts w:asciiTheme="majorHAnsi" w:hAnsiTheme="majorHAnsi"/>
          <w:b/>
          <w:szCs w:val="22"/>
        </w:rPr>
        <w:t>:</w:t>
      </w:r>
    </w:p>
    <w:p w:rsidR="000A7D48" w:rsidRPr="00112587" w:rsidRDefault="000A7D48" w:rsidP="00F72FD0">
      <w:pPr>
        <w:pStyle w:val="Normal1"/>
        <w:rPr>
          <w:rFonts w:asciiTheme="majorHAnsi" w:hAnsiTheme="majorHAnsi"/>
          <w:szCs w:val="22"/>
        </w:rPr>
      </w:pPr>
    </w:p>
    <w:p w:rsidR="000A7D48" w:rsidRPr="00112587" w:rsidRDefault="00DD19A7" w:rsidP="00F72FD0">
      <w:pPr>
        <w:pStyle w:val="Normal1"/>
        <w:numPr>
          <w:ilvl w:val="0"/>
          <w:numId w:val="2"/>
        </w:numPr>
        <w:spacing w:after="120"/>
        <w:ind w:hanging="360"/>
        <w:rPr>
          <w:rFonts w:asciiTheme="majorHAnsi" w:hAnsiTheme="majorHAnsi"/>
          <w:szCs w:val="22"/>
        </w:rPr>
      </w:pPr>
      <w:r w:rsidRPr="00112587">
        <w:rPr>
          <w:rFonts w:asciiTheme="majorHAnsi" w:hAnsiTheme="majorHAnsi"/>
          <w:szCs w:val="22"/>
          <w:highlight w:val="white"/>
        </w:rPr>
        <w:t>Educators must possess and utilize a variety of dispositions in or</w:t>
      </w:r>
      <w:r w:rsidR="00112587">
        <w:rPr>
          <w:rFonts w:asciiTheme="majorHAnsi" w:hAnsiTheme="majorHAnsi"/>
          <w:szCs w:val="22"/>
          <w:highlight w:val="white"/>
        </w:rPr>
        <w:t>der to implement the CCS for EL</w:t>
      </w:r>
      <w:r w:rsidRPr="00112587">
        <w:rPr>
          <w:rFonts w:asciiTheme="majorHAnsi" w:hAnsiTheme="majorHAnsi"/>
          <w:szCs w:val="22"/>
          <w:highlight w:val="white"/>
        </w:rPr>
        <w:t>s.</w:t>
      </w:r>
    </w:p>
    <w:p w:rsidR="000A7D48" w:rsidRPr="00112587" w:rsidRDefault="00112587" w:rsidP="00F72FD0">
      <w:pPr>
        <w:pStyle w:val="Normal1"/>
        <w:numPr>
          <w:ilvl w:val="0"/>
          <w:numId w:val="2"/>
        </w:numPr>
        <w:spacing w:after="120"/>
        <w:ind w:hanging="360"/>
        <w:rPr>
          <w:rFonts w:asciiTheme="majorHAnsi" w:hAnsiTheme="majorHAnsi"/>
          <w:szCs w:val="22"/>
        </w:rPr>
      </w:pPr>
      <w:proofErr w:type="spellStart"/>
      <w:r>
        <w:rPr>
          <w:rFonts w:asciiTheme="majorHAnsi" w:hAnsiTheme="majorHAnsi"/>
          <w:szCs w:val="22"/>
          <w:highlight w:val="white"/>
        </w:rPr>
        <w:t>EL</w:t>
      </w:r>
      <w:r w:rsidR="00DD19A7" w:rsidRPr="00112587">
        <w:rPr>
          <w:rFonts w:asciiTheme="majorHAnsi" w:hAnsiTheme="majorHAnsi"/>
          <w:szCs w:val="22"/>
          <w:highlight w:val="white"/>
        </w:rPr>
        <w:t>s</w:t>
      </w:r>
      <w:proofErr w:type="spellEnd"/>
      <w:r w:rsidR="00DD19A7" w:rsidRPr="00112587">
        <w:rPr>
          <w:rFonts w:asciiTheme="majorHAnsi" w:hAnsiTheme="majorHAnsi"/>
          <w:szCs w:val="22"/>
          <w:highlight w:val="white"/>
        </w:rPr>
        <w:t xml:space="preserve"> require support in meeting the rigorous academic standards outlined in the CCS.</w:t>
      </w:r>
    </w:p>
    <w:p w:rsidR="000A7D48" w:rsidRPr="00112587" w:rsidRDefault="00DD19A7" w:rsidP="00F72FD0">
      <w:pPr>
        <w:pStyle w:val="Normal1"/>
        <w:numPr>
          <w:ilvl w:val="0"/>
          <w:numId w:val="2"/>
        </w:numPr>
        <w:spacing w:after="120"/>
        <w:ind w:hanging="360"/>
        <w:rPr>
          <w:rFonts w:asciiTheme="majorHAnsi" w:hAnsiTheme="majorHAnsi"/>
          <w:szCs w:val="22"/>
        </w:rPr>
      </w:pPr>
      <w:r w:rsidRPr="00112587">
        <w:rPr>
          <w:rFonts w:asciiTheme="majorHAnsi" w:hAnsiTheme="majorHAnsi"/>
          <w:szCs w:val="22"/>
          <w:highlight w:val="white"/>
        </w:rPr>
        <w:t>Teachers will undergo a mindset shift when learning about and implementing the CCS for ELs relative to their prior experiences.</w:t>
      </w:r>
    </w:p>
    <w:p w:rsidR="000A7D48" w:rsidRPr="00112587" w:rsidRDefault="00DD19A7" w:rsidP="00F72FD0">
      <w:pPr>
        <w:pStyle w:val="Normal1"/>
        <w:numPr>
          <w:ilvl w:val="0"/>
          <w:numId w:val="2"/>
        </w:numPr>
        <w:spacing w:after="120"/>
        <w:ind w:hanging="360"/>
        <w:rPr>
          <w:rFonts w:asciiTheme="majorHAnsi" w:hAnsiTheme="majorHAnsi"/>
          <w:szCs w:val="22"/>
        </w:rPr>
      </w:pPr>
      <w:r w:rsidRPr="00112587">
        <w:rPr>
          <w:rFonts w:asciiTheme="majorHAnsi" w:hAnsiTheme="majorHAnsi"/>
          <w:szCs w:val="22"/>
          <w:highlight w:val="white"/>
        </w:rPr>
        <w:t>Based on language proficiency, ELs communicate orally in progressive ways.</w:t>
      </w:r>
    </w:p>
    <w:p w:rsidR="000A7D48" w:rsidRPr="00112587" w:rsidRDefault="00DD19A7" w:rsidP="00F72FD0">
      <w:pPr>
        <w:pStyle w:val="Normal1"/>
        <w:numPr>
          <w:ilvl w:val="0"/>
          <w:numId w:val="2"/>
        </w:numPr>
        <w:spacing w:after="120"/>
        <w:ind w:hanging="360"/>
        <w:rPr>
          <w:rFonts w:asciiTheme="majorHAnsi" w:hAnsiTheme="majorHAnsi"/>
          <w:szCs w:val="22"/>
        </w:rPr>
      </w:pPr>
      <w:r w:rsidRPr="00112587">
        <w:rPr>
          <w:rFonts w:asciiTheme="majorHAnsi" w:hAnsiTheme="majorHAnsi"/>
          <w:szCs w:val="22"/>
          <w:highlight w:val="white"/>
        </w:rPr>
        <w:t>W</w:t>
      </w:r>
      <w:r w:rsidR="00112587">
        <w:rPr>
          <w:rFonts w:asciiTheme="majorHAnsi" w:hAnsiTheme="majorHAnsi"/>
          <w:szCs w:val="22"/>
          <w:highlight w:val="white"/>
        </w:rPr>
        <w:t>hile there are challenges for E</w:t>
      </w:r>
      <w:r w:rsidRPr="00112587">
        <w:rPr>
          <w:rFonts w:asciiTheme="majorHAnsi" w:hAnsiTheme="majorHAnsi"/>
          <w:szCs w:val="22"/>
          <w:highlight w:val="white"/>
        </w:rPr>
        <w:t>Ls, there are effective ways teachers can support oral language development.</w:t>
      </w:r>
    </w:p>
    <w:p w:rsidR="000A7D48" w:rsidRPr="00112587" w:rsidRDefault="00852EBB" w:rsidP="00F72FD0">
      <w:pPr>
        <w:pStyle w:val="Normal1"/>
        <w:numPr>
          <w:ilvl w:val="0"/>
          <w:numId w:val="2"/>
        </w:numPr>
        <w:spacing w:after="120"/>
        <w:ind w:hanging="36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  <w:highlight w:val="white"/>
        </w:rPr>
        <w:t>Instruction and planning for E</w:t>
      </w:r>
      <w:r w:rsidR="00DD19A7" w:rsidRPr="00112587">
        <w:rPr>
          <w:rFonts w:asciiTheme="majorHAnsi" w:hAnsiTheme="majorHAnsi"/>
          <w:szCs w:val="22"/>
          <w:highlight w:val="white"/>
        </w:rPr>
        <w:t xml:space="preserve">Ls is a </w:t>
      </w:r>
      <w:r w:rsidR="00112587">
        <w:rPr>
          <w:rFonts w:asciiTheme="majorHAnsi" w:hAnsiTheme="majorHAnsi"/>
          <w:szCs w:val="22"/>
          <w:highlight w:val="white"/>
        </w:rPr>
        <w:t>collaborative effort between EL</w:t>
      </w:r>
      <w:r w:rsidR="00DD19A7" w:rsidRPr="00112587">
        <w:rPr>
          <w:rFonts w:asciiTheme="majorHAnsi" w:hAnsiTheme="majorHAnsi"/>
          <w:szCs w:val="22"/>
          <w:highlight w:val="white"/>
        </w:rPr>
        <w:t xml:space="preserve"> teachers and general education teachers.</w:t>
      </w:r>
    </w:p>
    <w:p w:rsidR="000A7D48" w:rsidRPr="00112587" w:rsidRDefault="00DD19A7" w:rsidP="00F72FD0">
      <w:pPr>
        <w:pStyle w:val="Normal1"/>
        <w:numPr>
          <w:ilvl w:val="0"/>
          <w:numId w:val="2"/>
        </w:numPr>
        <w:spacing w:after="120"/>
        <w:ind w:hanging="360"/>
        <w:rPr>
          <w:rFonts w:asciiTheme="majorHAnsi" w:hAnsiTheme="majorHAnsi"/>
          <w:szCs w:val="22"/>
        </w:rPr>
      </w:pPr>
      <w:r w:rsidRPr="00112587">
        <w:rPr>
          <w:rFonts w:asciiTheme="majorHAnsi" w:hAnsiTheme="majorHAnsi"/>
          <w:szCs w:val="22"/>
          <w:highlight w:val="white"/>
        </w:rPr>
        <w:t>Students read and write for a variety of purpo</w:t>
      </w:r>
      <w:r w:rsidR="00112587">
        <w:rPr>
          <w:rFonts w:asciiTheme="majorHAnsi" w:hAnsiTheme="majorHAnsi"/>
          <w:szCs w:val="22"/>
          <w:highlight w:val="white"/>
        </w:rPr>
        <w:t>ses that require evidence and E</w:t>
      </w:r>
      <w:r w:rsidRPr="00112587">
        <w:rPr>
          <w:rFonts w:asciiTheme="majorHAnsi" w:hAnsiTheme="majorHAnsi"/>
          <w:szCs w:val="22"/>
          <w:highlight w:val="white"/>
        </w:rPr>
        <w:t>L</w:t>
      </w:r>
      <w:r w:rsidR="00112587">
        <w:rPr>
          <w:rFonts w:asciiTheme="majorHAnsi" w:hAnsiTheme="majorHAnsi"/>
          <w:szCs w:val="22"/>
          <w:highlight w:val="white"/>
        </w:rPr>
        <w:t>s</w:t>
      </w:r>
      <w:r w:rsidRPr="00112587">
        <w:rPr>
          <w:rFonts w:asciiTheme="majorHAnsi" w:hAnsiTheme="majorHAnsi"/>
          <w:szCs w:val="22"/>
          <w:highlight w:val="white"/>
        </w:rPr>
        <w:t xml:space="preserve"> need to rely on English text and language to do so.</w:t>
      </w:r>
    </w:p>
    <w:p w:rsidR="00F72FD0" w:rsidRDefault="00F72FD0">
      <w:pPr>
        <w:pStyle w:val="Normal1"/>
        <w:widowControl w:val="0"/>
        <w:spacing w:before="12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br w:type="page"/>
      </w:r>
    </w:p>
    <w:p w:rsidR="00112587" w:rsidRPr="00F72FD0" w:rsidRDefault="00112587" w:rsidP="00F72FD0">
      <w:pPr>
        <w:pStyle w:val="Normal1"/>
        <w:rPr>
          <w:rFonts w:ascii="Calibri" w:hAnsi="Calibri"/>
          <w:b/>
          <w:sz w:val="24"/>
          <w:szCs w:val="22"/>
        </w:rPr>
      </w:pPr>
      <w:r w:rsidRPr="00F72FD0">
        <w:rPr>
          <w:rFonts w:ascii="Calibri" w:hAnsi="Calibri"/>
          <w:b/>
          <w:sz w:val="24"/>
          <w:szCs w:val="22"/>
        </w:rPr>
        <w:lastRenderedPageBreak/>
        <w:t>Module 3</w:t>
      </w:r>
      <w:r w:rsidR="00F72FD0" w:rsidRPr="00F72FD0">
        <w:rPr>
          <w:rFonts w:ascii="Calibri" w:hAnsi="Calibri"/>
          <w:b/>
          <w:sz w:val="24"/>
          <w:szCs w:val="22"/>
        </w:rPr>
        <w:t xml:space="preserve"> EL</w:t>
      </w:r>
      <w:r w:rsidRPr="00F72FD0">
        <w:rPr>
          <w:rFonts w:ascii="Calibri" w:hAnsi="Calibri"/>
          <w:b/>
          <w:sz w:val="24"/>
          <w:szCs w:val="22"/>
        </w:rPr>
        <w:t>: Accessing the Connecticut Core Standards in Mathematics</w:t>
      </w:r>
      <w:r w:rsidR="00CF1532">
        <w:rPr>
          <w:rFonts w:ascii="Calibri" w:hAnsi="Calibri"/>
          <w:b/>
          <w:sz w:val="24"/>
          <w:szCs w:val="22"/>
        </w:rPr>
        <w:t xml:space="preserve"> with English Learners</w:t>
      </w:r>
      <w:r w:rsidR="00F6792D">
        <w:rPr>
          <w:rFonts w:ascii="Calibri" w:hAnsi="Calibri"/>
          <w:b/>
          <w:sz w:val="24"/>
          <w:szCs w:val="22"/>
        </w:rPr>
        <w:t xml:space="preserve"> (</w:t>
      </w:r>
      <w:proofErr w:type="spellStart"/>
      <w:r w:rsidR="00F6792D">
        <w:rPr>
          <w:rFonts w:ascii="Calibri" w:hAnsi="Calibri"/>
          <w:b/>
          <w:sz w:val="24"/>
          <w:szCs w:val="22"/>
        </w:rPr>
        <w:t>ELs</w:t>
      </w:r>
      <w:proofErr w:type="spellEnd"/>
      <w:r w:rsidR="00F6792D">
        <w:rPr>
          <w:rFonts w:ascii="Calibri" w:hAnsi="Calibri"/>
          <w:b/>
          <w:sz w:val="24"/>
          <w:szCs w:val="22"/>
        </w:rPr>
        <w:t>)</w:t>
      </w:r>
    </w:p>
    <w:p w:rsidR="00F72FD0" w:rsidRPr="00F72FD0" w:rsidRDefault="00F72FD0" w:rsidP="00F72FD0">
      <w:pPr>
        <w:pStyle w:val="Normal1"/>
        <w:rPr>
          <w:rFonts w:asciiTheme="majorHAnsi" w:hAnsiTheme="majorHAnsi"/>
          <w:szCs w:val="22"/>
        </w:rPr>
      </w:pPr>
    </w:p>
    <w:p w:rsidR="00112587" w:rsidRDefault="00852EBB" w:rsidP="00F72FD0">
      <w:pPr>
        <w:pStyle w:val="Normal1"/>
        <w:spacing w:after="120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b/>
          <w:szCs w:val="22"/>
        </w:rPr>
        <w:t>Topic Areas:</w:t>
      </w:r>
    </w:p>
    <w:p w:rsidR="00112587" w:rsidRDefault="00112587" w:rsidP="00F6792D">
      <w:pPr>
        <w:pStyle w:val="Normal1"/>
        <w:numPr>
          <w:ilvl w:val="0"/>
          <w:numId w:val="3"/>
        </w:numPr>
        <w:spacing w:before="60" w:after="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The Language of Math</w:t>
      </w:r>
    </w:p>
    <w:p w:rsidR="00112587" w:rsidRDefault="00112587" w:rsidP="00F6792D">
      <w:pPr>
        <w:pStyle w:val="Normal1"/>
        <w:numPr>
          <w:ilvl w:val="0"/>
          <w:numId w:val="3"/>
        </w:numPr>
        <w:spacing w:before="60" w:after="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Digging Deeper: Language Scaffolds for </w:t>
      </w:r>
      <w:r w:rsidR="00CF1532">
        <w:rPr>
          <w:rFonts w:asciiTheme="majorHAnsi" w:hAnsiTheme="majorHAnsi"/>
          <w:szCs w:val="22"/>
        </w:rPr>
        <w:t>Standards of Mathematica Practice 1(</w:t>
      </w:r>
      <w:proofErr w:type="spellStart"/>
      <w:r>
        <w:rPr>
          <w:rFonts w:asciiTheme="majorHAnsi" w:hAnsiTheme="majorHAnsi"/>
          <w:szCs w:val="22"/>
        </w:rPr>
        <w:t>SMP</w:t>
      </w:r>
      <w:proofErr w:type="spellEnd"/>
      <w:r w:rsidR="00CF1532">
        <w:rPr>
          <w:rFonts w:asciiTheme="majorHAnsi" w:hAnsiTheme="majorHAnsi"/>
          <w:szCs w:val="22"/>
        </w:rPr>
        <w:t xml:space="preserve"> 1)</w:t>
      </w:r>
      <w:r>
        <w:rPr>
          <w:rFonts w:asciiTheme="majorHAnsi" w:hAnsiTheme="majorHAnsi"/>
          <w:szCs w:val="22"/>
        </w:rPr>
        <w:t xml:space="preserve">: Making sense of problems and </w:t>
      </w:r>
      <w:r w:rsidR="00CF1532">
        <w:rPr>
          <w:rFonts w:asciiTheme="majorHAnsi" w:hAnsiTheme="majorHAnsi"/>
          <w:szCs w:val="22"/>
        </w:rPr>
        <w:t xml:space="preserve">Standards of Mathematica Practice </w:t>
      </w:r>
      <w:r w:rsidR="00CF1532">
        <w:rPr>
          <w:rFonts w:asciiTheme="majorHAnsi" w:hAnsiTheme="majorHAnsi"/>
          <w:szCs w:val="22"/>
        </w:rPr>
        <w:t>6 (</w:t>
      </w:r>
      <w:proofErr w:type="spellStart"/>
      <w:r>
        <w:rPr>
          <w:rFonts w:asciiTheme="majorHAnsi" w:hAnsiTheme="majorHAnsi"/>
          <w:szCs w:val="22"/>
        </w:rPr>
        <w:t>SMP</w:t>
      </w:r>
      <w:proofErr w:type="spellEnd"/>
      <w:r>
        <w:rPr>
          <w:rFonts w:asciiTheme="majorHAnsi" w:hAnsiTheme="majorHAnsi"/>
          <w:szCs w:val="22"/>
        </w:rPr>
        <w:t xml:space="preserve"> 6</w:t>
      </w:r>
      <w:r w:rsidR="00CF1532">
        <w:rPr>
          <w:rFonts w:asciiTheme="majorHAnsi" w:hAnsiTheme="majorHAnsi"/>
          <w:szCs w:val="22"/>
        </w:rPr>
        <w:t>):</w:t>
      </w:r>
      <w:r>
        <w:rPr>
          <w:rFonts w:asciiTheme="majorHAnsi" w:hAnsiTheme="majorHAnsi"/>
          <w:szCs w:val="22"/>
        </w:rPr>
        <w:t xml:space="preserve"> Attend to precision</w:t>
      </w:r>
    </w:p>
    <w:p w:rsidR="00112587" w:rsidRDefault="00112587" w:rsidP="00F6792D">
      <w:pPr>
        <w:pStyle w:val="Normal1"/>
        <w:numPr>
          <w:ilvl w:val="0"/>
          <w:numId w:val="3"/>
        </w:numPr>
        <w:spacing w:before="60" w:after="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Collaboration is Key</w:t>
      </w:r>
      <w:r w:rsidR="00CF1532">
        <w:rPr>
          <w:rFonts w:asciiTheme="majorHAnsi" w:hAnsiTheme="majorHAnsi"/>
          <w:szCs w:val="22"/>
        </w:rPr>
        <w:t xml:space="preserve"> ‒</w:t>
      </w:r>
      <w:r>
        <w:rPr>
          <w:rFonts w:asciiTheme="majorHAnsi" w:hAnsiTheme="majorHAnsi"/>
          <w:szCs w:val="22"/>
        </w:rPr>
        <w:t xml:space="preserve"> The Changing Role of the ESL Professional</w:t>
      </w:r>
    </w:p>
    <w:p w:rsidR="00112587" w:rsidRPr="00F72FD0" w:rsidRDefault="00112587" w:rsidP="00EA2BE6">
      <w:pPr>
        <w:pStyle w:val="Normal1"/>
        <w:ind w:left="360" w:hanging="360"/>
        <w:rPr>
          <w:rFonts w:asciiTheme="majorHAnsi" w:hAnsiTheme="majorHAnsi"/>
          <w:b/>
          <w:szCs w:val="22"/>
        </w:rPr>
      </w:pPr>
    </w:p>
    <w:p w:rsidR="00112587" w:rsidRDefault="00852EBB" w:rsidP="00CF1532">
      <w:pPr>
        <w:pStyle w:val="Normal1"/>
        <w:spacing w:after="120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b/>
          <w:szCs w:val="22"/>
        </w:rPr>
        <w:t>Focus of Learning</w:t>
      </w:r>
      <w:r w:rsidR="00112587" w:rsidRPr="00112587">
        <w:rPr>
          <w:rFonts w:asciiTheme="majorHAnsi" w:hAnsiTheme="majorHAnsi"/>
          <w:b/>
          <w:szCs w:val="22"/>
        </w:rPr>
        <w:t>:</w:t>
      </w:r>
    </w:p>
    <w:p w:rsidR="00852EBB" w:rsidRPr="00852EBB" w:rsidRDefault="00852EBB" w:rsidP="00F72FD0">
      <w:pPr>
        <w:pStyle w:val="ListParagraph"/>
        <w:numPr>
          <w:ilvl w:val="0"/>
          <w:numId w:val="6"/>
        </w:numPr>
        <w:spacing w:after="120"/>
        <w:contextualSpacing w:val="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T</w:t>
      </w:r>
      <w:r w:rsidRPr="00852EBB">
        <w:rPr>
          <w:rFonts w:asciiTheme="majorHAnsi" w:hAnsiTheme="majorHAnsi"/>
          <w:szCs w:val="22"/>
        </w:rPr>
        <w:t xml:space="preserve">he eight standards of mathematical practice outlined in the </w:t>
      </w:r>
      <w:r w:rsidR="00F6792D">
        <w:rPr>
          <w:rFonts w:asciiTheme="majorHAnsi" w:hAnsiTheme="majorHAnsi"/>
          <w:szCs w:val="22"/>
        </w:rPr>
        <w:t>Connecticut Core Standards (</w:t>
      </w:r>
      <w:r w:rsidRPr="00852EBB">
        <w:rPr>
          <w:rFonts w:asciiTheme="majorHAnsi" w:hAnsiTheme="majorHAnsi"/>
          <w:szCs w:val="22"/>
        </w:rPr>
        <w:t>CCS</w:t>
      </w:r>
      <w:r w:rsidR="00F6792D">
        <w:rPr>
          <w:rFonts w:asciiTheme="majorHAnsi" w:hAnsiTheme="majorHAnsi"/>
          <w:szCs w:val="22"/>
        </w:rPr>
        <w:t>)</w:t>
      </w:r>
      <w:r w:rsidRPr="00852EBB">
        <w:rPr>
          <w:rFonts w:asciiTheme="majorHAnsi" w:hAnsiTheme="majorHAnsi"/>
          <w:szCs w:val="22"/>
        </w:rPr>
        <w:t xml:space="preserve"> and the specific linguistic requirements embedded in each process.</w:t>
      </w:r>
    </w:p>
    <w:p w:rsidR="00112587" w:rsidRPr="00852EBB" w:rsidRDefault="00852EBB" w:rsidP="00F72FD0">
      <w:pPr>
        <w:pStyle w:val="Normal1"/>
        <w:numPr>
          <w:ilvl w:val="0"/>
          <w:numId w:val="6"/>
        </w:numPr>
        <w:spacing w:after="120"/>
        <w:rPr>
          <w:rFonts w:asciiTheme="majorHAnsi" w:hAnsiTheme="majorHAnsi"/>
          <w:b/>
          <w:szCs w:val="22"/>
        </w:rPr>
      </w:pPr>
      <w:r w:rsidRPr="00852EBB">
        <w:rPr>
          <w:rFonts w:asciiTheme="majorHAnsi" w:hAnsiTheme="majorHAnsi"/>
          <w:szCs w:val="22"/>
        </w:rPr>
        <w:t>Determine the analytic, receptive, and productive language requirements embedded in each practice, as well as examples of classroom practices that wo</w:t>
      </w:r>
      <w:r w:rsidR="009A5AD2">
        <w:rPr>
          <w:rFonts w:asciiTheme="majorHAnsi" w:hAnsiTheme="majorHAnsi"/>
          <w:szCs w:val="22"/>
        </w:rPr>
        <w:t>uld exemplify these practices.</w:t>
      </w:r>
    </w:p>
    <w:p w:rsidR="00852EBB" w:rsidRPr="000B6753" w:rsidRDefault="00852EBB" w:rsidP="00F72FD0">
      <w:pPr>
        <w:pStyle w:val="Normal1"/>
        <w:numPr>
          <w:ilvl w:val="0"/>
          <w:numId w:val="6"/>
        </w:numPr>
        <w:spacing w:after="120"/>
        <w:rPr>
          <w:rFonts w:asciiTheme="majorHAnsi" w:hAnsiTheme="majorHAnsi"/>
          <w:b/>
          <w:szCs w:val="22"/>
        </w:rPr>
      </w:pPr>
      <w:proofErr w:type="spellStart"/>
      <w:r w:rsidRPr="00852EBB">
        <w:rPr>
          <w:rFonts w:asciiTheme="majorHAnsi" w:hAnsiTheme="majorHAnsi"/>
          <w:szCs w:val="22"/>
        </w:rPr>
        <w:t>SMP</w:t>
      </w:r>
      <w:proofErr w:type="spellEnd"/>
      <w:r w:rsidRPr="00852EBB">
        <w:rPr>
          <w:rFonts w:asciiTheme="majorHAnsi" w:hAnsiTheme="majorHAnsi"/>
          <w:szCs w:val="22"/>
        </w:rPr>
        <w:t xml:space="preserve"> 1 and </w:t>
      </w:r>
      <w:proofErr w:type="spellStart"/>
      <w:r w:rsidRPr="00852EBB">
        <w:rPr>
          <w:rFonts w:asciiTheme="majorHAnsi" w:hAnsiTheme="majorHAnsi"/>
          <w:szCs w:val="22"/>
        </w:rPr>
        <w:t>SMP</w:t>
      </w:r>
      <w:proofErr w:type="spellEnd"/>
      <w:r>
        <w:rPr>
          <w:rFonts w:asciiTheme="majorHAnsi" w:hAnsiTheme="majorHAnsi"/>
          <w:szCs w:val="22"/>
        </w:rPr>
        <w:t xml:space="preserve"> </w:t>
      </w:r>
      <w:r w:rsidRPr="00852EBB">
        <w:rPr>
          <w:rFonts w:asciiTheme="majorHAnsi" w:hAnsiTheme="majorHAnsi"/>
          <w:szCs w:val="22"/>
        </w:rPr>
        <w:t xml:space="preserve">6 are considered overarching foundational habits of mind for mathematical thinkers, </w:t>
      </w:r>
      <w:r w:rsidR="000B6753">
        <w:rPr>
          <w:rFonts w:asciiTheme="majorHAnsi" w:hAnsiTheme="majorHAnsi"/>
          <w:szCs w:val="22"/>
        </w:rPr>
        <w:t xml:space="preserve">which will require EL teachers to </w:t>
      </w:r>
      <w:r w:rsidRPr="00852EBB">
        <w:rPr>
          <w:rFonts w:asciiTheme="majorHAnsi" w:hAnsiTheme="majorHAnsi"/>
          <w:szCs w:val="22"/>
        </w:rPr>
        <w:t xml:space="preserve">identify examples of these practices in common math tasks, </w:t>
      </w:r>
      <w:r w:rsidR="000B6753">
        <w:rPr>
          <w:rFonts w:asciiTheme="majorHAnsi" w:hAnsiTheme="majorHAnsi"/>
          <w:szCs w:val="22"/>
        </w:rPr>
        <w:t xml:space="preserve">and </w:t>
      </w:r>
      <w:r w:rsidRPr="00852EBB">
        <w:rPr>
          <w:rFonts w:asciiTheme="majorHAnsi" w:hAnsiTheme="majorHAnsi"/>
          <w:szCs w:val="22"/>
        </w:rPr>
        <w:t>identify the challenges and benefits these may bring for EL students</w:t>
      </w:r>
      <w:r w:rsidR="009A5AD2">
        <w:rPr>
          <w:rFonts w:asciiTheme="majorHAnsi" w:hAnsiTheme="majorHAnsi"/>
          <w:szCs w:val="22"/>
        </w:rPr>
        <w:t>.</w:t>
      </w:r>
    </w:p>
    <w:p w:rsidR="00852EBB" w:rsidRPr="00852EBB" w:rsidRDefault="00852EBB" w:rsidP="00F72FD0">
      <w:pPr>
        <w:pStyle w:val="Normal1"/>
        <w:numPr>
          <w:ilvl w:val="0"/>
          <w:numId w:val="6"/>
        </w:numPr>
        <w:spacing w:after="120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szCs w:val="22"/>
        </w:rPr>
        <w:t>Supports and scaffolds for EL</w:t>
      </w:r>
      <w:r w:rsidRPr="00852EBB">
        <w:rPr>
          <w:rFonts w:asciiTheme="majorHAnsi" w:hAnsiTheme="majorHAnsi"/>
          <w:szCs w:val="22"/>
        </w:rPr>
        <w:t xml:space="preserve"> students in sample mat</w:t>
      </w:r>
      <w:r>
        <w:rPr>
          <w:rFonts w:asciiTheme="majorHAnsi" w:hAnsiTheme="majorHAnsi"/>
          <w:szCs w:val="22"/>
        </w:rPr>
        <w:t>h lessons that incorporate new practices</w:t>
      </w:r>
      <w:r w:rsidR="009A5AD2">
        <w:rPr>
          <w:rFonts w:asciiTheme="majorHAnsi" w:hAnsiTheme="majorHAnsi"/>
          <w:szCs w:val="22"/>
        </w:rPr>
        <w:t>.</w:t>
      </w:r>
    </w:p>
    <w:p w:rsidR="00852EBB" w:rsidRPr="00852EBB" w:rsidRDefault="00852EBB" w:rsidP="00F72FD0">
      <w:pPr>
        <w:pStyle w:val="Normal1"/>
        <w:numPr>
          <w:ilvl w:val="0"/>
          <w:numId w:val="6"/>
        </w:numPr>
        <w:spacing w:after="120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szCs w:val="22"/>
        </w:rPr>
        <w:t xml:space="preserve">Ideas </w:t>
      </w:r>
      <w:r w:rsidRPr="00852EBB">
        <w:rPr>
          <w:rFonts w:asciiTheme="majorHAnsi" w:hAnsiTheme="majorHAnsi"/>
          <w:szCs w:val="22"/>
        </w:rPr>
        <w:t>for collaborative planning and/or co-teaching techniques that will allow EL instructors and general education teachers to work together to support students with these instructional shifts in math.</w:t>
      </w:r>
    </w:p>
    <w:p w:rsidR="00852EBB" w:rsidRPr="00852EBB" w:rsidRDefault="000B6753" w:rsidP="00F72FD0">
      <w:pPr>
        <w:pStyle w:val="Normal1"/>
        <w:numPr>
          <w:ilvl w:val="0"/>
          <w:numId w:val="6"/>
        </w:numPr>
        <w:spacing w:after="120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szCs w:val="22"/>
        </w:rPr>
        <w:t xml:space="preserve">The </w:t>
      </w:r>
      <w:r w:rsidR="00852EBB" w:rsidRPr="00852EBB">
        <w:rPr>
          <w:rFonts w:asciiTheme="majorHAnsi" w:hAnsiTheme="majorHAnsi"/>
          <w:szCs w:val="22"/>
        </w:rPr>
        <w:t xml:space="preserve">role of the ESL professional may change in response to the instructional shifts of the CCS </w:t>
      </w:r>
      <w:r w:rsidR="00F72FD0">
        <w:rPr>
          <w:rFonts w:asciiTheme="majorHAnsi" w:hAnsiTheme="majorHAnsi"/>
          <w:szCs w:val="22"/>
        </w:rPr>
        <w:t>a</w:t>
      </w:r>
      <w:r w:rsidR="00852EBB" w:rsidRPr="00852EBB">
        <w:rPr>
          <w:rFonts w:asciiTheme="majorHAnsi" w:hAnsiTheme="majorHAnsi"/>
          <w:szCs w:val="22"/>
        </w:rPr>
        <w:t>nd the increased emphasis on language for all teachers and subjects</w:t>
      </w:r>
      <w:r w:rsidR="009A5AD2">
        <w:rPr>
          <w:rFonts w:asciiTheme="majorHAnsi" w:hAnsiTheme="majorHAnsi"/>
          <w:szCs w:val="22"/>
        </w:rPr>
        <w:t>.</w:t>
      </w:r>
    </w:p>
    <w:p w:rsidR="00F72FD0" w:rsidRDefault="00F72FD0">
      <w:pPr>
        <w:pStyle w:val="Normal1"/>
        <w:rPr>
          <w:rFonts w:asciiTheme="majorHAnsi" w:hAnsiTheme="majorHAnsi"/>
          <w:szCs w:val="22"/>
        </w:rPr>
      </w:pPr>
    </w:p>
    <w:p w:rsidR="000A7D48" w:rsidRPr="00536450" w:rsidRDefault="00DD19A7">
      <w:pPr>
        <w:pStyle w:val="Normal1"/>
        <w:rPr>
          <w:rFonts w:asciiTheme="majorHAnsi" w:hAnsiTheme="majorHAnsi"/>
          <w:szCs w:val="22"/>
        </w:rPr>
      </w:pPr>
      <w:r w:rsidRPr="00536450">
        <w:rPr>
          <w:rFonts w:asciiTheme="majorHAnsi" w:hAnsiTheme="majorHAnsi"/>
          <w:szCs w:val="22"/>
        </w:rPr>
        <w:br w:type="page"/>
      </w:r>
    </w:p>
    <w:p w:rsidR="00536450" w:rsidRPr="00F72FD0" w:rsidRDefault="00536450" w:rsidP="00F72FD0">
      <w:pPr>
        <w:pStyle w:val="Normal1"/>
        <w:rPr>
          <w:rFonts w:ascii="Calibri" w:hAnsi="Calibri"/>
          <w:b/>
          <w:sz w:val="24"/>
          <w:szCs w:val="22"/>
        </w:rPr>
      </w:pPr>
      <w:r w:rsidRPr="00F72FD0">
        <w:rPr>
          <w:rFonts w:ascii="Calibri" w:hAnsi="Calibri"/>
          <w:b/>
          <w:sz w:val="24"/>
          <w:szCs w:val="22"/>
        </w:rPr>
        <w:t>Module 2</w:t>
      </w:r>
      <w:r w:rsidR="00F72FD0">
        <w:rPr>
          <w:rFonts w:ascii="Calibri" w:hAnsi="Calibri"/>
          <w:b/>
          <w:sz w:val="24"/>
          <w:szCs w:val="22"/>
        </w:rPr>
        <w:t xml:space="preserve"> SwD</w:t>
      </w:r>
      <w:r w:rsidRPr="00F72FD0">
        <w:rPr>
          <w:rFonts w:ascii="Calibri" w:hAnsi="Calibri"/>
          <w:b/>
          <w:sz w:val="24"/>
          <w:szCs w:val="22"/>
        </w:rPr>
        <w:t>: Adapting the Curriculum in UDL Style for Students with Disabilities</w:t>
      </w:r>
    </w:p>
    <w:p w:rsidR="00536450" w:rsidRPr="00536450" w:rsidRDefault="00536450" w:rsidP="00536450">
      <w:pPr>
        <w:rPr>
          <w:rFonts w:asciiTheme="majorHAnsi" w:hAnsiTheme="majorHAnsi"/>
          <w:b/>
          <w:szCs w:val="22"/>
        </w:rPr>
      </w:pPr>
    </w:p>
    <w:p w:rsidR="00536450" w:rsidRPr="00536450" w:rsidRDefault="00536450" w:rsidP="00F6792D">
      <w:pPr>
        <w:spacing w:after="120"/>
        <w:rPr>
          <w:rFonts w:asciiTheme="majorHAnsi" w:hAnsiTheme="majorHAnsi"/>
          <w:b/>
          <w:szCs w:val="22"/>
        </w:rPr>
      </w:pPr>
      <w:r w:rsidRPr="00536450">
        <w:rPr>
          <w:rFonts w:asciiTheme="majorHAnsi" w:hAnsiTheme="majorHAnsi"/>
          <w:b/>
          <w:szCs w:val="22"/>
        </w:rPr>
        <w:t>Topic Areas:</w:t>
      </w:r>
    </w:p>
    <w:p w:rsidR="00536450" w:rsidRPr="007B2285" w:rsidRDefault="00536450" w:rsidP="00F6792D">
      <w:pPr>
        <w:pStyle w:val="BulletList"/>
        <w:numPr>
          <w:ilvl w:val="0"/>
          <w:numId w:val="11"/>
        </w:numPr>
        <w:spacing w:after="40" w:line="276" w:lineRule="auto"/>
        <w:ind w:left="720"/>
        <w:contextualSpacing w:val="0"/>
        <w:rPr>
          <w:szCs w:val="22"/>
        </w:rPr>
      </w:pPr>
      <w:r w:rsidRPr="007B2285">
        <w:rPr>
          <w:szCs w:val="22"/>
        </w:rPr>
        <w:t>Understanding Learner Variability</w:t>
      </w:r>
    </w:p>
    <w:p w:rsidR="00536450" w:rsidRPr="007B2285" w:rsidRDefault="00536450" w:rsidP="00F6792D">
      <w:pPr>
        <w:pStyle w:val="BulletList"/>
        <w:numPr>
          <w:ilvl w:val="0"/>
          <w:numId w:val="11"/>
        </w:numPr>
        <w:spacing w:after="40" w:line="276" w:lineRule="auto"/>
        <w:ind w:left="720"/>
        <w:contextualSpacing w:val="0"/>
        <w:rPr>
          <w:szCs w:val="22"/>
        </w:rPr>
      </w:pPr>
      <w:r w:rsidRPr="007B2285">
        <w:rPr>
          <w:szCs w:val="22"/>
        </w:rPr>
        <w:t xml:space="preserve">Aligning </w:t>
      </w:r>
      <w:r w:rsidR="00F6792D">
        <w:rPr>
          <w:szCs w:val="22"/>
        </w:rPr>
        <w:t>Connecticut Core Standards (CCS)</w:t>
      </w:r>
      <w:r w:rsidRPr="007B2285">
        <w:rPr>
          <w:szCs w:val="22"/>
        </w:rPr>
        <w:t xml:space="preserve">, </w:t>
      </w:r>
      <w:proofErr w:type="spellStart"/>
      <w:r w:rsidRPr="007B2285">
        <w:rPr>
          <w:szCs w:val="22"/>
        </w:rPr>
        <w:t>IEP</w:t>
      </w:r>
      <w:proofErr w:type="spellEnd"/>
      <w:r w:rsidRPr="007B2285">
        <w:rPr>
          <w:szCs w:val="22"/>
        </w:rPr>
        <w:t xml:space="preserve"> Goals, Learning Targets, and UDL</w:t>
      </w:r>
    </w:p>
    <w:p w:rsidR="00536450" w:rsidRPr="007B2285" w:rsidRDefault="00536450" w:rsidP="00F6792D">
      <w:pPr>
        <w:pStyle w:val="BulletList"/>
        <w:numPr>
          <w:ilvl w:val="0"/>
          <w:numId w:val="11"/>
        </w:numPr>
        <w:spacing w:after="40" w:line="276" w:lineRule="auto"/>
        <w:ind w:left="720"/>
        <w:contextualSpacing w:val="0"/>
        <w:rPr>
          <w:szCs w:val="22"/>
        </w:rPr>
      </w:pPr>
      <w:r w:rsidRPr="007B2285">
        <w:rPr>
          <w:szCs w:val="22"/>
        </w:rPr>
        <w:t>Maintaining High Expectations for All Learners Through Meaningful Adaption</w:t>
      </w:r>
    </w:p>
    <w:p w:rsidR="00536450" w:rsidRDefault="00536450" w:rsidP="007B2285">
      <w:pPr>
        <w:pStyle w:val="Normal1"/>
        <w:widowControl w:val="0"/>
        <w:spacing w:after="120"/>
        <w:rPr>
          <w:rFonts w:asciiTheme="majorHAnsi" w:hAnsiTheme="majorHAnsi"/>
          <w:szCs w:val="22"/>
        </w:rPr>
      </w:pPr>
    </w:p>
    <w:p w:rsidR="00536450" w:rsidRDefault="00536450" w:rsidP="00F6792D">
      <w:pPr>
        <w:pStyle w:val="Heading2"/>
        <w:keepNext w:val="0"/>
        <w:keepLines w:val="0"/>
        <w:spacing w:before="0" w:after="120"/>
        <w:contextualSpacing w:val="0"/>
        <w:rPr>
          <w:rFonts w:asciiTheme="majorHAnsi" w:hAnsiTheme="majorHAnsi"/>
          <w:sz w:val="22"/>
          <w:szCs w:val="22"/>
        </w:rPr>
      </w:pPr>
      <w:r w:rsidRPr="00536450">
        <w:rPr>
          <w:rFonts w:asciiTheme="majorHAnsi" w:hAnsiTheme="majorHAnsi"/>
          <w:sz w:val="22"/>
          <w:szCs w:val="22"/>
        </w:rPr>
        <w:t>Focus of Learning</w:t>
      </w:r>
    </w:p>
    <w:p w:rsidR="00536450" w:rsidRPr="001C1CD9" w:rsidRDefault="00536450" w:rsidP="007B2285">
      <w:pPr>
        <w:pStyle w:val="BulletList"/>
        <w:numPr>
          <w:ilvl w:val="0"/>
          <w:numId w:val="8"/>
        </w:numPr>
        <w:spacing w:line="276" w:lineRule="auto"/>
        <w:contextualSpacing w:val="0"/>
      </w:pPr>
      <w:r w:rsidRPr="001C1CD9">
        <w:t>Extend knowledge about how to create a positive, rigorous learning environment while meeting the needs of variable learners.</w:t>
      </w:r>
    </w:p>
    <w:p w:rsidR="00536450" w:rsidRPr="001C1CD9" w:rsidRDefault="00536450" w:rsidP="007B2285">
      <w:pPr>
        <w:pStyle w:val="BulletList"/>
        <w:numPr>
          <w:ilvl w:val="0"/>
          <w:numId w:val="8"/>
        </w:numPr>
        <w:spacing w:line="276" w:lineRule="auto"/>
        <w:contextualSpacing w:val="0"/>
      </w:pPr>
      <w:r w:rsidRPr="001C1CD9">
        <w:t xml:space="preserve">Understand how to apply the </w:t>
      </w:r>
      <w:r w:rsidR="00F6792D">
        <w:t>Universal Design for Learning (</w:t>
      </w:r>
      <w:proofErr w:type="spellStart"/>
      <w:r w:rsidRPr="001C1CD9">
        <w:t>UDL</w:t>
      </w:r>
      <w:proofErr w:type="spellEnd"/>
      <w:r w:rsidR="00F6792D">
        <w:t>)</w:t>
      </w:r>
      <w:r w:rsidRPr="001C1CD9">
        <w:t xml:space="preserve"> Principles and Guidelines to address learner variability in any classroom.</w:t>
      </w:r>
    </w:p>
    <w:p w:rsidR="00536450" w:rsidRPr="001C1CD9" w:rsidRDefault="00536450" w:rsidP="007B2285">
      <w:pPr>
        <w:pStyle w:val="BulletList"/>
        <w:numPr>
          <w:ilvl w:val="0"/>
          <w:numId w:val="8"/>
        </w:numPr>
        <w:spacing w:line="276" w:lineRule="auto"/>
        <w:contextualSpacing w:val="0"/>
      </w:pPr>
      <w:r w:rsidRPr="001C1CD9">
        <w:t>Increase repertoire of how to apply effective scaffolds to guide students to become successful, independent learners.</w:t>
      </w:r>
    </w:p>
    <w:p w:rsidR="00536450" w:rsidRPr="001C1CD9" w:rsidRDefault="00536450" w:rsidP="007B2285">
      <w:pPr>
        <w:pStyle w:val="BulletList"/>
        <w:numPr>
          <w:ilvl w:val="0"/>
          <w:numId w:val="8"/>
        </w:numPr>
        <w:spacing w:line="276" w:lineRule="auto"/>
        <w:contextualSpacing w:val="0"/>
      </w:pPr>
      <w:r w:rsidRPr="001C1CD9">
        <w:t>Increase ability to create lesson plans that honor a meaningful learning process that aligns with the C</w:t>
      </w:r>
      <w:r w:rsidR="00F6792D">
        <w:t>CS</w:t>
      </w:r>
      <w:r w:rsidRPr="001C1CD9">
        <w:t>.</w:t>
      </w:r>
    </w:p>
    <w:p w:rsidR="007B2285" w:rsidRDefault="007B2285" w:rsidP="00536450">
      <w:pPr>
        <w:pStyle w:val="Normal1"/>
        <w:widowControl w:val="0"/>
        <w:spacing w:before="120"/>
        <w:rPr>
          <w:rFonts w:ascii="Calibri" w:hAnsi="Calibri"/>
          <w:b/>
          <w:sz w:val="24"/>
          <w:szCs w:val="22"/>
        </w:rPr>
      </w:pPr>
      <w:r>
        <w:rPr>
          <w:rFonts w:ascii="Calibri" w:hAnsi="Calibri"/>
          <w:b/>
          <w:sz w:val="24"/>
          <w:szCs w:val="22"/>
        </w:rPr>
        <w:br w:type="page"/>
      </w:r>
    </w:p>
    <w:p w:rsidR="00536450" w:rsidRDefault="00536450" w:rsidP="00536450">
      <w:pPr>
        <w:pStyle w:val="Normal1"/>
        <w:widowControl w:val="0"/>
        <w:spacing w:before="120"/>
        <w:rPr>
          <w:rFonts w:ascii="Calibri" w:hAnsi="Calibri"/>
          <w:b/>
          <w:sz w:val="24"/>
          <w:szCs w:val="22"/>
        </w:rPr>
      </w:pPr>
      <w:r w:rsidRPr="00F72FD0">
        <w:rPr>
          <w:rFonts w:ascii="Calibri" w:hAnsi="Calibri"/>
          <w:b/>
          <w:sz w:val="24"/>
          <w:szCs w:val="22"/>
        </w:rPr>
        <w:t>Module 3</w:t>
      </w:r>
      <w:r w:rsidR="007B2285">
        <w:rPr>
          <w:rFonts w:ascii="Calibri" w:hAnsi="Calibri"/>
          <w:b/>
          <w:sz w:val="24"/>
          <w:szCs w:val="22"/>
        </w:rPr>
        <w:t xml:space="preserve"> SwD</w:t>
      </w:r>
      <w:r w:rsidRPr="00F72FD0">
        <w:rPr>
          <w:rFonts w:ascii="Calibri" w:hAnsi="Calibri"/>
          <w:b/>
          <w:sz w:val="24"/>
          <w:szCs w:val="22"/>
        </w:rPr>
        <w:t>: Designing Curriculum with Intention and Rigor</w:t>
      </w:r>
    </w:p>
    <w:p w:rsidR="007B2285" w:rsidRPr="00F72FD0" w:rsidRDefault="007B2285" w:rsidP="00536450">
      <w:pPr>
        <w:pStyle w:val="Normal1"/>
        <w:widowControl w:val="0"/>
        <w:spacing w:before="120"/>
        <w:rPr>
          <w:rFonts w:ascii="Calibri" w:hAnsi="Calibri"/>
          <w:b/>
          <w:sz w:val="24"/>
          <w:szCs w:val="22"/>
        </w:rPr>
      </w:pPr>
    </w:p>
    <w:p w:rsidR="00536450" w:rsidRPr="007B2285" w:rsidRDefault="00536450" w:rsidP="007B2285">
      <w:pPr>
        <w:pStyle w:val="Normal1"/>
        <w:widowControl w:val="0"/>
        <w:spacing w:before="120" w:after="120"/>
        <w:rPr>
          <w:rFonts w:asciiTheme="majorHAnsi" w:hAnsiTheme="majorHAnsi"/>
          <w:b/>
          <w:szCs w:val="22"/>
        </w:rPr>
      </w:pPr>
      <w:r w:rsidRPr="007B2285">
        <w:rPr>
          <w:rFonts w:asciiTheme="majorHAnsi" w:hAnsiTheme="majorHAnsi"/>
          <w:b/>
          <w:szCs w:val="22"/>
        </w:rPr>
        <w:t>Topic Areas:</w:t>
      </w:r>
    </w:p>
    <w:p w:rsidR="00536450" w:rsidRPr="001A41BF" w:rsidRDefault="00536450" w:rsidP="00F6792D">
      <w:pPr>
        <w:pStyle w:val="BulletList"/>
        <w:numPr>
          <w:ilvl w:val="0"/>
          <w:numId w:val="12"/>
        </w:numPr>
        <w:spacing w:before="0" w:after="40" w:line="276" w:lineRule="auto"/>
        <w:ind w:left="720"/>
        <w:contextualSpacing w:val="0"/>
        <w:rPr>
          <w:szCs w:val="22"/>
        </w:rPr>
      </w:pPr>
      <w:r w:rsidRPr="001A41BF">
        <w:rPr>
          <w:szCs w:val="22"/>
        </w:rPr>
        <w:t>Four Components of Curriculum Design in the U</w:t>
      </w:r>
      <w:r w:rsidR="00552781">
        <w:rPr>
          <w:szCs w:val="22"/>
        </w:rPr>
        <w:t xml:space="preserve">niversal </w:t>
      </w:r>
      <w:r w:rsidRPr="001A41BF">
        <w:rPr>
          <w:szCs w:val="22"/>
        </w:rPr>
        <w:t>D</w:t>
      </w:r>
      <w:r w:rsidR="00552781">
        <w:rPr>
          <w:szCs w:val="22"/>
        </w:rPr>
        <w:t>esign for Learning</w:t>
      </w:r>
      <w:r w:rsidRPr="001A41BF">
        <w:rPr>
          <w:szCs w:val="22"/>
        </w:rPr>
        <w:t xml:space="preserve"> </w:t>
      </w:r>
      <w:r w:rsidR="00552781">
        <w:rPr>
          <w:szCs w:val="22"/>
        </w:rPr>
        <w:t>(</w:t>
      </w:r>
      <w:proofErr w:type="spellStart"/>
      <w:r w:rsidR="00552781">
        <w:rPr>
          <w:szCs w:val="22"/>
        </w:rPr>
        <w:t>UDL</w:t>
      </w:r>
      <w:proofErr w:type="spellEnd"/>
      <w:r w:rsidR="00552781">
        <w:rPr>
          <w:szCs w:val="22"/>
        </w:rPr>
        <w:t xml:space="preserve">) </w:t>
      </w:r>
      <w:r w:rsidRPr="001A41BF">
        <w:rPr>
          <w:szCs w:val="22"/>
        </w:rPr>
        <w:t>Classroom</w:t>
      </w:r>
    </w:p>
    <w:p w:rsidR="00536450" w:rsidRPr="001A41BF" w:rsidRDefault="00536450" w:rsidP="00F6792D">
      <w:pPr>
        <w:pStyle w:val="BulletList"/>
        <w:numPr>
          <w:ilvl w:val="0"/>
          <w:numId w:val="12"/>
        </w:numPr>
        <w:spacing w:before="0" w:after="40" w:line="276" w:lineRule="auto"/>
        <w:ind w:left="720"/>
        <w:contextualSpacing w:val="0"/>
        <w:rPr>
          <w:szCs w:val="22"/>
        </w:rPr>
      </w:pPr>
      <w:r w:rsidRPr="001A41BF">
        <w:rPr>
          <w:szCs w:val="22"/>
        </w:rPr>
        <w:t>Attributes, Examples, and Applications of Formative Assessment</w:t>
      </w:r>
    </w:p>
    <w:p w:rsidR="00536450" w:rsidRPr="001A41BF" w:rsidRDefault="00536450" w:rsidP="00F6792D">
      <w:pPr>
        <w:pStyle w:val="BulletList"/>
        <w:numPr>
          <w:ilvl w:val="0"/>
          <w:numId w:val="12"/>
        </w:numPr>
        <w:spacing w:before="0" w:after="40" w:line="276" w:lineRule="auto"/>
        <w:ind w:left="720"/>
        <w:contextualSpacing w:val="0"/>
        <w:rPr>
          <w:rFonts w:asciiTheme="majorHAnsi" w:hAnsiTheme="majorHAnsi"/>
          <w:szCs w:val="22"/>
        </w:rPr>
      </w:pPr>
      <w:r w:rsidRPr="001A41BF">
        <w:rPr>
          <w:szCs w:val="22"/>
        </w:rPr>
        <w:t>Making Effective Instructional Decisions</w:t>
      </w:r>
    </w:p>
    <w:p w:rsidR="001A41BF" w:rsidRDefault="001A41BF" w:rsidP="007B2285">
      <w:pPr>
        <w:pStyle w:val="BulletList"/>
        <w:numPr>
          <w:ilvl w:val="0"/>
          <w:numId w:val="0"/>
        </w:numPr>
        <w:ind w:left="720" w:hanging="360"/>
        <w:contextualSpacing w:val="0"/>
        <w:rPr>
          <w:b/>
          <w:szCs w:val="22"/>
        </w:rPr>
      </w:pPr>
    </w:p>
    <w:p w:rsidR="00536450" w:rsidRPr="001A41BF" w:rsidRDefault="00536450" w:rsidP="00536450">
      <w:pPr>
        <w:pStyle w:val="BulletList"/>
        <w:numPr>
          <w:ilvl w:val="0"/>
          <w:numId w:val="0"/>
        </w:numPr>
        <w:ind w:left="360" w:hanging="360"/>
        <w:contextualSpacing w:val="0"/>
        <w:rPr>
          <w:b/>
          <w:szCs w:val="22"/>
        </w:rPr>
      </w:pPr>
      <w:r w:rsidRPr="001A41BF">
        <w:rPr>
          <w:b/>
          <w:szCs w:val="22"/>
        </w:rPr>
        <w:t>Focus of Learning:</w:t>
      </w:r>
    </w:p>
    <w:p w:rsidR="001A41BF" w:rsidRPr="007B2285" w:rsidRDefault="001A41BF" w:rsidP="007B2285">
      <w:pPr>
        <w:pStyle w:val="ListParagraph"/>
        <w:numPr>
          <w:ilvl w:val="0"/>
          <w:numId w:val="14"/>
        </w:numPr>
        <w:spacing w:after="120"/>
        <w:ind w:left="720"/>
        <w:contextualSpacing w:val="0"/>
        <w:rPr>
          <w:rFonts w:asciiTheme="majorHAnsi" w:hAnsiTheme="majorHAnsi"/>
          <w:b/>
          <w:u w:val="single"/>
        </w:rPr>
      </w:pPr>
      <w:r w:rsidRPr="007B2285">
        <w:rPr>
          <w:rFonts w:asciiTheme="majorHAnsi" w:hAnsiTheme="majorHAnsi"/>
        </w:rPr>
        <w:t xml:space="preserve">Apply UDL-aligned instruction and strategies to ELA and </w:t>
      </w:r>
      <w:r w:rsidR="00552781">
        <w:rPr>
          <w:rFonts w:asciiTheme="majorHAnsi" w:hAnsiTheme="majorHAnsi"/>
        </w:rPr>
        <w:t>m</w:t>
      </w:r>
      <w:r w:rsidRPr="007B2285">
        <w:rPr>
          <w:rFonts w:asciiTheme="majorHAnsi" w:hAnsiTheme="majorHAnsi"/>
        </w:rPr>
        <w:t>athematics lessons to support success with the Connecticut Core Standards</w:t>
      </w:r>
      <w:r w:rsidR="00552781">
        <w:rPr>
          <w:rFonts w:asciiTheme="majorHAnsi" w:hAnsiTheme="majorHAnsi"/>
        </w:rPr>
        <w:t xml:space="preserve"> (CC</w:t>
      </w:r>
      <w:bookmarkStart w:id="0" w:name="_GoBack"/>
      <w:bookmarkEnd w:id="0"/>
      <w:r w:rsidR="00552781">
        <w:rPr>
          <w:rFonts w:asciiTheme="majorHAnsi" w:hAnsiTheme="majorHAnsi"/>
        </w:rPr>
        <w:t>S)</w:t>
      </w:r>
      <w:r w:rsidRPr="007B2285">
        <w:rPr>
          <w:rFonts w:asciiTheme="majorHAnsi" w:hAnsiTheme="majorHAnsi"/>
        </w:rPr>
        <w:t xml:space="preserve"> for students with disabilities</w:t>
      </w:r>
      <w:r w:rsidR="007B2285">
        <w:rPr>
          <w:rFonts w:asciiTheme="majorHAnsi" w:hAnsiTheme="majorHAnsi"/>
        </w:rPr>
        <w:t>.</w:t>
      </w:r>
    </w:p>
    <w:p w:rsidR="001A41BF" w:rsidRPr="007B2285" w:rsidRDefault="001A41BF" w:rsidP="007B2285">
      <w:pPr>
        <w:pStyle w:val="ListParagraph"/>
        <w:numPr>
          <w:ilvl w:val="0"/>
          <w:numId w:val="14"/>
        </w:numPr>
        <w:spacing w:after="120"/>
        <w:ind w:left="720"/>
        <w:contextualSpacing w:val="0"/>
        <w:rPr>
          <w:rFonts w:asciiTheme="majorHAnsi" w:hAnsiTheme="majorHAnsi"/>
          <w:b/>
          <w:u w:val="single"/>
        </w:rPr>
      </w:pPr>
      <w:r w:rsidRPr="007B2285">
        <w:rPr>
          <w:rFonts w:asciiTheme="majorHAnsi" w:hAnsiTheme="majorHAnsi"/>
        </w:rPr>
        <w:t>Use assessment, progress monitoring</w:t>
      </w:r>
      <w:r w:rsidR="007B2285">
        <w:rPr>
          <w:rFonts w:asciiTheme="majorHAnsi" w:hAnsiTheme="majorHAnsi"/>
        </w:rPr>
        <w:t>,</w:t>
      </w:r>
      <w:r w:rsidRPr="007B2285">
        <w:rPr>
          <w:rFonts w:asciiTheme="majorHAnsi" w:hAnsiTheme="majorHAnsi"/>
        </w:rPr>
        <w:t xml:space="preserve"> and instructional decision making to support student to meet instructional goals</w:t>
      </w:r>
      <w:r w:rsidR="007B2285">
        <w:rPr>
          <w:rFonts w:asciiTheme="majorHAnsi" w:hAnsiTheme="majorHAnsi"/>
        </w:rPr>
        <w:t>.</w:t>
      </w:r>
    </w:p>
    <w:p w:rsidR="001A41BF" w:rsidRPr="007B2285" w:rsidRDefault="001A41BF" w:rsidP="007B2285">
      <w:pPr>
        <w:pStyle w:val="ListParagraph"/>
        <w:numPr>
          <w:ilvl w:val="0"/>
          <w:numId w:val="14"/>
        </w:numPr>
        <w:spacing w:after="120"/>
        <w:ind w:left="720"/>
        <w:contextualSpacing w:val="0"/>
        <w:rPr>
          <w:rFonts w:asciiTheme="majorHAnsi" w:hAnsiTheme="majorHAnsi"/>
          <w:b/>
          <w:u w:val="single"/>
        </w:rPr>
      </w:pPr>
      <w:r w:rsidRPr="007B2285">
        <w:rPr>
          <w:rFonts w:asciiTheme="majorHAnsi" w:hAnsiTheme="majorHAnsi"/>
        </w:rPr>
        <w:t>Apply UDL-aligned technology to lessons to support student engagement and progress</w:t>
      </w:r>
      <w:r w:rsidR="007B2285">
        <w:rPr>
          <w:rFonts w:asciiTheme="majorHAnsi" w:hAnsiTheme="majorHAnsi"/>
        </w:rPr>
        <w:t>.</w:t>
      </w:r>
    </w:p>
    <w:p w:rsidR="001A41BF" w:rsidRPr="007B2285" w:rsidRDefault="001A41BF" w:rsidP="007B2285">
      <w:pPr>
        <w:pStyle w:val="ListParagraph"/>
        <w:numPr>
          <w:ilvl w:val="0"/>
          <w:numId w:val="14"/>
        </w:numPr>
        <w:spacing w:after="120"/>
        <w:ind w:left="720"/>
        <w:contextualSpacing w:val="0"/>
        <w:rPr>
          <w:rStyle w:val="IntenseReference"/>
          <w:rFonts w:asciiTheme="majorHAnsi" w:hAnsiTheme="majorHAnsi"/>
          <w:bCs w:val="0"/>
          <w:smallCaps w:val="0"/>
          <w:color w:val="auto"/>
          <w:u w:val="single"/>
        </w:rPr>
      </w:pPr>
      <w:r w:rsidRPr="007B2285">
        <w:rPr>
          <w:rFonts w:asciiTheme="majorHAnsi" w:hAnsiTheme="majorHAnsi"/>
        </w:rPr>
        <w:t>Develop next steps (a plan) for creating powerful team practices and a workable collaboration plan to support success with the Connecticut Core Standards</w:t>
      </w:r>
      <w:r w:rsidR="007B2285">
        <w:rPr>
          <w:rFonts w:asciiTheme="majorHAnsi" w:hAnsiTheme="majorHAnsi"/>
        </w:rPr>
        <w:t xml:space="preserve"> for students with disabilities.</w:t>
      </w:r>
    </w:p>
    <w:p w:rsidR="001A41BF" w:rsidRPr="00112587" w:rsidRDefault="001A41BF" w:rsidP="00536450">
      <w:pPr>
        <w:pStyle w:val="BulletList"/>
        <w:numPr>
          <w:ilvl w:val="0"/>
          <w:numId w:val="0"/>
        </w:numPr>
        <w:ind w:left="360" w:hanging="360"/>
        <w:contextualSpacing w:val="0"/>
        <w:rPr>
          <w:rFonts w:asciiTheme="majorHAnsi" w:hAnsiTheme="majorHAnsi"/>
          <w:szCs w:val="22"/>
        </w:rPr>
      </w:pPr>
    </w:p>
    <w:sectPr w:rsidR="001A41BF" w:rsidRPr="00112587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D0" w:rsidRDefault="00F72FD0" w:rsidP="00F72FD0">
      <w:pPr>
        <w:spacing w:line="240" w:lineRule="auto"/>
      </w:pPr>
      <w:r>
        <w:separator/>
      </w:r>
    </w:p>
  </w:endnote>
  <w:endnote w:type="continuationSeparator" w:id="0">
    <w:p w:rsidR="00F72FD0" w:rsidRDefault="00F72FD0" w:rsidP="00F72F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FD0" w:rsidRPr="00F72FD0" w:rsidRDefault="00F72FD0" w:rsidP="00F72FD0">
    <w:pPr>
      <w:pStyle w:val="Footer"/>
      <w:pBdr>
        <w:top w:val="single" w:sz="4" w:space="1" w:color="auto"/>
      </w:pBdr>
      <w:rPr>
        <w:rFonts w:asciiTheme="majorHAnsi" w:hAnsiTheme="majorHAnsi"/>
        <w:sz w:val="20"/>
      </w:rPr>
    </w:pPr>
    <w:r w:rsidRPr="00F72FD0">
      <w:rPr>
        <w:rFonts w:asciiTheme="majorHAnsi" w:hAnsiTheme="majorHAnsi"/>
        <w:sz w:val="20"/>
      </w:rPr>
      <w:t>Overview of Meeting the Challenge Modules 2 and 3</w:t>
    </w:r>
    <w:r>
      <w:rPr>
        <w:rFonts w:asciiTheme="majorHAnsi" w:hAnsiTheme="majorHAnsi"/>
        <w:sz w:val="20"/>
      </w:rPr>
      <w:tab/>
    </w:r>
    <w:r>
      <w:rPr>
        <w:rFonts w:asciiTheme="majorHAnsi" w:hAnsiTheme="majorHAnsi"/>
        <w:sz w:val="20"/>
      </w:rPr>
      <w:tab/>
    </w:r>
    <w:r w:rsidRPr="00F72FD0">
      <w:rPr>
        <w:rFonts w:asciiTheme="majorHAnsi" w:hAnsiTheme="majorHAnsi"/>
        <w:sz w:val="20"/>
      </w:rPr>
      <w:fldChar w:fldCharType="begin"/>
    </w:r>
    <w:r w:rsidRPr="00F72FD0">
      <w:rPr>
        <w:rFonts w:asciiTheme="majorHAnsi" w:hAnsiTheme="majorHAnsi"/>
        <w:sz w:val="20"/>
      </w:rPr>
      <w:instrText xml:space="preserve"> PAGE   \* MERGEFORMAT </w:instrText>
    </w:r>
    <w:r w:rsidRPr="00F72FD0">
      <w:rPr>
        <w:rFonts w:asciiTheme="majorHAnsi" w:hAnsiTheme="majorHAnsi"/>
        <w:sz w:val="20"/>
      </w:rPr>
      <w:fldChar w:fldCharType="separate"/>
    </w:r>
    <w:r w:rsidR="00552781">
      <w:rPr>
        <w:rFonts w:asciiTheme="majorHAnsi" w:hAnsiTheme="majorHAnsi"/>
        <w:noProof/>
        <w:sz w:val="20"/>
      </w:rPr>
      <w:t>4</w:t>
    </w:r>
    <w:r w:rsidRPr="00F72FD0">
      <w:rPr>
        <w:rFonts w:asciiTheme="majorHAnsi" w:hAnsiTheme="maj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D0" w:rsidRDefault="00F72FD0" w:rsidP="00F72FD0">
      <w:pPr>
        <w:spacing w:line="240" w:lineRule="auto"/>
      </w:pPr>
      <w:r>
        <w:separator/>
      </w:r>
    </w:p>
  </w:footnote>
  <w:footnote w:type="continuationSeparator" w:id="0">
    <w:p w:rsidR="00F72FD0" w:rsidRDefault="00F72FD0" w:rsidP="00F72F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07F5"/>
    <w:multiLevelType w:val="hybridMultilevel"/>
    <w:tmpl w:val="F6689DB0"/>
    <w:lvl w:ilvl="0" w:tplc="A024FE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5AC2"/>
    <w:multiLevelType w:val="hybridMultilevel"/>
    <w:tmpl w:val="001EB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9315B"/>
    <w:multiLevelType w:val="hybridMultilevel"/>
    <w:tmpl w:val="3E3CE12C"/>
    <w:lvl w:ilvl="0" w:tplc="0B3C78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5D6B"/>
    <w:multiLevelType w:val="multilevel"/>
    <w:tmpl w:val="157EFD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9041D04"/>
    <w:multiLevelType w:val="hybridMultilevel"/>
    <w:tmpl w:val="D03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81C36"/>
    <w:multiLevelType w:val="hybridMultilevel"/>
    <w:tmpl w:val="EB9E8DDC"/>
    <w:lvl w:ilvl="0" w:tplc="D0388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45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90A6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E08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4E4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4899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767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24D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A497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C54F3F"/>
    <w:multiLevelType w:val="multilevel"/>
    <w:tmpl w:val="BD6EAFE4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sz w:val="22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52222023"/>
    <w:multiLevelType w:val="hybridMultilevel"/>
    <w:tmpl w:val="435E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74E0C"/>
    <w:multiLevelType w:val="hybridMultilevel"/>
    <w:tmpl w:val="11347C86"/>
    <w:lvl w:ilvl="0" w:tplc="A024FE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A77FDE"/>
    <w:multiLevelType w:val="hybridMultilevel"/>
    <w:tmpl w:val="68CE1B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F14FE0"/>
    <w:multiLevelType w:val="hybridMultilevel"/>
    <w:tmpl w:val="29AAD136"/>
    <w:lvl w:ilvl="0" w:tplc="A024FE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84DC1"/>
    <w:multiLevelType w:val="hybridMultilevel"/>
    <w:tmpl w:val="3500A106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2" w15:restartNumberingAfterBreak="0">
    <w:nsid w:val="672D6940"/>
    <w:multiLevelType w:val="hybridMultilevel"/>
    <w:tmpl w:val="A49EAEB2"/>
    <w:lvl w:ilvl="0" w:tplc="7C8A39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83A49"/>
    <w:multiLevelType w:val="hybridMultilevel"/>
    <w:tmpl w:val="DA2C5D96"/>
    <w:lvl w:ilvl="0" w:tplc="12827A2C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76923C"/>
      </w:rPr>
    </w:lvl>
    <w:lvl w:ilvl="1" w:tplc="BF48DC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76923C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1"/>
  </w:num>
  <w:num w:numId="5">
    <w:abstractNumId w:val="5"/>
  </w:num>
  <w:num w:numId="6">
    <w:abstractNumId w:val="12"/>
  </w:num>
  <w:num w:numId="7">
    <w:abstractNumId w:val="13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7D48"/>
    <w:rsid w:val="000A7D48"/>
    <w:rsid w:val="000B6753"/>
    <w:rsid w:val="00112587"/>
    <w:rsid w:val="00186B2A"/>
    <w:rsid w:val="001A41BF"/>
    <w:rsid w:val="002E4D94"/>
    <w:rsid w:val="004342E6"/>
    <w:rsid w:val="004538AF"/>
    <w:rsid w:val="00536450"/>
    <w:rsid w:val="00552781"/>
    <w:rsid w:val="007B2285"/>
    <w:rsid w:val="00852EBB"/>
    <w:rsid w:val="009A5AD2"/>
    <w:rsid w:val="00CF1532"/>
    <w:rsid w:val="00DD19A7"/>
    <w:rsid w:val="00DF574F"/>
    <w:rsid w:val="00EA2BE6"/>
    <w:rsid w:val="00F6792D"/>
    <w:rsid w:val="00F7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A2355FE-B3D6-428F-87B1-08F13FE9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38A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52EBB"/>
    <w:pPr>
      <w:ind w:left="720"/>
      <w:contextualSpacing/>
    </w:pPr>
  </w:style>
  <w:style w:type="paragraph" w:customStyle="1" w:styleId="BulletList">
    <w:name w:val="Bullet List"/>
    <w:basedOn w:val="Normal"/>
    <w:link w:val="BulletListChar"/>
    <w:qFormat/>
    <w:rsid w:val="00536450"/>
    <w:pPr>
      <w:numPr>
        <w:numId w:val="7"/>
      </w:numPr>
      <w:spacing w:before="60" w:after="120" w:line="312" w:lineRule="auto"/>
      <w:contextualSpacing/>
    </w:pPr>
    <w:rPr>
      <w:rFonts w:ascii="Calibri" w:eastAsia="+mn-ea" w:hAnsi="Calibri" w:cs="Times New Roman"/>
      <w:color w:val="auto"/>
      <w:lang w:eastAsia="ja-JP" w:bidi="en-US"/>
    </w:rPr>
  </w:style>
  <w:style w:type="character" w:customStyle="1" w:styleId="BulletListChar">
    <w:name w:val="Bullet List Char"/>
    <w:link w:val="BulletList"/>
    <w:rsid w:val="00536450"/>
    <w:rPr>
      <w:rFonts w:ascii="Calibri" w:eastAsia="+mn-ea" w:hAnsi="Calibri" w:cs="Times New Roman"/>
      <w:color w:val="auto"/>
      <w:lang w:eastAsia="ja-JP" w:bidi="en-US"/>
    </w:rPr>
  </w:style>
  <w:style w:type="character" w:styleId="IntenseReference">
    <w:name w:val="Intense Reference"/>
    <w:basedOn w:val="DefaultParagraphFont"/>
    <w:uiPriority w:val="32"/>
    <w:qFormat/>
    <w:rsid w:val="001A41BF"/>
    <w:rPr>
      <w:b/>
      <w:bCs/>
      <w:smallCaps/>
      <w:color w:val="4F81BD" w:themeColor="accent1"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sid w:val="004538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F72F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FD0"/>
  </w:style>
  <w:style w:type="paragraph" w:styleId="Footer">
    <w:name w:val="footer"/>
    <w:basedOn w:val="Normal"/>
    <w:link w:val="FooterChar"/>
    <w:uiPriority w:val="99"/>
    <w:unhideWhenUsed/>
    <w:rsid w:val="00F72F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546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590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538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257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274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Handout Agenda.docx</vt:lpstr>
    </vt:vector>
  </TitlesOfParts>
  <Company>The Center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Handout Agenda.docx</dc:title>
  <dc:creator>Hannon, Mary Ellen</dc:creator>
  <cp:lastModifiedBy>Wade, Michelle</cp:lastModifiedBy>
  <cp:revision>7</cp:revision>
  <dcterms:created xsi:type="dcterms:W3CDTF">2015-10-07T13:01:00Z</dcterms:created>
  <dcterms:modified xsi:type="dcterms:W3CDTF">2015-12-07T21:40:00Z</dcterms:modified>
</cp:coreProperties>
</file>