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B43" w:rsidRPr="004A4B43" w:rsidRDefault="004A4B43" w:rsidP="004A4B43">
      <w:pPr>
        <w:spacing w:before="240" w:after="240" w:line="336" w:lineRule="atLeast"/>
        <w:jc w:val="center"/>
        <w:rPr>
          <w:rFonts w:ascii="Helvetica" w:eastAsia="Times New Roman" w:hAnsi="Helvetica" w:cs="Helvetica"/>
          <w:color w:val="000000"/>
          <w:sz w:val="18"/>
          <w:szCs w:val="18"/>
        </w:rPr>
      </w:pPr>
      <w:bookmarkStart w:id="0" w:name="_GoBack"/>
      <w:bookmarkEnd w:id="0"/>
      <w:r w:rsidRPr="004A4B43">
        <w:rPr>
          <w:rFonts w:ascii="Helvetica" w:eastAsia="Times New Roman" w:hAnsi="Helvetica" w:cs="Helvetica"/>
          <w:b/>
          <w:bCs/>
          <w:color w:val="000000"/>
          <w:sz w:val="18"/>
          <w:szCs w:val="18"/>
        </w:rPr>
        <w:t>Effective Staffing and Scheduling for Inclusive Schools - Session B</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*This is a one (1) day event – Tuesday, April 20, 2021 from 10:00 am – 3:00pm (with a one hour break from 12:00pm – 1:00pm)       </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One of the most challenging aspects of addressing the needs of students with disabilities is the scheduling of services. Staffing and scheduling is a step-by-step sequence of activities aligned to best practices for supporting students with disabilities along a continuum of services that includes advance support, in-class support, and specialized support. This session focuses on the areas of master scheduling, special education personnel providing support to students with disabilities both in general education and specialized settings, collaborative planning time allotments, and support analysis.</w:t>
      </w:r>
    </w:p>
    <w:tbl>
      <w:tblPr>
        <w:tblW w:w="0" w:type="auto"/>
        <w:tblCellSpacing w:w="0" w:type="dxa"/>
        <w:tblCellMar>
          <w:left w:w="0" w:type="dxa"/>
          <w:right w:w="0" w:type="dxa"/>
        </w:tblCellMar>
        <w:tblLook w:val="04A0" w:firstRow="1" w:lastRow="0" w:firstColumn="1" w:lastColumn="0" w:noHBand="0" w:noVBand="1"/>
      </w:tblPr>
      <w:tblGrid>
        <w:gridCol w:w="1941"/>
        <w:gridCol w:w="7419"/>
      </w:tblGrid>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Location</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Web, Online Course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Topic</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Co-Teaching, Diversity, Universal Design for Learning, Youth</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Activity Code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21-09-134-000</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Link</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Click Sign up to Register</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Single-Day/Multi-Day</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Single-Day</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Cost</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No Fee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Grade Level</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Grades K-12</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Presenters</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Judith Moening, Ph.D., John Walsh, Stetson &amp; Associates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Content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content questions, please contact Nikki Hendry, SERC, (860) 632-1485 ext. 255 or </w:t>
            </w:r>
            <w:hyperlink r:id="rId4" w:tgtFrame="_blank" w:history="1">
              <w:r w:rsidRPr="004A4B43">
                <w:rPr>
                  <w:rFonts w:ascii="Helvetica" w:eastAsia="Times New Roman" w:hAnsi="Helvetica" w:cs="Helvetica"/>
                  <w:color w:val="3366CC"/>
                  <w:sz w:val="18"/>
                  <w:szCs w:val="18"/>
                  <w:u w:val="single"/>
                </w:rPr>
                <w:t>hendry@ctserc.org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registration questions, please contact Emma Velasquez, SERC, (860) 632-1485, ext. 218 or </w:t>
            </w:r>
            <w:hyperlink r:id="rId5" w:tgtFrame="_blank" w:history="1">
              <w:r w:rsidRPr="004A4B43">
                <w:rPr>
                  <w:rFonts w:ascii="Helvetica" w:eastAsia="Times New Roman" w:hAnsi="Helvetica" w:cs="Helvetica"/>
                  <w:color w:val="3366CC"/>
                  <w:sz w:val="18"/>
                  <w:szCs w:val="18"/>
                  <w:u w:val="single"/>
                </w:rPr>
                <w:t>velasquez@ctserc.org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Audience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Administrators and staff responsible for creating the master school schedule</w:t>
            </w:r>
          </w:p>
        </w:tc>
      </w:tr>
    </w:tbl>
    <w:p w:rsidR="004A4B43" w:rsidRDefault="004A4B43"/>
    <w:p w:rsidR="002115C1" w:rsidRDefault="00C268C5">
      <w:hyperlink r:id="rId6" w:history="1">
        <w:r w:rsidR="004A4B43" w:rsidRPr="001934C9">
          <w:rPr>
            <w:rStyle w:val="Hyperlink"/>
          </w:rPr>
          <w:t>https://ctserc.org/events?trumbaEmbed=view%3Devent%26eventid%3D152235150</w:t>
        </w:r>
      </w:hyperlink>
    </w:p>
    <w:p w:rsidR="004A4B43" w:rsidRDefault="004A4B43"/>
    <w:p w:rsidR="004A4B43" w:rsidRDefault="004A4B43"/>
    <w:p w:rsidR="004A4B43" w:rsidRDefault="004A4B43"/>
    <w:p w:rsidR="004A4B43" w:rsidRDefault="004A4B43"/>
    <w:p w:rsidR="004A4B43" w:rsidRDefault="004A4B43"/>
    <w:p w:rsidR="004A4B43" w:rsidRDefault="004A4B43"/>
    <w:p w:rsidR="004A4B43" w:rsidRPr="004A4B43" w:rsidRDefault="004A4B43" w:rsidP="004A4B43">
      <w:pPr>
        <w:spacing w:before="240" w:after="240" w:line="336" w:lineRule="atLeast"/>
        <w:jc w:val="center"/>
        <w:rPr>
          <w:rFonts w:ascii="Helvetica" w:eastAsia="Times New Roman" w:hAnsi="Helvetica" w:cs="Helvetica"/>
          <w:color w:val="000000"/>
          <w:sz w:val="18"/>
          <w:szCs w:val="18"/>
        </w:rPr>
      </w:pPr>
      <w:r w:rsidRPr="004A4B43">
        <w:rPr>
          <w:rFonts w:ascii="Helvetica" w:eastAsia="Times New Roman" w:hAnsi="Helvetica" w:cs="Helvetica"/>
          <w:b/>
          <w:bCs/>
          <w:color w:val="000000"/>
          <w:sz w:val="18"/>
          <w:szCs w:val="18"/>
        </w:rPr>
        <w:lastRenderedPageBreak/>
        <w:t>Effective Staffing and Scheduling for Inclusive Schools - Session C</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*This is a one (1) day event – Wednesday, April 21, 2021 from 10:00 am – 3:00pm (with a one hour break from 12:00pm – 1:00pm)       </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One of the most challenging aspects of addressing the needs of students with disabilities is the scheduling of services. Staffing and scheduling is a step-by-step sequence of activities aligned to best practices for supporting students with disabilities along a continuum of services that includes advance support, in-class support, and specialized support. This session focuses on the areas of master scheduling, special education personnel providing support to students with disabilities both in general education and specialized settings, collaborative planning time allotments, and support analysis.</w:t>
      </w:r>
    </w:p>
    <w:tbl>
      <w:tblPr>
        <w:tblW w:w="0" w:type="auto"/>
        <w:tblCellSpacing w:w="0" w:type="dxa"/>
        <w:tblCellMar>
          <w:left w:w="0" w:type="dxa"/>
          <w:right w:w="0" w:type="dxa"/>
        </w:tblCellMar>
        <w:tblLook w:val="04A0" w:firstRow="1" w:lastRow="0" w:firstColumn="1" w:lastColumn="0" w:noHBand="0" w:noVBand="1"/>
      </w:tblPr>
      <w:tblGrid>
        <w:gridCol w:w="1941"/>
        <w:gridCol w:w="7419"/>
      </w:tblGrid>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Location</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Web, Online Course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Topic</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Co-Teaching, Diversity, Universal Design for Learning, Youth</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Activity Code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21-09-135-000</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Link</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Click Sign up to Register</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Single-Day/Multi-Day</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Single-Day</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Cost</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No Fee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Grade Level</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Grades K-12</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Presenters</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Judith Moening, Ph.D., John Walsh, Stetson &amp; Associates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Content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content questions, please contact Nikki Hendry, SERC, (860) 632-1485 ext. 255 or </w:t>
            </w:r>
            <w:hyperlink r:id="rId7" w:tgtFrame="_blank" w:history="1">
              <w:r w:rsidRPr="004A4B43">
                <w:rPr>
                  <w:rFonts w:ascii="Helvetica" w:eastAsia="Times New Roman" w:hAnsi="Helvetica" w:cs="Helvetica"/>
                  <w:color w:val="3366CC"/>
                  <w:sz w:val="18"/>
                  <w:szCs w:val="18"/>
                  <w:u w:val="single"/>
                </w:rPr>
                <w:t>hendry@ctserc.org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registration questions, please contact Emma Velasquez, SERC, (860) 632-1485, ext. 218 or </w:t>
            </w:r>
            <w:hyperlink r:id="rId8" w:tgtFrame="_blank" w:history="1">
              <w:r w:rsidRPr="004A4B43">
                <w:rPr>
                  <w:rFonts w:ascii="Helvetica" w:eastAsia="Times New Roman" w:hAnsi="Helvetica" w:cs="Helvetica"/>
                  <w:color w:val="3366CC"/>
                  <w:sz w:val="18"/>
                  <w:szCs w:val="18"/>
                  <w:u w:val="single"/>
                </w:rPr>
                <w:t>velasquez@ctserc.org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Audience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Administrators and staff responsible for creating the master school schedule</w:t>
            </w:r>
          </w:p>
        </w:tc>
      </w:tr>
    </w:tbl>
    <w:p w:rsidR="004A4B43" w:rsidRDefault="004A4B43"/>
    <w:p w:rsidR="004A4B43" w:rsidRDefault="00C268C5">
      <w:hyperlink r:id="rId9" w:history="1">
        <w:r w:rsidR="004A4B43" w:rsidRPr="001934C9">
          <w:rPr>
            <w:rStyle w:val="Hyperlink"/>
          </w:rPr>
          <w:t>https://ctserc.org/events?trumbaEmbed=view%3Devent%26eventid%3D152235688</w:t>
        </w:r>
      </w:hyperlink>
    </w:p>
    <w:p w:rsidR="004A4B43" w:rsidRDefault="004A4B43"/>
    <w:p w:rsidR="004A4B43" w:rsidRDefault="004A4B43"/>
    <w:p w:rsidR="004A4B43" w:rsidRDefault="004A4B43"/>
    <w:p w:rsidR="004A4B43" w:rsidRDefault="004A4B43"/>
    <w:p w:rsidR="004A4B43" w:rsidRDefault="004A4B43"/>
    <w:p w:rsidR="004A4B43" w:rsidRDefault="004A4B43" w:rsidP="004A4B43">
      <w:pPr>
        <w:spacing w:before="240" w:after="240" w:line="336" w:lineRule="atLeast"/>
        <w:jc w:val="center"/>
        <w:rPr>
          <w:rFonts w:ascii="Helvetica" w:eastAsia="Times New Roman" w:hAnsi="Helvetica" w:cs="Helvetica"/>
          <w:b/>
          <w:bCs/>
          <w:color w:val="000000"/>
          <w:sz w:val="18"/>
          <w:szCs w:val="18"/>
        </w:rPr>
      </w:pPr>
    </w:p>
    <w:p w:rsidR="004A4B43" w:rsidRPr="004A4B43" w:rsidRDefault="004A4B43" w:rsidP="004A4B43">
      <w:pPr>
        <w:spacing w:before="240" w:after="240" w:line="336" w:lineRule="atLeast"/>
        <w:jc w:val="center"/>
        <w:rPr>
          <w:rFonts w:ascii="Helvetica" w:eastAsia="Times New Roman" w:hAnsi="Helvetica" w:cs="Helvetica"/>
          <w:color w:val="000000"/>
          <w:sz w:val="18"/>
          <w:szCs w:val="18"/>
        </w:rPr>
      </w:pPr>
      <w:r w:rsidRPr="004A4B43">
        <w:rPr>
          <w:rFonts w:ascii="Helvetica" w:eastAsia="Times New Roman" w:hAnsi="Helvetica" w:cs="Helvetica"/>
          <w:b/>
          <w:bCs/>
          <w:color w:val="000000"/>
          <w:sz w:val="18"/>
          <w:szCs w:val="18"/>
        </w:rPr>
        <w:t>Quality Standards for Inclusive Schools</w:t>
      </w:r>
      <w:proofErr w:type="gramStart"/>
      <w:r w:rsidRPr="004A4B43">
        <w:rPr>
          <w:rFonts w:ascii="Helvetica" w:eastAsia="Times New Roman" w:hAnsi="Helvetica" w:cs="Helvetica"/>
          <w:b/>
          <w:bCs/>
          <w:color w:val="000000"/>
          <w:sz w:val="18"/>
          <w:szCs w:val="18"/>
        </w:rPr>
        <w:t>:</w:t>
      </w:r>
      <w:proofErr w:type="gramEnd"/>
      <w:r w:rsidRPr="004A4B43">
        <w:rPr>
          <w:rFonts w:ascii="Helvetica" w:eastAsia="Times New Roman" w:hAnsi="Helvetica" w:cs="Helvetica"/>
          <w:b/>
          <w:bCs/>
          <w:color w:val="000000"/>
          <w:sz w:val="18"/>
          <w:szCs w:val="18"/>
        </w:rPr>
        <w:br/>
        <w:t>A Working Session to Assess Current Status and Identify Priorities for Change</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w:t>
      </w:r>
      <w:r w:rsidRPr="004A4B43">
        <w:rPr>
          <w:rFonts w:ascii="Helvetica" w:eastAsia="Times New Roman" w:hAnsi="Helvetica" w:cs="Helvetica"/>
          <w:color w:val="000000"/>
          <w:sz w:val="18"/>
          <w:szCs w:val="18"/>
        </w:rPr>
        <w:br/>
        <w:t>  *This is a one (1) day event – Thursday, April 22, 2021 from 10:00 am – 3:00pm (with a one hour break from 12:00pm – 1:00pm)       </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This session will lead participants through the quality standards of an inclusive school assessment guide. For each standard, participants will learn cutting-edge strategies for achieving it and receive practical tools and resources to make the journey easier. Standards include a commonly held belief system and vocabulary; an objective, individualized process for deciding the most appropriate services for each student; effective staffing options; scheduling techniques; and many more.</w:t>
      </w:r>
    </w:p>
    <w:tbl>
      <w:tblPr>
        <w:tblW w:w="0" w:type="auto"/>
        <w:tblCellSpacing w:w="0" w:type="dxa"/>
        <w:tblCellMar>
          <w:left w:w="0" w:type="dxa"/>
          <w:right w:w="0" w:type="dxa"/>
        </w:tblCellMar>
        <w:tblLook w:val="04A0" w:firstRow="1" w:lastRow="0" w:firstColumn="1" w:lastColumn="0" w:noHBand="0" w:noVBand="1"/>
      </w:tblPr>
      <w:tblGrid>
        <w:gridCol w:w="1941"/>
        <w:gridCol w:w="7419"/>
      </w:tblGrid>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Location</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Web, Online Course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Topic</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Diversity, Learning Disabilities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Activity Code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21-09-136-000</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Link</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Click Sign up to Register</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Single-Day/Multi-Day</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Single-Day</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Featured Event</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Yes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Cost</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No Fee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Grade Level</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Grades K-12</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Presenters</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xml:space="preserve">Judith Moening, Ph.D., Brian </w:t>
            </w:r>
            <w:proofErr w:type="spellStart"/>
            <w:r w:rsidRPr="004A4B43">
              <w:rPr>
                <w:rFonts w:ascii="Helvetica" w:eastAsia="Times New Roman" w:hAnsi="Helvetica" w:cs="Helvetica"/>
                <w:color w:val="000000"/>
                <w:sz w:val="18"/>
                <w:szCs w:val="18"/>
              </w:rPr>
              <w:t>Malechuk</w:t>
            </w:r>
            <w:proofErr w:type="spellEnd"/>
            <w:r w:rsidRPr="004A4B43">
              <w:rPr>
                <w:rFonts w:ascii="Helvetica" w:eastAsia="Times New Roman" w:hAnsi="Helvetica" w:cs="Helvetica"/>
                <w:color w:val="000000"/>
                <w:sz w:val="18"/>
                <w:szCs w:val="18"/>
              </w:rPr>
              <w:t xml:space="preserve">, </w:t>
            </w:r>
            <w:proofErr w:type="spellStart"/>
            <w:r w:rsidRPr="004A4B43">
              <w:rPr>
                <w:rFonts w:ascii="Helvetica" w:eastAsia="Times New Roman" w:hAnsi="Helvetica" w:cs="Helvetica"/>
                <w:color w:val="000000"/>
                <w:sz w:val="18"/>
                <w:szCs w:val="18"/>
              </w:rPr>
              <w:t>Ed.D</w:t>
            </w:r>
            <w:proofErr w:type="spellEnd"/>
            <w:r w:rsidRPr="004A4B43">
              <w:rPr>
                <w:rFonts w:ascii="Helvetica" w:eastAsia="Times New Roman" w:hAnsi="Helvetica" w:cs="Helvetica"/>
                <w:color w:val="000000"/>
                <w:sz w:val="18"/>
                <w:szCs w:val="18"/>
              </w:rPr>
              <w:t>. from Stetson &amp; Associates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Content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content questions, please contact Nikki Hendry, SERC, (860) 632-1485 ext. 255 or </w:t>
            </w:r>
            <w:hyperlink r:id="rId10" w:tgtFrame="_blank" w:history="1">
              <w:r w:rsidRPr="004A4B43">
                <w:rPr>
                  <w:rFonts w:ascii="Helvetica" w:eastAsia="Times New Roman" w:hAnsi="Helvetica" w:cs="Helvetica"/>
                  <w:color w:val="3366CC"/>
                  <w:sz w:val="18"/>
                  <w:szCs w:val="18"/>
                  <w:u w:val="single"/>
                </w:rPr>
                <w:t>hendry@ctserc.org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registration questions, please contact Emma Velasquez, SERC, (860) 632-1485, ext. 218 or </w:t>
            </w:r>
            <w:hyperlink r:id="rId11" w:tgtFrame="_blank" w:history="1">
              <w:r w:rsidRPr="004A4B43">
                <w:rPr>
                  <w:rFonts w:ascii="Helvetica" w:eastAsia="Times New Roman" w:hAnsi="Helvetica" w:cs="Helvetica"/>
                  <w:color w:val="3366CC"/>
                  <w:sz w:val="18"/>
                  <w:szCs w:val="18"/>
                  <w:u w:val="single"/>
                </w:rPr>
                <w:t>velasquez@ctserc.org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Audience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General and Special Educators, Administrators, and Student Support Services Professionals. Appropriate for small teams or for individuals with responsibility for achieving inclusion for all students.</w:t>
            </w:r>
          </w:p>
        </w:tc>
      </w:tr>
    </w:tbl>
    <w:p w:rsidR="004A4B43" w:rsidRDefault="00C268C5">
      <w:hyperlink r:id="rId12" w:history="1">
        <w:r w:rsidR="004A4B43" w:rsidRPr="001934C9">
          <w:rPr>
            <w:rStyle w:val="Hyperlink"/>
          </w:rPr>
          <w:t>https://ctserc.org/events?trumbaEmbed=view%3Devent%26eventid%3D152235787</w:t>
        </w:r>
      </w:hyperlink>
    </w:p>
    <w:p w:rsidR="004A4B43" w:rsidRDefault="004A4B43"/>
    <w:p w:rsidR="004A4B43" w:rsidRDefault="004A4B43"/>
    <w:p w:rsidR="004A4B43" w:rsidRDefault="004A4B43"/>
    <w:p w:rsidR="004A4B43" w:rsidRDefault="004A4B43" w:rsidP="004A4B43">
      <w:pPr>
        <w:spacing w:before="240" w:after="240" w:line="336" w:lineRule="atLeast"/>
        <w:jc w:val="center"/>
        <w:rPr>
          <w:rFonts w:ascii="Helvetica" w:eastAsia="Times New Roman" w:hAnsi="Helvetica" w:cs="Helvetica"/>
          <w:b/>
          <w:bCs/>
          <w:color w:val="000000"/>
          <w:sz w:val="18"/>
          <w:szCs w:val="18"/>
        </w:rPr>
      </w:pPr>
    </w:p>
    <w:p w:rsidR="004A4B43" w:rsidRPr="004A4B43" w:rsidRDefault="004A4B43" w:rsidP="004A4B43">
      <w:pPr>
        <w:spacing w:before="240" w:after="240" w:line="336" w:lineRule="atLeast"/>
        <w:jc w:val="center"/>
        <w:rPr>
          <w:rFonts w:ascii="Helvetica" w:eastAsia="Times New Roman" w:hAnsi="Helvetica" w:cs="Helvetica"/>
          <w:color w:val="000000"/>
          <w:sz w:val="18"/>
          <w:szCs w:val="18"/>
        </w:rPr>
      </w:pPr>
      <w:r w:rsidRPr="004A4B43">
        <w:rPr>
          <w:rFonts w:ascii="Helvetica" w:eastAsia="Times New Roman" w:hAnsi="Helvetica" w:cs="Helvetica"/>
          <w:b/>
          <w:bCs/>
          <w:color w:val="000000"/>
          <w:sz w:val="18"/>
          <w:szCs w:val="18"/>
        </w:rPr>
        <w:t>Instructional Strategies for Inclusive Teachers: A Special Session for General Education Teachers and Teachers of Special Population Students - Spring Session</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*This is a one (1) day event – Thursday, April 29, 2021 from 10:00 am – 3:00pm (with a one hour break from 12:00pm – 1:00pm)       </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The quality of Tier 1 instruction in the general education classroom is a critical starting point for meeting the needs of all students. Lesson planning begins with strong instructional strategies, and students benefit from a continuum of supports, scaffolds, accommodations, modifications, and instructional technology. In this session, participants will explore strategies, methods, and tools designed to help all students meet instructional goals.</w:t>
      </w:r>
    </w:p>
    <w:tbl>
      <w:tblPr>
        <w:tblW w:w="0" w:type="auto"/>
        <w:tblCellSpacing w:w="0" w:type="dxa"/>
        <w:tblCellMar>
          <w:left w:w="0" w:type="dxa"/>
          <w:right w:w="0" w:type="dxa"/>
        </w:tblCellMar>
        <w:tblLook w:val="04A0" w:firstRow="1" w:lastRow="0" w:firstColumn="1" w:lastColumn="0" w:noHBand="0" w:noVBand="1"/>
      </w:tblPr>
      <w:tblGrid>
        <w:gridCol w:w="1941"/>
        <w:gridCol w:w="7419"/>
      </w:tblGrid>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Location</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Web, Online Course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Topic</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Co-Teaching, Diversity, Learning Disabilities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Activity Code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21-09-139-000</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Link</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Click Sign up to Register</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Single-Day/Multi-Day</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Single-Day</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Featured Event</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Yes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Cost</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No Fee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Grade Level</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Grades K-12</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Presenters</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xml:space="preserve">Brandi Breaux, Brian </w:t>
            </w:r>
            <w:proofErr w:type="spellStart"/>
            <w:r w:rsidRPr="004A4B43">
              <w:rPr>
                <w:rFonts w:ascii="Helvetica" w:eastAsia="Times New Roman" w:hAnsi="Helvetica" w:cs="Helvetica"/>
                <w:color w:val="000000"/>
                <w:sz w:val="18"/>
                <w:szCs w:val="18"/>
              </w:rPr>
              <w:t>Malechuk</w:t>
            </w:r>
            <w:proofErr w:type="spellEnd"/>
            <w:r w:rsidRPr="004A4B43">
              <w:rPr>
                <w:rFonts w:ascii="Helvetica" w:eastAsia="Times New Roman" w:hAnsi="Helvetica" w:cs="Helvetica"/>
                <w:color w:val="000000"/>
                <w:sz w:val="18"/>
                <w:szCs w:val="18"/>
              </w:rPr>
              <w:t xml:space="preserve">, </w:t>
            </w:r>
            <w:proofErr w:type="spellStart"/>
            <w:r w:rsidRPr="004A4B43">
              <w:rPr>
                <w:rFonts w:ascii="Helvetica" w:eastAsia="Times New Roman" w:hAnsi="Helvetica" w:cs="Helvetica"/>
                <w:color w:val="000000"/>
                <w:sz w:val="18"/>
                <w:szCs w:val="18"/>
              </w:rPr>
              <w:t>Ed.D</w:t>
            </w:r>
            <w:proofErr w:type="spellEnd"/>
            <w:r w:rsidRPr="004A4B43">
              <w:rPr>
                <w:rFonts w:ascii="Helvetica" w:eastAsia="Times New Roman" w:hAnsi="Helvetica" w:cs="Helvetica"/>
                <w:color w:val="000000"/>
                <w:sz w:val="18"/>
                <w:szCs w:val="18"/>
              </w:rPr>
              <w:t>. from Stetson &amp; Associates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Content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content questions, please contact Nikki Hendry, SERC, (860) 632-1485 ext. 255 or </w:t>
            </w:r>
            <w:hyperlink r:id="rId13" w:tgtFrame="_blank" w:history="1">
              <w:r w:rsidRPr="004A4B43">
                <w:rPr>
                  <w:rFonts w:ascii="Helvetica" w:eastAsia="Times New Roman" w:hAnsi="Helvetica" w:cs="Helvetica"/>
                  <w:color w:val="3366CC"/>
                  <w:sz w:val="18"/>
                  <w:szCs w:val="18"/>
                  <w:u w:val="single"/>
                </w:rPr>
                <w:t>hendry@ctserc.org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registration questions, please contact Emma Velasquez, SERC, (860) 632-1485, ext. 218 or </w:t>
            </w:r>
            <w:hyperlink r:id="rId14" w:tgtFrame="_blank" w:history="1">
              <w:r w:rsidRPr="004A4B43">
                <w:rPr>
                  <w:rFonts w:ascii="Helvetica" w:eastAsia="Times New Roman" w:hAnsi="Helvetica" w:cs="Helvetica"/>
                  <w:color w:val="3366CC"/>
                  <w:sz w:val="18"/>
                  <w:szCs w:val="18"/>
                  <w:u w:val="single"/>
                </w:rPr>
                <w:t>velasquez@ctserc.org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Audience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General and Special Education Teachers, and Student Support Services Professionals</w:t>
            </w:r>
          </w:p>
        </w:tc>
      </w:tr>
    </w:tbl>
    <w:p w:rsidR="004A4B43" w:rsidRDefault="004A4B43"/>
    <w:p w:rsidR="004A4B43" w:rsidRDefault="00C268C5">
      <w:hyperlink r:id="rId15" w:history="1">
        <w:r w:rsidR="004A4B43" w:rsidRPr="001934C9">
          <w:rPr>
            <w:rStyle w:val="Hyperlink"/>
          </w:rPr>
          <w:t>https://ctserc.org/events?trumbaEmbed=view%3Devent%26eventid%3D152235856</w:t>
        </w:r>
      </w:hyperlink>
    </w:p>
    <w:p w:rsidR="004A4B43" w:rsidRDefault="004A4B43"/>
    <w:p w:rsidR="004A4B43" w:rsidRDefault="004A4B43"/>
    <w:p w:rsidR="004A4B43" w:rsidRDefault="004A4B43" w:rsidP="004A4B43">
      <w:pPr>
        <w:spacing w:before="240" w:after="240" w:line="336" w:lineRule="atLeast"/>
        <w:jc w:val="center"/>
        <w:rPr>
          <w:rFonts w:ascii="Helvetica" w:eastAsia="Times New Roman" w:hAnsi="Helvetica" w:cs="Helvetica"/>
          <w:b/>
          <w:bCs/>
          <w:color w:val="000000"/>
          <w:sz w:val="18"/>
          <w:szCs w:val="18"/>
        </w:rPr>
      </w:pPr>
    </w:p>
    <w:p w:rsidR="004A4B43" w:rsidRDefault="004A4B43" w:rsidP="004A4B43">
      <w:pPr>
        <w:spacing w:before="240" w:after="240" w:line="336" w:lineRule="atLeast"/>
        <w:jc w:val="center"/>
        <w:rPr>
          <w:rFonts w:ascii="Helvetica" w:eastAsia="Times New Roman" w:hAnsi="Helvetica" w:cs="Helvetica"/>
          <w:b/>
          <w:bCs/>
          <w:color w:val="000000"/>
          <w:sz w:val="18"/>
          <w:szCs w:val="18"/>
        </w:rPr>
      </w:pPr>
    </w:p>
    <w:p w:rsidR="004A4B43" w:rsidRDefault="004A4B43" w:rsidP="004A4B43">
      <w:pPr>
        <w:spacing w:before="240" w:after="240" w:line="336" w:lineRule="atLeast"/>
        <w:jc w:val="center"/>
        <w:rPr>
          <w:rFonts w:ascii="Helvetica" w:eastAsia="Times New Roman" w:hAnsi="Helvetica" w:cs="Helvetica"/>
          <w:b/>
          <w:bCs/>
          <w:color w:val="000000"/>
          <w:sz w:val="18"/>
          <w:szCs w:val="18"/>
        </w:rPr>
      </w:pPr>
    </w:p>
    <w:p w:rsidR="004A4B43" w:rsidRPr="004A4B43" w:rsidRDefault="004A4B43" w:rsidP="004A4B43">
      <w:pPr>
        <w:spacing w:before="240" w:after="240" w:line="336" w:lineRule="atLeast"/>
        <w:jc w:val="center"/>
        <w:rPr>
          <w:rFonts w:ascii="Helvetica" w:eastAsia="Times New Roman" w:hAnsi="Helvetica" w:cs="Helvetica"/>
          <w:color w:val="000000"/>
          <w:sz w:val="18"/>
          <w:szCs w:val="18"/>
        </w:rPr>
      </w:pPr>
      <w:r w:rsidRPr="004A4B43">
        <w:rPr>
          <w:rFonts w:ascii="Helvetica" w:eastAsia="Times New Roman" w:hAnsi="Helvetica" w:cs="Helvetica"/>
          <w:b/>
          <w:bCs/>
          <w:color w:val="000000"/>
          <w:sz w:val="18"/>
          <w:szCs w:val="18"/>
        </w:rPr>
        <w:t>The Role of the Principal in Inclusive Schools: Practical Strategies - Spring Session</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     *This is a one (1) day event – Thursday, May 6, 2021 from 10:00 am – 3:00pm (with a one hour break from 12:00pm – 1:00pm)       </w:t>
      </w:r>
    </w:p>
    <w:p w:rsidR="004A4B43" w:rsidRPr="004A4B43" w:rsidRDefault="004A4B43" w:rsidP="004A4B43">
      <w:pPr>
        <w:spacing w:before="240" w:after="24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Many factors contribute to making schools inclusive for students with disabilities, and perhaps the most critical role in this effort is the principal. The school principal’s active participation is the single most important predictor of success and is central to leading faculty to adopt new attitudes and practices. With responsibilities widening each year, today’s principal must create the conditions for a positive learning environment and academic rigor, and set the standard for shared responsibility for students with disabilities across the entire faculty. This training will explore the many facets of the role of principals to create and sustain inclusive practices in their schools.</w:t>
      </w:r>
    </w:p>
    <w:tbl>
      <w:tblPr>
        <w:tblW w:w="0" w:type="auto"/>
        <w:tblCellSpacing w:w="0" w:type="dxa"/>
        <w:tblCellMar>
          <w:left w:w="0" w:type="dxa"/>
          <w:right w:w="0" w:type="dxa"/>
        </w:tblCellMar>
        <w:tblLook w:val="04A0" w:firstRow="1" w:lastRow="0" w:firstColumn="1" w:lastColumn="0" w:noHBand="0" w:noVBand="1"/>
      </w:tblPr>
      <w:tblGrid>
        <w:gridCol w:w="1941"/>
        <w:gridCol w:w="7419"/>
      </w:tblGrid>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Location</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Web, Online Course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Topic</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Leadership, Learning Disabilities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Activity Code</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21-09-137-000</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Link</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Click Sign up to Register</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Single-Day/Multi-Day</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Single-Day</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Featured Event</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Yes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Cost</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No Fee</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Grade Level</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Grades K-12</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Presenters</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Ann McIntyre &amp; John Hinds from Stetson &amp; Associates</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Content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content questions, please contact Nikki Hendry, SERC, (860) 632-1485 ext. 255 or </w:t>
            </w:r>
            <w:hyperlink r:id="rId16" w:tgtFrame="_blank" w:history="1">
              <w:r w:rsidRPr="004A4B43">
                <w:rPr>
                  <w:rFonts w:ascii="Helvetica" w:eastAsia="Times New Roman" w:hAnsi="Helvetica" w:cs="Helvetica"/>
                  <w:color w:val="3366CC"/>
                  <w:sz w:val="18"/>
                  <w:szCs w:val="18"/>
                  <w:u w:val="single"/>
                </w:rPr>
                <w:t>hendry@ctserc.org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Registration Info</w:t>
            </w:r>
          </w:p>
        </w:tc>
        <w:tc>
          <w:tcPr>
            <w:tcW w:w="0" w:type="auto"/>
            <w:tcMar>
              <w:top w:w="0" w:type="dxa"/>
              <w:left w:w="0" w:type="dxa"/>
              <w:bottom w:w="75" w:type="dxa"/>
              <w:right w:w="0" w:type="dxa"/>
            </w:tcMar>
            <w:hideMark/>
          </w:tcPr>
          <w:p w:rsidR="004A4B43" w:rsidRP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For registration questions, please contact Emma Velasquez, SERC, (860) 632-1485, ext. 218 or </w:t>
            </w:r>
            <w:hyperlink r:id="rId17" w:tgtFrame="_blank" w:history="1">
              <w:r w:rsidRPr="004A4B43">
                <w:rPr>
                  <w:rFonts w:ascii="Helvetica" w:eastAsia="Times New Roman" w:hAnsi="Helvetica" w:cs="Helvetica"/>
                  <w:color w:val="3366CC"/>
                  <w:sz w:val="18"/>
                  <w:szCs w:val="18"/>
                  <w:u w:val="single"/>
                </w:rPr>
                <w:t>velasquez@ctserc.org</w:t>
              </w:r>
            </w:hyperlink>
            <w:r w:rsidRPr="004A4B43">
              <w:rPr>
                <w:rFonts w:ascii="Helvetica" w:eastAsia="Times New Roman" w:hAnsi="Helvetica" w:cs="Helvetica"/>
                <w:color w:val="000000"/>
                <w:sz w:val="18"/>
                <w:szCs w:val="18"/>
              </w:rPr>
              <w:t>.</w:t>
            </w:r>
          </w:p>
        </w:tc>
      </w:tr>
      <w:tr w:rsidR="004A4B43" w:rsidRPr="004A4B43" w:rsidTr="004A4B43">
        <w:trPr>
          <w:tblCellSpacing w:w="0" w:type="dxa"/>
        </w:trPr>
        <w:tc>
          <w:tcPr>
            <w:tcW w:w="0" w:type="auto"/>
            <w:noWrap/>
            <w:tcMar>
              <w:top w:w="0" w:type="dxa"/>
              <w:left w:w="0" w:type="dxa"/>
              <w:bottom w:w="75" w:type="dxa"/>
              <w:right w:w="75" w:type="dxa"/>
            </w:tcMar>
            <w:hideMark/>
          </w:tcPr>
          <w:p w:rsidR="004A4B43" w:rsidRPr="004A4B43" w:rsidRDefault="004A4B43" w:rsidP="004A4B43">
            <w:pPr>
              <w:spacing w:after="0" w:line="336" w:lineRule="atLeast"/>
              <w:ind w:right="75"/>
              <w:rPr>
                <w:rFonts w:ascii="Helvetica" w:eastAsia="Times New Roman" w:hAnsi="Helvetica" w:cs="Helvetica"/>
                <w:b/>
                <w:bCs/>
                <w:color w:val="183E76"/>
                <w:sz w:val="18"/>
                <w:szCs w:val="18"/>
              </w:rPr>
            </w:pPr>
            <w:r w:rsidRPr="004A4B43">
              <w:rPr>
                <w:rFonts w:ascii="Helvetica" w:eastAsia="Times New Roman" w:hAnsi="Helvetica" w:cs="Helvetica"/>
                <w:b/>
                <w:bCs/>
                <w:color w:val="183E76"/>
                <w:sz w:val="18"/>
                <w:szCs w:val="18"/>
              </w:rPr>
              <w:t>Audience</w:t>
            </w:r>
          </w:p>
        </w:tc>
        <w:tc>
          <w:tcPr>
            <w:tcW w:w="0" w:type="auto"/>
            <w:tcMar>
              <w:top w:w="0" w:type="dxa"/>
              <w:left w:w="0" w:type="dxa"/>
              <w:bottom w:w="75" w:type="dxa"/>
              <w:right w:w="0" w:type="dxa"/>
            </w:tcMar>
            <w:hideMark/>
          </w:tcPr>
          <w:p w:rsidR="004A4B43" w:rsidRDefault="004A4B43" w:rsidP="004A4B43">
            <w:pPr>
              <w:spacing w:after="0" w:line="336" w:lineRule="atLeast"/>
              <w:rPr>
                <w:rFonts w:ascii="Helvetica" w:eastAsia="Times New Roman" w:hAnsi="Helvetica" w:cs="Helvetica"/>
                <w:color w:val="000000"/>
                <w:sz w:val="18"/>
                <w:szCs w:val="18"/>
              </w:rPr>
            </w:pPr>
            <w:r w:rsidRPr="004A4B43">
              <w:rPr>
                <w:rFonts w:ascii="Helvetica" w:eastAsia="Times New Roman" w:hAnsi="Helvetica" w:cs="Helvetica"/>
                <w:color w:val="000000"/>
                <w:sz w:val="18"/>
                <w:szCs w:val="18"/>
              </w:rPr>
              <w:t>Principals and Assistant Principals</w:t>
            </w:r>
          </w:p>
          <w:p w:rsidR="004A4B43" w:rsidRPr="004A4B43" w:rsidRDefault="004A4B43" w:rsidP="004A4B43">
            <w:pPr>
              <w:spacing w:after="0" w:line="336" w:lineRule="atLeast"/>
              <w:rPr>
                <w:rFonts w:ascii="Helvetica" w:eastAsia="Times New Roman" w:hAnsi="Helvetica" w:cs="Helvetica"/>
                <w:color w:val="000000"/>
                <w:sz w:val="18"/>
                <w:szCs w:val="18"/>
              </w:rPr>
            </w:pPr>
          </w:p>
        </w:tc>
      </w:tr>
    </w:tbl>
    <w:p w:rsidR="004A4B43" w:rsidRDefault="00C268C5">
      <w:hyperlink r:id="rId18" w:history="1">
        <w:r w:rsidR="004A4B43" w:rsidRPr="001934C9">
          <w:rPr>
            <w:rStyle w:val="Hyperlink"/>
          </w:rPr>
          <w:t>https://ctserc.org/events?trumbaEmbed=view%3Devent%26eventid%3D152235881</w:t>
        </w:r>
      </w:hyperlink>
    </w:p>
    <w:p w:rsidR="004A4B43" w:rsidRDefault="004A4B43"/>
    <w:sectPr w:rsidR="004A4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43"/>
    <w:rsid w:val="002115C1"/>
    <w:rsid w:val="004A4B43"/>
    <w:rsid w:val="00C2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06BA3-2BF6-4A8F-81A1-D0811038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4B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4B43"/>
    <w:rPr>
      <w:b/>
      <w:bCs/>
    </w:rPr>
  </w:style>
  <w:style w:type="character" w:styleId="Hyperlink">
    <w:name w:val="Hyperlink"/>
    <w:basedOn w:val="DefaultParagraphFont"/>
    <w:uiPriority w:val="99"/>
    <w:unhideWhenUsed/>
    <w:rsid w:val="004A4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2115">
      <w:bodyDiv w:val="1"/>
      <w:marLeft w:val="0"/>
      <w:marRight w:val="0"/>
      <w:marTop w:val="0"/>
      <w:marBottom w:val="0"/>
      <w:divBdr>
        <w:top w:val="none" w:sz="0" w:space="0" w:color="auto"/>
        <w:left w:val="none" w:sz="0" w:space="0" w:color="auto"/>
        <w:bottom w:val="none" w:sz="0" w:space="0" w:color="auto"/>
        <w:right w:val="none" w:sz="0" w:space="0" w:color="auto"/>
      </w:divBdr>
      <w:divsChild>
        <w:div w:id="1059674405">
          <w:marLeft w:val="0"/>
          <w:marRight w:val="0"/>
          <w:marTop w:val="0"/>
          <w:marBottom w:val="0"/>
          <w:divBdr>
            <w:top w:val="none" w:sz="0" w:space="0" w:color="auto"/>
            <w:left w:val="none" w:sz="0" w:space="0" w:color="auto"/>
            <w:bottom w:val="none" w:sz="0" w:space="0" w:color="auto"/>
            <w:right w:val="none" w:sz="0" w:space="0" w:color="auto"/>
          </w:divBdr>
        </w:div>
      </w:divsChild>
    </w:div>
    <w:div w:id="1168595894">
      <w:bodyDiv w:val="1"/>
      <w:marLeft w:val="0"/>
      <w:marRight w:val="0"/>
      <w:marTop w:val="0"/>
      <w:marBottom w:val="0"/>
      <w:divBdr>
        <w:top w:val="none" w:sz="0" w:space="0" w:color="auto"/>
        <w:left w:val="none" w:sz="0" w:space="0" w:color="auto"/>
        <w:bottom w:val="none" w:sz="0" w:space="0" w:color="auto"/>
        <w:right w:val="none" w:sz="0" w:space="0" w:color="auto"/>
      </w:divBdr>
      <w:divsChild>
        <w:div w:id="1253318138">
          <w:marLeft w:val="0"/>
          <w:marRight w:val="0"/>
          <w:marTop w:val="0"/>
          <w:marBottom w:val="0"/>
          <w:divBdr>
            <w:top w:val="none" w:sz="0" w:space="0" w:color="auto"/>
            <w:left w:val="none" w:sz="0" w:space="0" w:color="auto"/>
            <w:bottom w:val="none" w:sz="0" w:space="0" w:color="auto"/>
            <w:right w:val="none" w:sz="0" w:space="0" w:color="auto"/>
          </w:divBdr>
        </w:div>
      </w:divsChild>
    </w:div>
    <w:div w:id="1643928454">
      <w:bodyDiv w:val="1"/>
      <w:marLeft w:val="0"/>
      <w:marRight w:val="0"/>
      <w:marTop w:val="0"/>
      <w:marBottom w:val="0"/>
      <w:divBdr>
        <w:top w:val="none" w:sz="0" w:space="0" w:color="auto"/>
        <w:left w:val="none" w:sz="0" w:space="0" w:color="auto"/>
        <w:bottom w:val="none" w:sz="0" w:space="0" w:color="auto"/>
        <w:right w:val="none" w:sz="0" w:space="0" w:color="auto"/>
      </w:divBdr>
      <w:divsChild>
        <w:div w:id="404688707">
          <w:marLeft w:val="0"/>
          <w:marRight w:val="0"/>
          <w:marTop w:val="0"/>
          <w:marBottom w:val="0"/>
          <w:divBdr>
            <w:top w:val="none" w:sz="0" w:space="0" w:color="auto"/>
            <w:left w:val="none" w:sz="0" w:space="0" w:color="auto"/>
            <w:bottom w:val="none" w:sz="0" w:space="0" w:color="auto"/>
            <w:right w:val="none" w:sz="0" w:space="0" w:color="auto"/>
          </w:divBdr>
        </w:div>
      </w:divsChild>
    </w:div>
    <w:div w:id="1725062885">
      <w:bodyDiv w:val="1"/>
      <w:marLeft w:val="0"/>
      <w:marRight w:val="0"/>
      <w:marTop w:val="0"/>
      <w:marBottom w:val="0"/>
      <w:divBdr>
        <w:top w:val="none" w:sz="0" w:space="0" w:color="auto"/>
        <w:left w:val="none" w:sz="0" w:space="0" w:color="auto"/>
        <w:bottom w:val="none" w:sz="0" w:space="0" w:color="auto"/>
        <w:right w:val="none" w:sz="0" w:space="0" w:color="auto"/>
      </w:divBdr>
      <w:divsChild>
        <w:div w:id="626816478">
          <w:marLeft w:val="0"/>
          <w:marRight w:val="0"/>
          <w:marTop w:val="0"/>
          <w:marBottom w:val="0"/>
          <w:divBdr>
            <w:top w:val="none" w:sz="0" w:space="0" w:color="auto"/>
            <w:left w:val="none" w:sz="0" w:space="0" w:color="auto"/>
            <w:bottom w:val="none" w:sz="0" w:space="0" w:color="auto"/>
            <w:right w:val="none" w:sz="0" w:space="0" w:color="auto"/>
          </w:divBdr>
        </w:div>
      </w:divsChild>
    </w:div>
    <w:div w:id="1878156851">
      <w:bodyDiv w:val="1"/>
      <w:marLeft w:val="0"/>
      <w:marRight w:val="0"/>
      <w:marTop w:val="0"/>
      <w:marBottom w:val="0"/>
      <w:divBdr>
        <w:top w:val="none" w:sz="0" w:space="0" w:color="auto"/>
        <w:left w:val="none" w:sz="0" w:space="0" w:color="auto"/>
        <w:bottom w:val="none" w:sz="0" w:space="0" w:color="auto"/>
        <w:right w:val="none" w:sz="0" w:space="0" w:color="auto"/>
      </w:divBdr>
      <w:divsChild>
        <w:div w:id="180973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asquez@ctserc.org" TargetMode="External"/><Relationship Id="rId13" Type="http://schemas.openxmlformats.org/officeDocument/2006/relationships/hyperlink" Target="mailto:hendry@ctserc.org" TargetMode="External"/><Relationship Id="rId18" Type="http://schemas.openxmlformats.org/officeDocument/2006/relationships/hyperlink" Target="https://ctserc.org/events?trumbaEmbed=view%3Devent%26eventid%3D152235881" TargetMode="External"/><Relationship Id="rId3" Type="http://schemas.openxmlformats.org/officeDocument/2006/relationships/webSettings" Target="webSettings.xml"/><Relationship Id="rId7" Type="http://schemas.openxmlformats.org/officeDocument/2006/relationships/hyperlink" Target="mailto:hendry@ctserc.org" TargetMode="External"/><Relationship Id="rId12" Type="http://schemas.openxmlformats.org/officeDocument/2006/relationships/hyperlink" Target="https://ctserc.org/events?trumbaEmbed=view%3Devent%26eventid%3D152235787" TargetMode="External"/><Relationship Id="rId17" Type="http://schemas.openxmlformats.org/officeDocument/2006/relationships/hyperlink" Target="mailto:velasquez@ctserc.org" TargetMode="External"/><Relationship Id="rId2" Type="http://schemas.openxmlformats.org/officeDocument/2006/relationships/settings" Target="settings.xml"/><Relationship Id="rId16" Type="http://schemas.openxmlformats.org/officeDocument/2006/relationships/hyperlink" Target="mailto:hendry@ctserc.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tserc.org/events?trumbaEmbed=view%3Devent%26eventid%3D152235150" TargetMode="External"/><Relationship Id="rId11" Type="http://schemas.openxmlformats.org/officeDocument/2006/relationships/hyperlink" Target="mailto:velasquez@ctserc.org" TargetMode="External"/><Relationship Id="rId5" Type="http://schemas.openxmlformats.org/officeDocument/2006/relationships/hyperlink" Target="mailto:velasquez@ctserc.org" TargetMode="External"/><Relationship Id="rId15" Type="http://schemas.openxmlformats.org/officeDocument/2006/relationships/hyperlink" Target="https://ctserc.org/events?trumbaEmbed=view%3Devent%26eventid%3D152235856" TargetMode="External"/><Relationship Id="rId10" Type="http://schemas.openxmlformats.org/officeDocument/2006/relationships/hyperlink" Target="mailto:hendry@ctserc.org" TargetMode="External"/><Relationship Id="rId19" Type="http://schemas.openxmlformats.org/officeDocument/2006/relationships/fontTable" Target="fontTable.xml"/><Relationship Id="rId4" Type="http://schemas.openxmlformats.org/officeDocument/2006/relationships/hyperlink" Target="mailto:hendry@ctserc.org" TargetMode="External"/><Relationship Id="rId9" Type="http://schemas.openxmlformats.org/officeDocument/2006/relationships/hyperlink" Target="https://ctserc.org/events?trumbaEmbed=view%3Devent%26eventid%3D152235688" TargetMode="External"/><Relationship Id="rId14" Type="http://schemas.openxmlformats.org/officeDocument/2006/relationships/hyperlink" Target="mailto:velasquez@ctse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Nicole</dc:creator>
  <cp:keywords/>
  <dc:description/>
  <cp:lastModifiedBy>Brown, Jay</cp:lastModifiedBy>
  <cp:revision>2</cp:revision>
  <dcterms:created xsi:type="dcterms:W3CDTF">2021-04-14T15:19:00Z</dcterms:created>
  <dcterms:modified xsi:type="dcterms:W3CDTF">2021-04-14T15:19:00Z</dcterms:modified>
</cp:coreProperties>
</file>