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228BD" w14:textId="77777777" w:rsidR="007E779C" w:rsidRDefault="007E779C" w:rsidP="007E779C">
      <w:pPr>
        <w:jc w:val="center"/>
      </w:pPr>
    </w:p>
    <w:p w14:paraId="2F51C895" w14:textId="77777777" w:rsidR="007E779C" w:rsidRDefault="007E779C" w:rsidP="007E779C">
      <w:pPr>
        <w:jc w:val="center"/>
      </w:pPr>
    </w:p>
    <w:p w14:paraId="6F88C183" w14:textId="77777777" w:rsidR="007E779C" w:rsidRDefault="007E779C" w:rsidP="007E779C">
      <w:pPr>
        <w:jc w:val="center"/>
      </w:pPr>
    </w:p>
    <w:p w14:paraId="6C74A012" w14:textId="77777777" w:rsidR="007E779C" w:rsidRDefault="007E779C" w:rsidP="007E779C">
      <w:pPr>
        <w:jc w:val="center"/>
      </w:pPr>
    </w:p>
    <w:p w14:paraId="512DB884" w14:textId="77777777" w:rsidR="007E779C" w:rsidRDefault="007E779C" w:rsidP="007E779C">
      <w:pPr>
        <w:jc w:val="center"/>
      </w:pPr>
    </w:p>
    <w:p w14:paraId="620C8208" w14:textId="77777777" w:rsidR="007E779C" w:rsidRDefault="007E779C" w:rsidP="007E779C">
      <w:pPr>
        <w:jc w:val="center"/>
      </w:pPr>
    </w:p>
    <w:p w14:paraId="14E56432" w14:textId="77777777" w:rsidR="007E779C" w:rsidRDefault="007E779C" w:rsidP="007E779C">
      <w:pPr>
        <w:jc w:val="center"/>
      </w:pPr>
    </w:p>
    <w:p w14:paraId="3F418C3C" w14:textId="77777777" w:rsidR="007E779C" w:rsidRDefault="007E779C" w:rsidP="007E779C">
      <w:pPr>
        <w:jc w:val="center"/>
      </w:pPr>
    </w:p>
    <w:p w14:paraId="50ADAADE" w14:textId="77777777" w:rsidR="007E779C" w:rsidRDefault="007E779C" w:rsidP="007E779C">
      <w:pPr>
        <w:jc w:val="center"/>
      </w:pPr>
    </w:p>
    <w:p w14:paraId="3180F505" w14:textId="77777777" w:rsidR="0032660B" w:rsidRDefault="0032660B" w:rsidP="007E779C">
      <w:pPr>
        <w:jc w:val="center"/>
      </w:pPr>
    </w:p>
    <w:p w14:paraId="3B4489A6" w14:textId="77777777" w:rsidR="0032660B" w:rsidRDefault="0032660B" w:rsidP="007E779C">
      <w:pPr>
        <w:jc w:val="center"/>
      </w:pPr>
    </w:p>
    <w:p w14:paraId="4F616E0F" w14:textId="77777777" w:rsidR="0032660B" w:rsidRDefault="0032660B" w:rsidP="007E779C">
      <w:pPr>
        <w:jc w:val="center"/>
      </w:pPr>
    </w:p>
    <w:p w14:paraId="67C81D99" w14:textId="77777777" w:rsidR="007E779C" w:rsidRDefault="007E779C" w:rsidP="007E779C">
      <w:pPr>
        <w:jc w:val="center"/>
      </w:pPr>
    </w:p>
    <w:p w14:paraId="032462DC" w14:textId="77777777" w:rsidR="007E779C" w:rsidRDefault="007E779C" w:rsidP="007E779C">
      <w:pPr>
        <w:jc w:val="center"/>
      </w:pPr>
    </w:p>
    <w:p w14:paraId="25F13118" w14:textId="77777777" w:rsidR="007E779C" w:rsidRDefault="007E779C" w:rsidP="007E779C">
      <w:pPr>
        <w:jc w:val="center"/>
      </w:pPr>
    </w:p>
    <w:p w14:paraId="30F52EC7" w14:textId="77777777" w:rsidR="00AE7173" w:rsidRDefault="00AE7173" w:rsidP="007E779C">
      <w:pPr>
        <w:jc w:val="center"/>
        <w:rPr>
          <w:rFonts w:asciiTheme="majorHAnsi" w:hAnsiTheme="majorHAnsi" w:cstheme="majorHAnsi"/>
          <w:color w:val="2E74B5" w:themeColor="accent1" w:themeShade="BF"/>
          <w:sz w:val="48"/>
          <w:szCs w:val="48"/>
        </w:rPr>
      </w:pPr>
    </w:p>
    <w:p w14:paraId="49105698" w14:textId="77777777" w:rsidR="0032660B" w:rsidRDefault="0045200F" w:rsidP="007E779C">
      <w:pPr>
        <w:jc w:val="center"/>
        <w:rPr>
          <w:rFonts w:asciiTheme="majorHAnsi" w:hAnsiTheme="majorHAnsi" w:cstheme="majorHAnsi"/>
          <w:color w:val="2E74B5" w:themeColor="accent1" w:themeShade="BF"/>
          <w:sz w:val="48"/>
          <w:szCs w:val="48"/>
        </w:rPr>
      </w:pPr>
      <w:r>
        <w:rPr>
          <w:rFonts w:asciiTheme="majorHAnsi" w:hAnsiTheme="majorHAnsi" w:cstheme="majorHAnsi"/>
          <w:color w:val="2E74B5" w:themeColor="accent1" w:themeShade="BF"/>
          <w:sz w:val="48"/>
          <w:szCs w:val="48"/>
        </w:rPr>
        <w:t>Renewable Portfolio Standar</w:t>
      </w:r>
      <w:r w:rsidR="002001A5">
        <w:rPr>
          <w:rFonts w:asciiTheme="majorHAnsi" w:hAnsiTheme="majorHAnsi" w:cstheme="majorHAnsi"/>
          <w:color w:val="2E74B5" w:themeColor="accent1" w:themeShade="BF"/>
          <w:sz w:val="48"/>
          <w:szCs w:val="48"/>
        </w:rPr>
        <w:t>d</w:t>
      </w:r>
      <w:r>
        <w:rPr>
          <w:rFonts w:asciiTheme="majorHAnsi" w:hAnsiTheme="majorHAnsi" w:cstheme="majorHAnsi"/>
          <w:color w:val="2E74B5" w:themeColor="accent1" w:themeShade="BF"/>
          <w:sz w:val="48"/>
          <w:szCs w:val="48"/>
        </w:rPr>
        <w:t>s</w:t>
      </w:r>
    </w:p>
    <w:p w14:paraId="12D6D7F1" w14:textId="77777777" w:rsidR="007E779C" w:rsidRPr="00B96862" w:rsidRDefault="007E779C" w:rsidP="007E779C">
      <w:pPr>
        <w:jc w:val="center"/>
        <w:rPr>
          <w:rFonts w:asciiTheme="majorHAnsi" w:hAnsiTheme="majorHAnsi" w:cstheme="majorHAnsi"/>
          <w:color w:val="2E74B5" w:themeColor="accent1" w:themeShade="BF"/>
          <w:sz w:val="48"/>
          <w:szCs w:val="48"/>
        </w:rPr>
      </w:pPr>
    </w:p>
    <w:p w14:paraId="0E47770B" w14:textId="2416EBE7" w:rsidR="007E779C" w:rsidRDefault="007E779C" w:rsidP="007E779C">
      <w:pPr>
        <w:jc w:val="center"/>
        <w:rPr>
          <w:rFonts w:asciiTheme="majorHAnsi" w:hAnsiTheme="majorHAnsi" w:cstheme="majorHAnsi"/>
          <w:color w:val="2E74B5" w:themeColor="accent1" w:themeShade="BF"/>
          <w:sz w:val="32"/>
          <w:szCs w:val="32"/>
        </w:rPr>
      </w:pPr>
    </w:p>
    <w:p w14:paraId="66AE8BA1" w14:textId="77777777" w:rsidR="00DC4FD0" w:rsidRDefault="00DC4FD0" w:rsidP="007E779C">
      <w:pPr>
        <w:jc w:val="center"/>
        <w:rPr>
          <w:rFonts w:asciiTheme="majorHAnsi" w:hAnsiTheme="majorHAnsi" w:cstheme="majorHAnsi"/>
          <w:color w:val="2E74B5" w:themeColor="accent1" w:themeShade="BF"/>
          <w:sz w:val="32"/>
          <w:szCs w:val="32"/>
        </w:rPr>
      </w:pPr>
    </w:p>
    <w:p w14:paraId="512F86E3" w14:textId="77777777" w:rsidR="00DC4FD0" w:rsidRDefault="00DC4FD0" w:rsidP="007E779C">
      <w:pPr>
        <w:jc w:val="center"/>
        <w:rPr>
          <w:rFonts w:asciiTheme="majorHAnsi" w:hAnsiTheme="majorHAnsi" w:cstheme="majorHAnsi"/>
          <w:color w:val="2E74B5" w:themeColor="accent1" w:themeShade="BF"/>
          <w:sz w:val="32"/>
          <w:szCs w:val="32"/>
        </w:rPr>
      </w:pPr>
    </w:p>
    <w:p w14:paraId="2756A5C8" w14:textId="77777777" w:rsidR="00DC4FD0" w:rsidRDefault="00DC4FD0" w:rsidP="007E779C">
      <w:pPr>
        <w:jc w:val="center"/>
        <w:rPr>
          <w:rFonts w:asciiTheme="majorHAnsi" w:hAnsiTheme="majorHAnsi" w:cstheme="majorHAnsi"/>
          <w:color w:val="2E74B5" w:themeColor="accent1" w:themeShade="BF"/>
          <w:sz w:val="32"/>
          <w:szCs w:val="32"/>
        </w:rPr>
      </w:pPr>
    </w:p>
    <w:p w14:paraId="4222B20A" w14:textId="77777777" w:rsidR="002F3F38" w:rsidRDefault="002F3F38" w:rsidP="0032660B"/>
    <w:p w14:paraId="4814EEF1" w14:textId="77777777" w:rsidR="002F3F38" w:rsidRDefault="002F3F38" w:rsidP="0032660B"/>
    <w:p w14:paraId="661F6E10" w14:textId="77777777" w:rsidR="002F3F38" w:rsidRDefault="002F3F38" w:rsidP="0032660B"/>
    <w:p w14:paraId="5ECE45D6" w14:textId="77777777" w:rsidR="002F3F38" w:rsidRDefault="002F3F38" w:rsidP="0032660B"/>
    <w:p w14:paraId="2A59FD68" w14:textId="77777777" w:rsidR="002F3F38" w:rsidRDefault="002F3F38" w:rsidP="0032660B"/>
    <w:p w14:paraId="595B5060" w14:textId="77777777" w:rsidR="002F3F38" w:rsidRDefault="002F3F38" w:rsidP="0032660B"/>
    <w:p w14:paraId="1F276BA9" w14:textId="77777777" w:rsidR="002F3F38" w:rsidRDefault="002F3F38" w:rsidP="0032660B"/>
    <w:p w14:paraId="465A04BE" w14:textId="77777777" w:rsidR="002F3F38" w:rsidRDefault="002F3F38" w:rsidP="0032660B"/>
    <w:p w14:paraId="0674B868" w14:textId="77777777" w:rsidR="002F3F38" w:rsidRDefault="002F3F38" w:rsidP="0032660B"/>
    <w:p w14:paraId="46D316EB" w14:textId="77777777" w:rsidR="002F3F38" w:rsidRDefault="002F3F38" w:rsidP="0032660B"/>
    <w:p w14:paraId="2B23047F" w14:textId="77777777" w:rsidR="002F3F38" w:rsidRDefault="002F3F38" w:rsidP="0032660B"/>
    <w:p w14:paraId="79704EC8" w14:textId="77777777" w:rsidR="00D03B90" w:rsidRDefault="00D03B90" w:rsidP="0032660B"/>
    <w:p w14:paraId="648B35E8" w14:textId="77777777" w:rsidR="00D03B90" w:rsidRDefault="00D03B90" w:rsidP="0032660B"/>
    <w:p w14:paraId="4B9FEACF" w14:textId="77777777" w:rsidR="00D03B90" w:rsidRDefault="00D03B90" w:rsidP="0032660B"/>
    <w:p w14:paraId="50FFE5C2" w14:textId="77777777" w:rsidR="00D03B90" w:rsidRDefault="00D03B90" w:rsidP="0032660B"/>
    <w:p w14:paraId="041E2629" w14:textId="77777777" w:rsidR="00D03B90" w:rsidRDefault="00D03B90" w:rsidP="0032660B"/>
    <w:p w14:paraId="13AAAED7" w14:textId="77777777" w:rsidR="00D03B90" w:rsidRDefault="00D03B90" w:rsidP="0032660B"/>
    <w:p w14:paraId="16022D93" w14:textId="77777777" w:rsidR="00D03B90" w:rsidRDefault="00D03B90" w:rsidP="0032660B"/>
    <w:p w14:paraId="6C9B0E1B" w14:textId="77777777" w:rsidR="00D03B90" w:rsidRDefault="00D03B90" w:rsidP="0032660B"/>
    <w:p w14:paraId="13791A5F" w14:textId="77777777" w:rsidR="00D03B90" w:rsidRDefault="00D03B90" w:rsidP="0032660B"/>
    <w:p w14:paraId="27F56C08" w14:textId="77777777" w:rsidR="00D03B90" w:rsidRDefault="00D03B90" w:rsidP="0032660B"/>
    <w:p w14:paraId="0D3E2741" w14:textId="75B7DCAE" w:rsidR="007E779C" w:rsidRDefault="00AF4C93">
      <w:r>
        <w:t xml:space="preserve">Last edit </w:t>
      </w:r>
      <w:r w:rsidR="000B20C9">
        <w:t>3/31/23</w:t>
      </w:r>
      <w:r w:rsidR="007E779C">
        <w:br w:type="page"/>
      </w:r>
    </w:p>
    <w:sdt>
      <w:sdtPr>
        <w:rPr>
          <w:rFonts w:asciiTheme="minorHAnsi" w:eastAsiaTheme="minorHAnsi" w:hAnsiTheme="minorHAnsi" w:cstheme="minorBidi"/>
          <w:b w:val="0"/>
          <w:bCs w:val="0"/>
          <w:color w:val="auto"/>
          <w:sz w:val="22"/>
          <w:szCs w:val="22"/>
          <w:lang w:eastAsia="en-US"/>
        </w:rPr>
        <w:id w:val="-1922090404"/>
        <w:docPartObj>
          <w:docPartGallery w:val="Table of Contents"/>
          <w:docPartUnique/>
        </w:docPartObj>
      </w:sdtPr>
      <w:sdtEndPr>
        <w:rPr>
          <w:noProof/>
        </w:rPr>
      </w:sdtEndPr>
      <w:sdtContent>
        <w:p w14:paraId="2474B2DF" w14:textId="77777777" w:rsidR="00370CDB" w:rsidRDefault="00370CDB">
          <w:pPr>
            <w:pStyle w:val="TOCHeading"/>
            <w:rPr>
              <w:rFonts w:asciiTheme="minorHAnsi" w:eastAsiaTheme="minorHAnsi" w:hAnsiTheme="minorHAnsi" w:cstheme="minorBidi"/>
              <w:b w:val="0"/>
              <w:bCs w:val="0"/>
              <w:color w:val="auto"/>
              <w:sz w:val="22"/>
              <w:szCs w:val="22"/>
              <w:lang w:eastAsia="en-US"/>
            </w:rPr>
          </w:pPr>
        </w:p>
        <w:p w14:paraId="2BFEC8B7" w14:textId="77777777" w:rsidR="00BE4F1A" w:rsidRDefault="00BE4F1A">
          <w:pPr>
            <w:pStyle w:val="TOCHeading"/>
          </w:pPr>
          <w:r>
            <w:t>Contents</w:t>
          </w:r>
        </w:p>
        <w:p w14:paraId="2F459482" w14:textId="0EC66B1E" w:rsidR="00B6006C" w:rsidRDefault="00BE4F1A">
          <w:pPr>
            <w:pStyle w:val="TOC1"/>
            <w:tabs>
              <w:tab w:val="right" w:leader="dot" w:pos="10214"/>
            </w:tabs>
            <w:rPr>
              <w:rFonts w:eastAsiaTheme="minorEastAsia"/>
              <w:noProof/>
            </w:rPr>
          </w:pPr>
          <w:r>
            <w:fldChar w:fldCharType="begin"/>
          </w:r>
          <w:r>
            <w:instrText xml:space="preserve"> TOC \o "1-3" \h \z \u </w:instrText>
          </w:r>
          <w:r>
            <w:fldChar w:fldCharType="separate"/>
          </w:r>
          <w:hyperlink w:anchor="_Toc131170499" w:history="1">
            <w:r w:rsidR="00B6006C" w:rsidRPr="00883A0E">
              <w:rPr>
                <w:rStyle w:val="Hyperlink"/>
                <w:noProof/>
              </w:rPr>
              <w:t>General</w:t>
            </w:r>
            <w:r w:rsidR="00B6006C">
              <w:rPr>
                <w:noProof/>
                <w:webHidden/>
              </w:rPr>
              <w:tab/>
            </w:r>
            <w:r w:rsidR="00B6006C">
              <w:rPr>
                <w:noProof/>
                <w:webHidden/>
              </w:rPr>
              <w:fldChar w:fldCharType="begin"/>
            </w:r>
            <w:r w:rsidR="00B6006C">
              <w:rPr>
                <w:noProof/>
                <w:webHidden/>
              </w:rPr>
              <w:instrText xml:space="preserve"> PAGEREF _Toc131170499 \h </w:instrText>
            </w:r>
            <w:r w:rsidR="00B6006C">
              <w:rPr>
                <w:noProof/>
                <w:webHidden/>
              </w:rPr>
            </w:r>
            <w:r w:rsidR="00B6006C">
              <w:rPr>
                <w:noProof/>
                <w:webHidden/>
              </w:rPr>
              <w:fldChar w:fldCharType="separate"/>
            </w:r>
            <w:r w:rsidR="00B6006C">
              <w:rPr>
                <w:noProof/>
                <w:webHidden/>
              </w:rPr>
              <w:t>3</w:t>
            </w:r>
            <w:r w:rsidR="00B6006C">
              <w:rPr>
                <w:noProof/>
                <w:webHidden/>
              </w:rPr>
              <w:fldChar w:fldCharType="end"/>
            </w:r>
          </w:hyperlink>
        </w:p>
        <w:p w14:paraId="1B5F11A6" w14:textId="26B454FF" w:rsidR="00B6006C" w:rsidRDefault="00157AE7">
          <w:pPr>
            <w:pStyle w:val="TOC1"/>
            <w:tabs>
              <w:tab w:val="right" w:leader="dot" w:pos="10214"/>
            </w:tabs>
            <w:rPr>
              <w:rFonts w:eastAsiaTheme="minorEastAsia"/>
              <w:noProof/>
            </w:rPr>
          </w:pPr>
          <w:hyperlink w:anchor="_Toc131170500" w:history="1">
            <w:r w:rsidR="00B6006C" w:rsidRPr="00883A0E">
              <w:rPr>
                <w:rStyle w:val="Hyperlink"/>
                <w:noProof/>
              </w:rPr>
              <w:t>Frequently Asked Questions</w:t>
            </w:r>
            <w:r w:rsidR="00B6006C">
              <w:rPr>
                <w:noProof/>
                <w:webHidden/>
              </w:rPr>
              <w:tab/>
            </w:r>
            <w:r w:rsidR="00B6006C">
              <w:rPr>
                <w:noProof/>
                <w:webHidden/>
              </w:rPr>
              <w:fldChar w:fldCharType="begin"/>
            </w:r>
            <w:r w:rsidR="00B6006C">
              <w:rPr>
                <w:noProof/>
                <w:webHidden/>
              </w:rPr>
              <w:instrText xml:space="preserve"> PAGEREF _Toc131170500 \h </w:instrText>
            </w:r>
            <w:r w:rsidR="00B6006C">
              <w:rPr>
                <w:noProof/>
                <w:webHidden/>
              </w:rPr>
            </w:r>
            <w:r w:rsidR="00B6006C">
              <w:rPr>
                <w:noProof/>
                <w:webHidden/>
              </w:rPr>
              <w:fldChar w:fldCharType="separate"/>
            </w:r>
            <w:r w:rsidR="00B6006C">
              <w:rPr>
                <w:noProof/>
                <w:webHidden/>
              </w:rPr>
              <w:t>4</w:t>
            </w:r>
            <w:r w:rsidR="00B6006C">
              <w:rPr>
                <w:noProof/>
                <w:webHidden/>
              </w:rPr>
              <w:fldChar w:fldCharType="end"/>
            </w:r>
          </w:hyperlink>
        </w:p>
        <w:p w14:paraId="2934DFA7" w14:textId="3A35C861" w:rsidR="00B6006C" w:rsidRDefault="00157AE7">
          <w:pPr>
            <w:pStyle w:val="TOC1"/>
            <w:tabs>
              <w:tab w:val="right" w:leader="dot" w:pos="10214"/>
            </w:tabs>
            <w:rPr>
              <w:rFonts w:eastAsiaTheme="minorEastAsia"/>
              <w:noProof/>
            </w:rPr>
          </w:pPr>
          <w:hyperlink w:anchor="_Toc131170501" w:history="1">
            <w:r w:rsidR="00B6006C" w:rsidRPr="00883A0E">
              <w:rPr>
                <w:rStyle w:val="Hyperlink"/>
                <w:noProof/>
              </w:rPr>
              <w:t>Class I, II and III Renewable Energy Sources</w:t>
            </w:r>
            <w:r w:rsidR="00B6006C">
              <w:rPr>
                <w:noProof/>
                <w:webHidden/>
              </w:rPr>
              <w:tab/>
            </w:r>
            <w:r w:rsidR="00B6006C">
              <w:rPr>
                <w:noProof/>
                <w:webHidden/>
              </w:rPr>
              <w:fldChar w:fldCharType="begin"/>
            </w:r>
            <w:r w:rsidR="00B6006C">
              <w:rPr>
                <w:noProof/>
                <w:webHidden/>
              </w:rPr>
              <w:instrText xml:space="preserve"> PAGEREF _Toc131170501 \h </w:instrText>
            </w:r>
            <w:r w:rsidR="00B6006C">
              <w:rPr>
                <w:noProof/>
                <w:webHidden/>
              </w:rPr>
            </w:r>
            <w:r w:rsidR="00B6006C">
              <w:rPr>
                <w:noProof/>
                <w:webHidden/>
              </w:rPr>
              <w:fldChar w:fldCharType="separate"/>
            </w:r>
            <w:r w:rsidR="00B6006C">
              <w:rPr>
                <w:noProof/>
                <w:webHidden/>
              </w:rPr>
              <w:t>6</w:t>
            </w:r>
            <w:r w:rsidR="00B6006C">
              <w:rPr>
                <w:noProof/>
                <w:webHidden/>
              </w:rPr>
              <w:fldChar w:fldCharType="end"/>
            </w:r>
          </w:hyperlink>
        </w:p>
        <w:p w14:paraId="6C74D50B" w14:textId="0C4E050F" w:rsidR="00B6006C" w:rsidRDefault="00157AE7">
          <w:pPr>
            <w:pStyle w:val="TOC1"/>
            <w:tabs>
              <w:tab w:val="right" w:leader="dot" w:pos="10214"/>
            </w:tabs>
            <w:rPr>
              <w:rFonts w:eastAsiaTheme="minorEastAsia"/>
              <w:noProof/>
            </w:rPr>
          </w:pPr>
          <w:hyperlink w:anchor="_Toc131170502" w:history="1">
            <w:r w:rsidR="00B6006C" w:rsidRPr="00883A0E">
              <w:rPr>
                <w:rStyle w:val="Hyperlink"/>
                <w:noProof/>
                <w:lang w:val="en"/>
              </w:rPr>
              <w:t>New England Power Pool Generation Information System (NEPOOL GIS)</w:t>
            </w:r>
            <w:r w:rsidR="00B6006C">
              <w:rPr>
                <w:noProof/>
                <w:webHidden/>
              </w:rPr>
              <w:tab/>
            </w:r>
            <w:r w:rsidR="00B6006C">
              <w:rPr>
                <w:noProof/>
                <w:webHidden/>
              </w:rPr>
              <w:fldChar w:fldCharType="begin"/>
            </w:r>
            <w:r w:rsidR="00B6006C">
              <w:rPr>
                <w:noProof/>
                <w:webHidden/>
              </w:rPr>
              <w:instrText xml:space="preserve"> PAGEREF _Toc131170502 \h </w:instrText>
            </w:r>
            <w:r w:rsidR="00B6006C">
              <w:rPr>
                <w:noProof/>
                <w:webHidden/>
              </w:rPr>
            </w:r>
            <w:r w:rsidR="00B6006C">
              <w:rPr>
                <w:noProof/>
                <w:webHidden/>
              </w:rPr>
              <w:fldChar w:fldCharType="separate"/>
            </w:r>
            <w:r w:rsidR="00B6006C">
              <w:rPr>
                <w:noProof/>
                <w:webHidden/>
              </w:rPr>
              <w:t>7</w:t>
            </w:r>
            <w:r w:rsidR="00B6006C">
              <w:rPr>
                <w:noProof/>
                <w:webHidden/>
              </w:rPr>
              <w:fldChar w:fldCharType="end"/>
            </w:r>
          </w:hyperlink>
        </w:p>
        <w:p w14:paraId="591DFCDB" w14:textId="1F243C7A" w:rsidR="00B6006C" w:rsidRDefault="00157AE7">
          <w:pPr>
            <w:pStyle w:val="TOC2"/>
            <w:tabs>
              <w:tab w:val="right" w:leader="dot" w:pos="10214"/>
            </w:tabs>
            <w:rPr>
              <w:rFonts w:eastAsiaTheme="minorEastAsia"/>
              <w:noProof/>
            </w:rPr>
          </w:pPr>
          <w:hyperlink w:anchor="_Toc131170503" w:history="1">
            <w:r w:rsidR="00B6006C" w:rsidRPr="00883A0E">
              <w:rPr>
                <w:rStyle w:val="Hyperlink"/>
                <w:noProof/>
                <w:lang w:val="en"/>
              </w:rPr>
              <w:t>General</w:t>
            </w:r>
            <w:r w:rsidR="00B6006C">
              <w:rPr>
                <w:noProof/>
                <w:webHidden/>
              </w:rPr>
              <w:tab/>
            </w:r>
            <w:r w:rsidR="00B6006C">
              <w:rPr>
                <w:noProof/>
                <w:webHidden/>
              </w:rPr>
              <w:fldChar w:fldCharType="begin"/>
            </w:r>
            <w:r w:rsidR="00B6006C">
              <w:rPr>
                <w:noProof/>
                <w:webHidden/>
              </w:rPr>
              <w:instrText xml:space="preserve"> PAGEREF _Toc131170503 \h </w:instrText>
            </w:r>
            <w:r w:rsidR="00B6006C">
              <w:rPr>
                <w:noProof/>
                <w:webHidden/>
              </w:rPr>
            </w:r>
            <w:r w:rsidR="00B6006C">
              <w:rPr>
                <w:noProof/>
                <w:webHidden/>
              </w:rPr>
              <w:fldChar w:fldCharType="separate"/>
            </w:r>
            <w:r w:rsidR="00B6006C">
              <w:rPr>
                <w:noProof/>
                <w:webHidden/>
              </w:rPr>
              <w:t>7</w:t>
            </w:r>
            <w:r w:rsidR="00B6006C">
              <w:rPr>
                <w:noProof/>
                <w:webHidden/>
              </w:rPr>
              <w:fldChar w:fldCharType="end"/>
            </w:r>
          </w:hyperlink>
        </w:p>
        <w:p w14:paraId="6E7A531E" w14:textId="051F6095" w:rsidR="00B6006C" w:rsidRDefault="00157AE7">
          <w:pPr>
            <w:pStyle w:val="TOC2"/>
            <w:tabs>
              <w:tab w:val="right" w:leader="dot" w:pos="10214"/>
            </w:tabs>
            <w:rPr>
              <w:rFonts w:eastAsiaTheme="minorEastAsia"/>
              <w:noProof/>
            </w:rPr>
          </w:pPr>
          <w:hyperlink w:anchor="_Toc131170504" w:history="1">
            <w:r w:rsidR="00B6006C" w:rsidRPr="00883A0E">
              <w:rPr>
                <w:rStyle w:val="Hyperlink"/>
                <w:noProof/>
                <w:lang w:val="en"/>
              </w:rPr>
              <w:t>Renewable Energy Certificates - REC</w:t>
            </w:r>
            <w:r w:rsidR="00B6006C">
              <w:rPr>
                <w:noProof/>
                <w:webHidden/>
              </w:rPr>
              <w:tab/>
            </w:r>
            <w:r w:rsidR="00B6006C">
              <w:rPr>
                <w:noProof/>
                <w:webHidden/>
              </w:rPr>
              <w:fldChar w:fldCharType="begin"/>
            </w:r>
            <w:r w:rsidR="00B6006C">
              <w:rPr>
                <w:noProof/>
                <w:webHidden/>
              </w:rPr>
              <w:instrText xml:space="preserve"> PAGEREF _Toc131170504 \h </w:instrText>
            </w:r>
            <w:r w:rsidR="00B6006C">
              <w:rPr>
                <w:noProof/>
                <w:webHidden/>
              </w:rPr>
            </w:r>
            <w:r w:rsidR="00B6006C">
              <w:rPr>
                <w:noProof/>
                <w:webHidden/>
              </w:rPr>
              <w:fldChar w:fldCharType="separate"/>
            </w:r>
            <w:r w:rsidR="00B6006C">
              <w:rPr>
                <w:noProof/>
                <w:webHidden/>
              </w:rPr>
              <w:t>7</w:t>
            </w:r>
            <w:r w:rsidR="00B6006C">
              <w:rPr>
                <w:noProof/>
                <w:webHidden/>
              </w:rPr>
              <w:fldChar w:fldCharType="end"/>
            </w:r>
          </w:hyperlink>
        </w:p>
        <w:p w14:paraId="65D3A5E0" w14:textId="5E324C1B" w:rsidR="00B6006C" w:rsidRDefault="00157AE7">
          <w:pPr>
            <w:pStyle w:val="TOC2"/>
            <w:tabs>
              <w:tab w:val="right" w:leader="dot" w:pos="10214"/>
            </w:tabs>
            <w:rPr>
              <w:rFonts w:eastAsiaTheme="minorEastAsia"/>
              <w:noProof/>
            </w:rPr>
          </w:pPr>
          <w:hyperlink w:anchor="_Toc131170505" w:history="1">
            <w:r w:rsidR="00B6006C" w:rsidRPr="00883A0E">
              <w:rPr>
                <w:rStyle w:val="Hyperlink"/>
                <w:noProof/>
              </w:rPr>
              <w:t>REC Creation &amp; Trading Periods</w:t>
            </w:r>
            <w:r w:rsidR="00B6006C">
              <w:rPr>
                <w:noProof/>
                <w:webHidden/>
              </w:rPr>
              <w:tab/>
            </w:r>
            <w:r w:rsidR="00B6006C">
              <w:rPr>
                <w:noProof/>
                <w:webHidden/>
              </w:rPr>
              <w:fldChar w:fldCharType="begin"/>
            </w:r>
            <w:r w:rsidR="00B6006C">
              <w:rPr>
                <w:noProof/>
                <w:webHidden/>
              </w:rPr>
              <w:instrText xml:space="preserve"> PAGEREF _Toc131170505 \h </w:instrText>
            </w:r>
            <w:r w:rsidR="00B6006C">
              <w:rPr>
                <w:noProof/>
                <w:webHidden/>
              </w:rPr>
            </w:r>
            <w:r w:rsidR="00B6006C">
              <w:rPr>
                <w:noProof/>
                <w:webHidden/>
              </w:rPr>
              <w:fldChar w:fldCharType="separate"/>
            </w:r>
            <w:r w:rsidR="00B6006C">
              <w:rPr>
                <w:noProof/>
                <w:webHidden/>
              </w:rPr>
              <w:t>7</w:t>
            </w:r>
            <w:r w:rsidR="00B6006C">
              <w:rPr>
                <w:noProof/>
                <w:webHidden/>
              </w:rPr>
              <w:fldChar w:fldCharType="end"/>
            </w:r>
          </w:hyperlink>
        </w:p>
        <w:p w14:paraId="038F6582" w14:textId="66D84B72" w:rsidR="00B6006C" w:rsidRDefault="00157AE7">
          <w:pPr>
            <w:pStyle w:val="TOC1"/>
            <w:tabs>
              <w:tab w:val="right" w:leader="dot" w:pos="10214"/>
            </w:tabs>
            <w:rPr>
              <w:rFonts w:eastAsiaTheme="minorEastAsia"/>
              <w:noProof/>
            </w:rPr>
          </w:pPr>
          <w:hyperlink w:anchor="_Toc131170506" w:history="1">
            <w:r w:rsidR="00B6006C" w:rsidRPr="00883A0E">
              <w:rPr>
                <w:rStyle w:val="Hyperlink"/>
                <w:noProof/>
              </w:rPr>
              <w:t>PURA’s RPS Compliance Process</w:t>
            </w:r>
            <w:r w:rsidR="00B6006C">
              <w:rPr>
                <w:noProof/>
                <w:webHidden/>
              </w:rPr>
              <w:tab/>
            </w:r>
            <w:r w:rsidR="00B6006C">
              <w:rPr>
                <w:noProof/>
                <w:webHidden/>
              </w:rPr>
              <w:fldChar w:fldCharType="begin"/>
            </w:r>
            <w:r w:rsidR="00B6006C">
              <w:rPr>
                <w:noProof/>
                <w:webHidden/>
              </w:rPr>
              <w:instrText xml:space="preserve"> PAGEREF _Toc131170506 \h </w:instrText>
            </w:r>
            <w:r w:rsidR="00B6006C">
              <w:rPr>
                <w:noProof/>
                <w:webHidden/>
              </w:rPr>
            </w:r>
            <w:r w:rsidR="00B6006C">
              <w:rPr>
                <w:noProof/>
                <w:webHidden/>
              </w:rPr>
              <w:fldChar w:fldCharType="separate"/>
            </w:r>
            <w:r w:rsidR="00B6006C">
              <w:rPr>
                <w:noProof/>
                <w:webHidden/>
              </w:rPr>
              <w:t>8</w:t>
            </w:r>
            <w:r w:rsidR="00B6006C">
              <w:rPr>
                <w:noProof/>
                <w:webHidden/>
              </w:rPr>
              <w:fldChar w:fldCharType="end"/>
            </w:r>
          </w:hyperlink>
        </w:p>
        <w:p w14:paraId="2F35EB9E" w14:textId="37C65EE3" w:rsidR="00B6006C" w:rsidRDefault="00157AE7">
          <w:pPr>
            <w:pStyle w:val="TOC2"/>
            <w:tabs>
              <w:tab w:val="right" w:leader="dot" w:pos="10214"/>
            </w:tabs>
            <w:rPr>
              <w:rFonts w:eastAsiaTheme="minorEastAsia"/>
              <w:noProof/>
            </w:rPr>
          </w:pPr>
          <w:hyperlink w:anchor="_Toc131170507" w:history="1">
            <w:r w:rsidR="00B6006C" w:rsidRPr="00883A0E">
              <w:rPr>
                <w:rStyle w:val="Hyperlink"/>
                <w:noProof/>
              </w:rPr>
              <w:t>General</w:t>
            </w:r>
            <w:r w:rsidR="00B6006C">
              <w:rPr>
                <w:noProof/>
                <w:webHidden/>
              </w:rPr>
              <w:tab/>
            </w:r>
            <w:r w:rsidR="00B6006C">
              <w:rPr>
                <w:noProof/>
                <w:webHidden/>
              </w:rPr>
              <w:fldChar w:fldCharType="begin"/>
            </w:r>
            <w:r w:rsidR="00B6006C">
              <w:rPr>
                <w:noProof/>
                <w:webHidden/>
              </w:rPr>
              <w:instrText xml:space="preserve"> PAGEREF _Toc131170507 \h </w:instrText>
            </w:r>
            <w:r w:rsidR="00B6006C">
              <w:rPr>
                <w:noProof/>
                <w:webHidden/>
              </w:rPr>
            </w:r>
            <w:r w:rsidR="00B6006C">
              <w:rPr>
                <w:noProof/>
                <w:webHidden/>
              </w:rPr>
              <w:fldChar w:fldCharType="separate"/>
            </w:r>
            <w:r w:rsidR="00B6006C">
              <w:rPr>
                <w:noProof/>
                <w:webHidden/>
              </w:rPr>
              <w:t>8</w:t>
            </w:r>
            <w:r w:rsidR="00B6006C">
              <w:rPr>
                <w:noProof/>
                <w:webHidden/>
              </w:rPr>
              <w:fldChar w:fldCharType="end"/>
            </w:r>
          </w:hyperlink>
        </w:p>
        <w:p w14:paraId="429CD980" w14:textId="67DEA60B" w:rsidR="00B6006C" w:rsidRDefault="00157AE7">
          <w:pPr>
            <w:pStyle w:val="TOC2"/>
            <w:tabs>
              <w:tab w:val="right" w:leader="dot" w:pos="10214"/>
            </w:tabs>
            <w:rPr>
              <w:rFonts w:eastAsiaTheme="minorEastAsia"/>
              <w:noProof/>
            </w:rPr>
          </w:pPr>
          <w:hyperlink w:anchor="_Toc131170508" w:history="1">
            <w:r w:rsidR="00B6006C" w:rsidRPr="00883A0E">
              <w:rPr>
                <w:rStyle w:val="Hyperlink"/>
                <w:noProof/>
              </w:rPr>
              <w:t>RPS Compliance Forms</w:t>
            </w:r>
            <w:r w:rsidR="00B6006C">
              <w:rPr>
                <w:noProof/>
                <w:webHidden/>
              </w:rPr>
              <w:tab/>
            </w:r>
            <w:r w:rsidR="00B6006C">
              <w:rPr>
                <w:noProof/>
                <w:webHidden/>
              </w:rPr>
              <w:fldChar w:fldCharType="begin"/>
            </w:r>
            <w:r w:rsidR="00B6006C">
              <w:rPr>
                <w:noProof/>
                <w:webHidden/>
              </w:rPr>
              <w:instrText xml:space="preserve"> PAGEREF _Toc131170508 \h </w:instrText>
            </w:r>
            <w:r w:rsidR="00B6006C">
              <w:rPr>
                <w:noProof/>
                <w:webHidden/>
              </w:rPr>
            </w:r>
            <w:r w:rsidR="00B6006C">
              <w:rPr>
                <w:noProof/>
                <w:webHidden/>
              </w:rPr>
              <w:fldChar w:fldCharType="separate"/>
            </w:r>
            <w:r w:rsidR="00B6006C">
              <w:rPr>
                <w:noProof/>
                <w:webHidden/>
              </w:rPr>
              <w:t>8</w:t>
            </w:r>
            <w:r w:rsidR="00B6006C">
              <w:rPr>
                <w:noProof/>
                <w:webHidden/>
              </w:rPr>
              <w:fldChar w:fldCharType="end"/>
            </w:r>
          </w:hyperlink>
        </w:p>
        <w:p w14:paraId="1650D9D2" w14:textId="7D656172" w:rsidR="00B6006C" w:rsidRDefault="00157AE7">
          <w:pPr>
            <w:pStyle w:val="TOC2"/>
            <w:tabs>
              <w:tab w:val="right" w:leader="dot" w:pos="10214"/>
            </w:tabs>
            <w:rPr>
              <w:rFonts w:eastAsiaTheme="minorEastAsia"/>
              <w:noProof/>
            </w:rPr>
          </w:pPr>
          <w:hyperlink w:anchor="_Toc131170509" w:history="1">
            <w:r w:rsidR="00B6006C" w:rsidRPr="00883A0E">
              <w:rPr>
                <w:rStyle w:val="Hyperlink"/>
                <w:noProof/>
              </w:rPr>
              <w:t>Retail Load Data</w:t>
            </w:r>
            <w:r w:rsidR="00B6006C">
              <w:rPr>
                <w:noProof/>
                <w:webHidden/>
              </w:rPr>
              <w:tab/>
            </w:r>
            <w:r w:rsidR="00B6006C">
              <w:rPr>
                <w:noProof/>
                <w:webHidden/>
              </w:rPr>
              <w:fldChar w:fldCharType="begin"/>
            </w:r>
            <w:r w:rsidR="00B6006C">
              <w:rPr>
                <w:noProof/>
                <w:webHidden/>
              </w:rPr>
              <w:instrText xml:space="preserve"> PAGEREF _Toc131170509 \h </w:instrText>
            </w:r>
            <w:r w:rsidR="00B6006C">
              <w:rPr>
                <w:noProof/>
                <w:webHidden/>
              </w:rPr>
            </w:r>
            <w:r w:rsidR="00B6006C">
              <w:rPr>
                <w:noProof/>
                <w:webHidden/>
              </w:rPr>
              <w:fldChar w:fldCharType="separate"/>
            </w:r>
            <w:r w:rsidR="00B6006C">
              <w:rPr>
                <w:noProof/>
                <w:webHidden/>
              </w:rPr>
              <w:t>9</w:t>
            </w:r>
            <w:r w:rsidR="00B6006C">
              <w:rPr>
                <w:noProof/>
                <w:webHidden/>
              </w:rPr>
              <w:fldChar w:fldCharType="end"/>
            </w:r>
          </w:hyperlink>
        </w:p>
        <w:p w14:paraId="36C10A5B" w14:textId="24EA5F57" w:rsidR="00B6006C" w:rsidRDefault="00157AE7">
          <w:pPr>
            <w:pStyle w:val="TOC2"/>
            <w:tabs>
              <w:tab w:val="right" w:leader="dot" w:pos="10214"/>
            </w:tabs>
            <w:rPr>
              <w:rFonts w:eastAsiaTheme="minorEastAsia"/>
              <w:noProof/>
            </w:rPr>
          </w:pPr>
          <w:hyperlink w:anchor="_Toc131170510" w:history="1">
            <w:r w:rsidR="00B6006C" w:rsidRPr="00883A0E">
              <w:rPr>
                <w:rStyle w:val="Hyperlink"/>
                <w:noProof/>
              </w:rPr>
              <w:t>REC Verification</w:t>
            </w:r>
            <w:r w:rsidR="00B6006C">
              <w:rPr>
                <w:noProof/>
                <w:webHidden/>
              </w:rPr>
              <w:tab/>
            </w:r>
            <w:r w:rsidR="00B6006C">
              <w:rPr>
                <w:noProof/>
                <w:webHidden/>
              </w:rPr>
              <w:fldChar w:fldCharType="begin"/>
            </w:r>
            <w:r w:rsidR="00B6006C">
              <w:rPr>
                <w:noProof/>
                <w:webHidden/>
              </w:rPr>
              <w:instrText xml:space="preserve"> PAGEREF _Toc131170510 \h </w:instrText>
            </w:r>
            <w:r w:rsidR="00B6006C">
              <w:rPr>
                <w:noProof/>
                <w:webHidden/>
              </w:rPr>
            </w:r>
            <w:r w:rsidR="00B6006C">
              <w:rPr>
                <w:noProof/>
                <w:webHidden/>
              </w:rPr>
              <w:fldChar w:fldCharType="separate"/>
            </w:r>
            <w:r w:rsidR="00B6006C">
              <w:rPr>
                <w:noProof/>
                <w:webHidden/>
              </w:rPr>
              <w:t>9</w:t>
            </w:r>
            <w:r w:rsidR="00B6006C">
              <w:rPr>
                <w:noProof/>
                <w:webHidden/>
              </w:rPr>
              <w:fldChar w:fldCharType="end"/>
            </w:r>
          </w:hyperlink>
        </w:p>
        <w:p w14:paraId="26B72053" w14:textId="3A006954" w:rsidR="00B6006C" w:rsidRDefault="00157AE7">
          <w:pPr>
            <w:pStyle w:val="TOC2"/>
            <w:tabs>
              <w:tab w:val="right" w:leader="dot" w:pos="10214"/>
            </w:tabs>
            <w:rPr>
              <w:rFonts w:eastAsiaTheme="minorEastAsia"/>
              <w:noProof/>
            </w:rPr>
          </w:pPr>
          <w:hyperlink w:anchor="_Toc131170511" w:history="1">
            <w:r w:rsidR="00B6006C" w:rsidRPr="00883A0E">
              <w:rPr>
                <w:rStyle w:val="Hyperlink"/>
                <w:noProof/>
              </w:rPr>
              <w:t>Banking RECs – Carry Forward</w:t>
            </w:r>
            <w:r w:rsidR="00B6006C">
              <w:rPr>
                <w:noProof/>
                <w:webHidden/>
              </w:rPr>
              <w:tab/>
            </w:r>
            <w:r w:rsidR="00B6006C">
              <w:rPr>
                <w:noProof/>
                <w:webHidden/>
              </w:rPr>
              <w:fldChar w:fldCharType="begin"/>
            </w:r>
            <w:r w:rsidR="00B6006C">
              <w:rPr>
                <w:noProof/>
                <w:webHidden/>
              </w:rPr>
              <w:instrText xml:space="preserve"> PAGEREF _Toc131170511 \h </w:instrText>
            </w:r>
            <w:r w:rsidR="00B6006C">
              <w:rPr>
                <w:noProof/>
                <w:webHidden/>
              </w:rPr>
            </w:r>
            <w:r w:rsidR="00B6006C">
              <w:rPr>
                <w:noProof/>
                <w:webHidden/>
              </w:rPr>
              <w:fldChar w:fldCharType="separate"/>
            </w:r>
            <w:r w:rsidR="00B6006C">
              <w:rPr>
                <w:noProof/>
                <w:webHidden/>
              </w:rPr>
              <w:t>9</w:t>
            </w:r>
            <w:r w:rsidR="00B6006C">
              <w:rPr>
                <w:noProof/>
                <w:webHidden/>
              </w:rPr>
              <w:fldChar w:fldCharType="end"/>
            </w:r>
          </w:hyperlink>
        </w:p>
        <w:p w14:paraId="5A5FCCC5" w14:textId="0155EAB4" w:rsidR="00B6006C" w:rsidRDefault="00157AE7">
          <w:pPr>
            <w:pStyle w:val="TOC1"/>
            <w:tabs>
              <w:tab w:val="right" w:leader="dot" w:pos="10214"/>
            </w:tabs>
            <w:rPr>
              <w:rFonts w:eastAsiaTheme="minorEastAsia"/>
              <w:noProof/>
            </w:rPr>
          </w:pPr>
          <w:hyperlink w:anchor="_Toc131170512" w:history="1">
            <w:r w:rsidR="00B6006C" w:rsidRPr="00883A0E">
              <w:rPr>
                <w:rStyle w:val="Hyperlink"/>
                <w:noProof/>
              </w:rPr>
              <w:t>Alternative Compliance Payment (ACP)</w:t>
            </w:r>
            <w:r w:rsidR="00B6006C">
              <w:rPr>
                <w:noProof/>
                <w:webHidden/>
              </w:rPr>
              <w:tab/>
            </w:r>
            <w:r w:rsidR="00B6006C">
              <w:rPr>
                <w:noProof/>
                <w:webHidden/>
              </w:rPr>
              <w:fldChar w:fldCharType="begin"/>
            </w:r>
            <w:r w:rsidR="00B6006C">
              <w:rPr>
                <w:noProof/>
                <w:webHidden/>
              </w:rPr>
              <w:instrText xml:space="preserve"> PAGEREF _Toc131170512 \h </w:instrText>
            </w:r>
            <w:r w:rsidR="00B6006C">
              <w:rPr>
                <w:noProof/>
                <w:webHidden/>
              </w:rPr>
            </w:r>
            <w:r w:rsidR="00B6006C">
              <w:rPr>
                <w:noProof/>
                <w:webHidden/>
              </w:rPr>
              <w:fldChar w:fldCharType="separate"/>
            </w:r>
            <w:r w:rsidR="00B6006C">
              <w:rPr>
                <w:noProof/>
                <w:webHidden/>
              </w:rPr>
              <w:t>9</w:t>
            </w:r>
            <w:r w:rsidR="00B6006C">
              <w:rPr>
                <w:noProof/>
                <w:webHidden/>
              </w:rPr>
              <w:fldChar w:fldCharType="end"/>
            </w:r>
          </w:hyperlink>
        </w:p>
        <w:p w14:paraId="283F7962" w14:textId="55024D0A" w:rsidR="00B6006C" w:rsidRDefault="00157AE7">
          <w:pPr>
            <w:pStyle w:val="TOC1"/>
            <w:tabs>
              <w:tab w:val="right" w:leader="dot" w:pos="10214"/>
            </w:tabs>
            <w:rPr>
              <w:rFonts w:eastAsiaTheme="minorEastAsia"/>
              <w:noProof/>
            </w:rPr>
          </w:pPr>
          <w:hyperlink w:anchor="_Toc131170513" w:history="1">
            <w:r w:rsidR="00B6006C" w:rsidRPr="00883A0E">
              <w:rPr>
                <w:rStyle w:val="Hyperlink"/>
                <w:noProof/>
              </w:rPr>
              <w:t>RPS Security</w:t>
            </w:r>
            <w:r w:rsidR="00B6006C">
              <w:rPr>
                <w:noProof/>
                <w:webHidden/>
              </w:rPr>
              <w:tab/>
            </w:r>
            <w:r w:rsidR="00B6006C">
              <w:rPr>
                <w:noProof/>
                <w:webHidden/>
              </w:rPr>
              <w:fldChar w:fldCharType="begin"/>
            </w:r>
            <w:r w:rsidR="00B6006C">
              <w:rPr>
                <w:noProof/>
                <w:webHidden/>
              </w:rPr>
              <w:instrText xml:space="preserve"> PAGEREF _Toc131170513 \h </w:instrText>
            </w:r>
            <w:r w:rsidR="00B6006C">
              <w:rPr>
                <w:noProof/>
                <w:webHidden/>
              </w:rPr>
            </w:r>
            <w:r w:rsidR="00B6006C">
              <w:rPr>
                <w:noProof/>
                <w:webHidden/>
              </w:rPr>
              <w:fldChar w:fldCharType="separate"/>
            </w:r>
            <w:r w:rsidR="00B6006C">
              <w:rPr>
                <w:noProof/>
                <w:webHidden/>
              </w:rPr>
              <w:t>9</w:t>
            </w:r>
            <w:r w:rsidR="00B6006C">
              <w:rPr>
                <w:noProof/>
                <w:webHidden/>
              </w:rPr>
              <w:fldChar w:fldCharType="end"/>
            </w:r>
          </w:hyperlink>
        </w:p>
        <w:p w14:paraId="262079F2" w14:textId="2792A8C1" w:rsidR="00B6006C" w:rsidRDefault="00157AE7">
          <w:pPr>
            <w:pStyle w:val="TOC1"/>
            <w:tabs>
              <w:tab w:val="right" w:leader="dot" w:pos="10214"/>
            </w:tabs>
            <w:rPr>
              <w:rFonts w:eastAsiaTheme="minorEastAsia"/>
              <w:noProof/>
            </w:rPr>
          </w:pPr>
          <w:hyperlink w:anchor="_Toc131170514" w:history="1">
            <w:r w:rsidR="00B6006C" w:rsidRPr="00883A0E">
              <w:rPr>
                <w:rStyle w:val="Hyperlink"/>
                <w:noProof/>
              </w:rPr>
              <w:t>Abbreviations, Definitions &amp; Terminology</w:t>
            </w:r>
            <w:r w:rsidR="00B6006C">
              <w:rPr>
                <w:noProof/>
                <w:webHidden/>
              </w:rPr>
              <w:tab/>
            </w:r>
            <w:r w:rsidR="00B6006C">
              <w:rPr>
                <w:noProof/>
                <w:webHidden/>
              </w:rPr>
              <w:fldChar w:fldCharType="begin"/>
            </w:r>
            <w:r w:rsidR="00B6006C">
              <w:rPr>
                <w:noProof/>
                <w:webHidden/>
              </w:rPr>
              <w:instrText xml:space="preserve"> PAGEREF _Toc131170514 \h </w:instrText>
            </w:r>
            <w:r w:rsidR="00B6006C">
              <w:rPr>
                <w:noProof/>
                <w:webHidden/>
              </w:rPr>
            </w:r>
            <w:r w:rsidR="00B6006C">
              <w:rPr>
                <w:noProof/>
                <w:webHidden/>
              </w:rPr>
              <w:fldChar w:fldCharType="separate"/>
            </w:r>
            <w:r w:rsidR="00B6006C">
              <w:rPr>
                <w:noProof/>
                <w:webHidden/>
              </w:rPr>
              <w:t>10</w:t>
            </w:r>
            <w:r w:rsidR="00B6006C">
              <w:rPr>
                <w:noProof/>
                <w:webHidden/>
              </w:rPr>
              <w:fldChar w:fldCharType="end"/>
            </w:r>
          </w:hyperlink>
        </w:p>
        <w:p w14:paraId="0A3DE8C3" w14:textId="345EADFD" w:rsidR="007E779C" w:rsidRDefault="00BE4F1A">
          <w:r>
            <w:rPr>
              <w:b/>
              <w:bCs/>
              <w:noProof/>
            </w:rPr>
            <w:fldChar w:fldCharType="end"/>
          </w:r>
        </w:p>
      </w:sdtContent>
    </w:sdt>
    <w:p w14:paraId="0A304E3D" w14:textId="41E59626" w:rsidR="00805A03" w:rsidRDefault="00805A03" w:rsidP="00805A03">
      <w:r>
        <w:br w:type="page"/>
      </w:r>
    </w:p>
    <w:p w14:paraId="7A362C49" w14:textId="77777777" w:rsidR="00C00E10" w:rsidRDefault="00651CAC" w:rsidP="00684247">
      <w:pPr>
        <w:pStyle w:val="Heading1"/>
      </w:pPr>
      <w:bookmarkStart w:id="0" w:name="_Toc131170499"/>
      <w:r>
        <w:lastRenderedPageBreak/>
        <w:t>General</w:t>
      </w:r>
      <w:bookmarkEnd w:id="0"/>
    </w:p>
    <w:p w14:paraId="0B4DDA38" w14:textId="77777777" w:rsidR="003A6A31" w:rsidRDefault="003A6A31" w:rsidP="00C00E10"/>
    <w:p w14:paraId="44B946D3" w14:textId="77777777" w:rsidR="00C00E10" w:rsidRDefault="00947BA6" w:rsidP="003A6A31">
      <w:pPr>
        <w:jc w:val="both"/>
      </w:pPr>
      <w:r>
        <w:t>T</w:t>
      </w:r>
      <w:r w:rsidR="003A6A31">
        <w:t xml:space="preserve">his document </w:t>
      </w:r>
      <w:r w:rsidR="00EB53A1">
        <w:t>provides information for l</w:t>
      </w:r>
      <w:r w:rsidR="003A6A31">
        <w:t xml:space="preserve">icensed suppliers </w:t>
      </w:r>
      <w:r w:rsidR="009C1E05">
        <w:t xml:space="preserve">regarding </w:t>
      </w:r>
      <w:r w:rsidR="00E55D8B">
        <w:t xml:space="preserve">compliance with </w:t>
      </w:r>
      <w:r w:rsidR="003A6A31">
        <w:t>Connecticut</w:t>
      </w:r>
      <w:r w:rsidR="00E61C31">
        <w:t>’s</w:t>
      </w:r>
      <w:r w:rsidR="003A6A31">
        <w:t xml:space="preserve"> </w:t>
      </w:r>
      <w:r w:rsidR="009C1E05">
        <w:t>Renewable Portfolio Standards (RPS).</w:t>
      </w:r>
    </w:p>
    <w:p w14:paraId="12DED423" w14:textId="77777777" w:rsidR="003A6A31" w:rsidRDefault="003A6A31" w:rsidP="00C00E10"/>
    <w:p w14:paraId="097D0122" w14:textId="7EB31072" w:rsidR="004A0ACF" w:rsidRPr="00AE145D" w:rsidRDefault="004A0ACF" w:rsidP="004A0ACF">
      <w:pPr>
        <w:spacing w:line="259" w:lineRule="auto"/>
        <w:jc w:val="both"/>
      </w:pPr>
      <w:r>
        <w:t>The</w:t>
      </w:r>
      <w:r w:rsidRPr="008803C5">
        <w:t xml:space="preserve"> RPS </w:t>
      </w:r>
      <w:r w:rsidRPr="00317073">
        <w:t>requires l</w:t>
      </w:r>
      <w:r w:rsidRPr="008803C5">
        <w:t xml:space="preserve">icensed </w:t>
      </w:r>
      <w:r w:rsidRPr="00317073">
        <w:t>s</w:t>
      </w:r>
      <w:r w:rsidRPr="008803C5">
        <w:t xml:space="preserve">uppliers and </w:t>
      </w:r>
      <w:r w:rsidR="005E663C">
        <w:t xml:space="preserve">the </w:t>
      </w:r>
      <w:r w:rsidRPr="00317073">
        <w:t>electric d</w:t>
      </w:r>
      <w:r w:rsidRPr="008803C5">
        <w:t xml:space="preserve">istribution </w:t>
      </w:r>
      <w:r w:rsidRPr="00317073">
        <w:t>c</w:t>
      </w:r>
      <w:r w:rsidRPr="008803C5">
        <w:t>ompanies</w:t>
      </w:r>
      <w:r>
        <w:t xml:space="preserve"> </w:t>
      </w:r>
      <w:r w:rsidR="005B5C5D">
        <w:t>(together, “</w:t>
      </w:r>
      <w:r w:rsidRPr="008803C5">
        <w:t>load serving entities</w:t>
      </w:r>
      <w:r w:rsidR="005B5C5D">
        <w:t>”</w:t>
      </w:r>
      <w:r w:rsidR="00412654">
        <w:t xml:space="preserve"> (LSE)</w:t>
      </w:r>
      <w:r w:rsidR="005B5C5D">
        <w:t>)</w:t>
      </w:r>
      <w:r>
        <w:t>,</w:t>
      </w:r>
      <w:r w:rsidRPr="00317073">
        <w:t xml:space="preserve"> to</w:t>
      </w:r>
      <w:r w:rsidRPr="008803C5">
        <w:t xml:space="preserve"> obtain a minimum percentage of their </w:t>
      </w:r>
      <w:r>
        <w:t xml:space="preserve">annual </w:t>
      </w:r>
      <w:r w:rsidRPr="008803C5">
        <w:t xml:space="preserve">retail load </w:t>
      </w:r>
      <w:r>
        <w:t xml:space="preserve">through </w:t>
      </w:r>
      <w:r w:rsidRPr="008803C5">
        <w:t>renewable energy</w:t>
      </w:r>
      <w:r w:rsidR="0038520A">
        <w:t xml:space="preserve"> sources</w:t>
      </w:r>
      <w:r w:rsidR="00AE145D">
        <w:t>.</w:t>
      </w:r>
    </w:p>
    <w:p w14:paraId="1BA13498" w14:textId="77777777" w:rsidR="00C2652E" w:rsidRDefault="00C2652E" w:rsidP="004A0ACF">
      <w:pPr>
        <w:spacing w:line="259" w:lineRule="auto"/>
        <w:jc w:val="both"/>
      </w:pPr>
    </w:p>
    <w:p w14:paraId="126B6A63" w14:textId="0F359CB7" w:rsidR="00BB5764" w:rsidRDefault="00C2652E" w:rsidP="00C2652E">
      <w:pPr>
        <w:spacing w:line="259" w:lineRule="auto"/>
        <w:jc w:val="both"/>
      </w:pPr>
      <w:r w:rsidRPr="008803C5">
        <w:t>To comply with the annual RPS</w:t>
      </w:r>
      <w:r w:rsidR="007218A0">
        <w:t xml:space="preserve"> requirement</w:t>
      </w:r>
      <w:r w:rsidRPr="008803C5">
        <w:t xml:space="preserve">, each </w:t>
      </w:r>
      <w:r>
        <w:t xml:space="preserve">Connecticut </w:t>
      </w:r>
      <w:r w:rsidRPr="008803C5">
        <w:t>LSE must</w:t>
      </w:r>
      <w:r w:rsidRPr="00E2118B">
        <w:t xml:space="preserve"> </w:t>
      </w:r>
      <w:r w:rsidRPr="005D4CF7">
        <w:rPr>
          <w:b/>
          <w:i/>
          <w:u w:val="single"/>
        </w:rPr>
        <w:t>settle</w:t>
      </w:r>
      <w:r w:rsidRPr="008803C5">
        <w:t xml:space="preserve"> </w:t>
      </w:r>
      <w:r w:rsidR="005E73BB" w:rsidRPr="008803C5">
        <w:t>REC</w:t>
      </w:r>
      <w:r w:rsidR="005E73BB">
        <w:t xml:space="preserve">s to </w:t>
      </w:r>
      <w:r w:rsidR="00087260">
        <w:t>reflect</w:t>
      </w:r>
      <w:r w:rsidR="005E73BB">
        <w:t xml:space="preserve"> the </w:t>
      </w:r>
      <w:r w:rsidR="00CC5E2D">
        <w:t xml:space="preserve">RPS </w:t>
      </w:r>
      <w:r w:rsidR="005E73BB">
        <w:t xml:space="preserve">requirements </w:t>
      </w:r>
      <w:r w:rsidR="00CC5E2D">
        <w:t>for</w:t>
      </w:r>
      <w:r w:rsidRPr="008803C5">
        <w:t xml:space="preserve"> the</w:t>
      </w:r>
      <w:r w:rsidR="00CC5E2D">
        <w:t>ir</w:t>
      </w:r>
      <w:r w:rsidRPr="008803C5">
        <w:t xml:space="preserve"> </w:t>
      </w:r>
      <w:r w:rsidR="005E73BB">
        <w:t>total annual retail</w:t>
      </w:r>
      <w:r w:rsidRPr="008803C5">
        <w:t xml:space="preserve"> load</w:t>
      </w:r>
      <w:r w:rsidR="00CA48E1">
        <w:t xml:space="preserve"> within a calendar year</w:t>
      </w:r>
      <w:r w:rsidR="00087260">
        <w:t xml:space="preserve">, </w:t>
      </w:r>
      <w:r w:rsidR="00903AEA">
        <w:t xml:space="preserve">commonly referred to as </w:t>
      </w:r>
      <w:r w:rsidR="00087260">
        <w:t xml:space="preserve">the </w:t>
      </w:r>
      <w:r w:rsidR="005E73BB">
        <w:t>RPS C</w:t>
      </w:r>
      <w:r w:rsidRPr="008803C5">
        <w:t xml:space="preserve">ompliance </w:t>
      </w:r>
      <w:r w:rsidR="005E73BB">
        <w:t>Y</w:t>
      </w:r>
      <w:r w:rsidRPr="008803C5">
        <w:t>ear.</w:t>
      </w:r>
      <w:r w:rsidR="006B68B5">
        <w:t xml:space="preserve"> </w:t>
      </w:r>
      <w:r w:rsidR="009D048B">
        <w:t xml:space="preserve"> </w:t>
      </w:r>
      <w:r w:rsidR="006B68B5">
        <w:t>In lieu of procuring and settling RECs, a</w:t>
      </w:r>
      <w:r w:rsidR="009D048B">
        <w:t>n</w:t>
      </w:r>
      <w:r w:rsidR="006B68B5">
        <w:t xml:space="preserve"> LSE can make an Alternat</w:t>
      </w:r>
      <w:r w:rsidR="00DA05D5">
        <w:t>iv</w:t>
      </w:r>
      <w:r w:rsidR="006B68B5">
        <w:t xml:space="preserve">e Compliance Payment (ACP) to satisfy </w:t>
      </w:r>
      <w:r w:rsidR="005A2D49">
        <w:t xml:space="preserve">all or a portion of </w:t>
      </w:r>
      <w:r w:rsidR="006B68B5">
        <w:t>their annual RPS obligation.</w:t>
      </w:r>
      <w:r w:rsidR="00087260">
        <w:t xml:space="preserve">  In addition, an LSE can bank RECs for future use.</w:t>
      </w:r>
      <w:r w:rsidR="00111B40">
        <w:t xml:space="preserve">  However, banked RECs </w:t>
      </w:r>
      <w:r w:rsidR="005C5564">
        <w:t>will</w:t>
      </w:r>
      <w:r w:rsidR="00111B40">
        <w:t xml:space="preserve"> expire if not timely applied to a future RPS Compliance Year.</w:t>
      </w:r>
    </w:p>
    <w:p w14:paraId="799C4CBE" w14:textId="5C8B9763" w:rsidR="004605C8" w:rsidRDefault="004605C8" w:rsidP="00C2652E">
      <w:pPr>
        <w:spacing w:line="259" w:lineRule="auto"/>
        <w:jc w:val="both"/>
      </w:pPr>
    </w:p>
    <w:p w14:paraId="361651A1" w14:textId="4F67336B" w:rsidR="007E23F9" w:rsidRDefault="007E23F9" w:rsidP="007E23F9">
      <w:pPr>
        <w:spacing w:line="259" w:lineRule="auto"/>
        <w:jc w:val="both"/>
      </w:pPr>
      <w:r w:rsidRPr="007E23F9">
        <w:t>PURA does not track the total CT electric retail sales used to determine statewide RPS obligations.  PURA reviews and determines the annual RPS compliance obligations as it pertains to each LSE.  The load obligation used to determine the RPS obligation is provided to each LSE by the electric distribution companies (EDCs).  The EDCs provide a load summary to PURA one month prior the RPS compliance filing deadline, annually on October 15</w:t>
      </w:r>
      <w:r w:rsidRPr="007E23F9">
        <w:rPr>
          <w:vertAlign w:val="superscript"/>
        </w:rPr>
        <w:t>th</w:t>
      </w:r>
      <w:r w:rsidRPr="007E23F9">
        <w:t xml:space="preserve">, which is used for PURA’s verification purposes.  </w:t>
      </w:r>
    </w:p>
    <w:p w14:paraId="452C6776" w14:textId="05EE33D7" w:rsidR="000B20C9" w:rsidRDefault="000B20C9" w:rsidP="007E23F9">
      <w:pPr>
        <w:spacing w:line="259" w:lineRule="auto"/>
        <w:jc w:val="both"/>
      </w:pPr>
    </w:p>
    <w:p w14:paraId="1E475FDA" w14:textId="0F0FFDB0" w:rsidR="000B20C9" w:rsidRDefault="000B20C9" w:rsidP="007E23F9">
      <w:pPr>
        <w:spacing w:line="259" w:lineRule="auto"/>
        <w:jc w:val="both"/>
      </w:pPr>
      <w:r>
        <w:t xml:space="preserve">All licensed suppliers must maintain an RPS </w:t>
      </w:r>
      <w:r w:rsidR="00DD1619">
        <w:t>security</w:t>
      </w:r>
      <w:r>
        <w:t xml:space="preserve"> on file with the Authority in the amount of the alternative compliance payment the supplier would have owed the previous RPS year.  </w:t>
      </w:r>
    </w:p>
    <w:p w14:paraId="52F16A77" w14:textId="77777777" w:rsidR="007E23F9" w:rsidRDefault="007E23F9">
      <w:r>
        <w:br w:type="page"/>
      </w:r>
    </w:p>
    <w:p w14:paraId="41A2C3E7" w14:textId="386312E0" w:rsidR="007E23F9" w:rsidRPr="006374AD" w:rsidRDefault="007E23F9" w:rsidP="007E23F9">
      <w:pPr>
        <w:pStyle w:val="Heading1"/>
      </w:pPr>
      <w:bookmarkStart w:id="1" w:name="_Toc131170500"/>
      <w:r w:rsidRPr="006374AD">
        <w:lastRenderedPageBreak/>
        <w:t>Frequently Asked Questions</w:t>
      </w:r>
      <w:bookmarkEnd w:id="1"/>
    </w:p>
    <w:p w14:paraId="1C424FBC" w14:textId="77777777" w:rsidR="007E23F9" w:rsidRDefault="007E23F9" w:rsidP="007E23F9"/>
    <w:p w14:paraId="36F9AF79" w14:textId="77777777" w:rsidR="007E23F9" w:rsidRDefault="007E23F9" w:rsidP="007E23F9">
      <w:pPr>
        <w:pBdr>
          <w:top w:val="single" w:sz="4" w:space="1" w:color="auto"/>
          <w:left w:val="single" w:sz="4" w:space="4" w:color="auto"/>
          <w:bottom w:val="single" w:sz="4" w:space="1" w:color="auto"/>
          <w:right w:val="single" w:sz="4" w:space="4" w:color="auto"/>
        </w:pBdr>
        <w:rPr>
          <w:color w:val="1F497D"/>
          <w:u w:val="single"/>
        </w:rPr>
      </w:pPr>
      <w:r w:rsidRPr="00B11E79">
        <w:rPr>
          <w:color w:val="1F497D"/>
          <w:u w:val="single"/>
        </w:rPr>
        <w:t>Question - Supplier Load</w:t>
      </w:r>
    </w:p>
    <w:p w14:paraId="23CD7612" w14:textId="77777777" w:rsidR="007E23F9"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If a supplier did not serve load during the RPS compliance period is it required to file anything in the RPS Compliance docket?</w:t>
      </w:r>
    </w:p>
    <w:p w14:paraId="1C376476" w14:textId="77777777" w:rsidR="007E23F9" w:rsidRDefault="007E23F9" w:rsidP="007E23F9">
      <w:pPr>
        <w:pBdr>
          <w:top w:val="single" w:sz="4" w:space="1" w:color="auto"/>
          <w:left w:val="single" w:sz="4" w:space="4" w:color="auto"/>
          <w:bottom w:val="single" w:sz="4" w:space="1" w:color="auto"/>
          <w:right w:val="single" w:sz="4" w:space="4" w:color="auto"/>
        </w:pBdr>
        <w:rPr>
          <w:color w:val="1F497D"/>
        </w:rPr>
      </w:pPr>
    </w:p>
    <w:p w14:paraId="1415C721" w14:textId="77777777" w:rsidR="007E23F9" w:rsidRDefault="007E23F9" w:rsidP="007E23F9">
      <w:pPr>
        <w:pBdr>
          <w:top w:val="single" w:sz="4" w:space="1" w:color="auto"/>
          <w:left w:val="single" w:sz="4" w:space="4" w:color="auto"/>
          <w:bottom w:val="single" w:sz="4" w:space="1" w:color="auto"/>
          <w:right w:val="single" w:sz="4" w:space="4" w:color="auto"/>
        </w:pBdr>
        <w:rPr>
          <w:color w:val="1F497D"/>
          <w:u w:val="single"/>
        </w:rPr>
      </w:pPr>
      <w:r w:rsidRPr="00B11E79">
        <w:rPr>
          <w:color w:val="1F497D"/>
          <w:u w:val="single"/>
        </w:rPr>
        <w:t>Answer</w:t>
      </w:r>
    </w:p>
    <w:p w14:paraId="0B93A523" w14:textId="33987722" w:rsidR="000D6F16"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The supplier should submit a letter under the RPS compliance period docket stating it did not serve load d</w:t>
      </w:r>
      <w:r w:rsidR="00DD1619">
        <w:rPr>
          <w:color w:val="1F497D"/>
        </w:rPr>
        <w:t xml:space="preserve">uring the applicable RPS period, an Exhibit A and RPS security affidavit indicating the supplier has the correct RPS security on file, and an electronic and hard copy of the RPS security. </w:t>
      </w:r>
    </w:p>
    <w:p w14:paraId="228502AC" w14:textId="3D61B831" w:rsidR="007E23F9" w:rsidRDefault="007E23F9" w:rsidP="007E23F9">
      <w:pPr>
        <w:pBdr>
          <w:top w:val="single" w:sz="4" w:space="1" w:color="auto"/>
          <w:left w:val="single" w:sz="4" w:space="4" w:color="auto"/>
          <w:bottom w:val="single" w:sz="4" w:space="1" w:color="auto"/>
          <w:right w:val="single" w:sz="4" w:space="4" w:color="auto"/>
        </w:pBdr>
        <w:rPr>
          <w:color w:val="1F497D"/>
        </w:rPr>
      </w:pPr>
    </w:p>
    <w:p w14:paraId="63C45779" w14:textId="77777777" w:rsidR="007E23F9" w:rsidRDefault="007E23F9" w:rsidP="007E23F9">
      <w:pPr>
        <w:rPr>
          <w:color w:val="1F497D"/>
        </w:rPr>
      </w:pPr>
    </w:p>
    <w:p w14:paraId="7E5CB8BC" w14:textId="77777777" w:rsidR="007E23F9" w:rsidRPr="00B11E79" w:rsidRDefault="007E23F9" w:rsidP="007E23F9">
      <w:pPr>
        <w:pBdr>
          <w:top w:val="single" w:sz="4" w:space="1" w:color="auto"/>
          <w:left w:val="single" w:sz="4" w:space="4" w:color="auto"/>
          <w:bottom w:val="single" w:sz="4" w:space="1" w:color="auto"/>
          <w:right w:val="single" w:sz="4" w:space="4" w:color="auto"/>
        </w:pBdr>
        <w:jc w:val="both"/>
        <w:rPr>
          <w:color w:val="1F497D"/>
        </w:rPr>
      </w:pPr>
      <w:r w:rsidRPr="00B11E79">
        <w:rPr>
          <w:color w:val="1F497D"/>
          <w:u w:val="single"/>
        </w:rPr>
        <w:t>Question: - Source Data for Supplier Load</w:t>
      </w:r>
    </w:p>
    <w:p w14:paraId="46280732" w14:textId="77777777" w:rsidR="007E23F9" w:rsidRDefault="007E23F9" w:rsidP="007E23F9">
      <w:pPr>
        <w:pBdr>
          <w:top w:val="single" w:sz="4" w:space="1" w:color="auto"/>
          <w:left w:val="single" w:sz="4" w:space="4" w:color="auto"/>
          <w:bottom w:val="single" w:sz="4" w:space="1" w:color="auto"/>
          <w:right w:val="single" w:sz="4" w:space="4" w:color="auto"/>
        </w:pBdr>
        <w:jc w:val="both"/>
        <w:rPr>
          <w:color w:val="1F497D"/>
        </w:rPr>
      </w:pPr>
      <w:r>
        <w:rPr>
          <w:color w:val="1F497D"/>
        </w:rPr>
        <w:t>Who provides the supplier load data that PURA uses/accepts to determine RPS compliance?</w:t>
      </w:r>
    </w:p>
    <w:p w14:paraId="08A8EF98" w14:textId="77777777" w:rsidR="007E23F9" w:rsidRDefault="007E23F9" w:rsidP="007E23F9">
      <w:pPr>
        <w:pBdr>
          <w:top w:val="single" w:sz="4" w:space="1" w:color="auto"/>
          <w:left w:val="single" w:sz="4" w:space="4" w:color="auto"/>
          <w:bottom w:val="single" w:sz="4" w:space="1" w:color="auto"/>
          <w:right w:val="single" w:sz="4" w:space="4" w:color="auto"/>
        </w:pBdr>
        <w:jc w:val="both"/>
        <w:rPr>
          <w:color w:val="1F497D"/>
          <w:u w:val="single"/>
        </w:rPr>
      </w:pPr>
    </w:p>
    <w:p w14:paraId="53FC594F" w14:textId="77777777" w:rsidR="007E23F9" w:rsidRDefault="007E23F9" w:rsidP="007E23F9">
      <w:pPr>
        <w:pBdr>
          <w:top w:val="single" w:sz="4" w:space="1" w:color="auto"/>
          <w:left w:val="single" w:sz="4" w:space="4" w:color="auto"/>
          <w:bottom w:val="single" w:sz="4" w:space="1" w:color="auto"/>
          <w:right w:val="single" w:sz="4" w:space="4" w:color="auto"/>
        </w:pBdr>
        <w:jc w:val="both"/>
        <w:rPr>
          <w:color w:val="1F497D"/>
          <w:u w:val="single"/>
        </w:rPr>
      </w:pPr>
      <w:r>
        <w:rPr>
          <w:color w:val="1F497D"/>
          <w:u w:val="single"/>
        </w:rPr>
        <w:t>Answer</w:t>
      </w:r>
    </w:p>
    <w:p w14:paraId="7734C136" w14:textId="2F8936FC" w:rsidR="007E23F9" w:rsidRDefault="007E23F9" w:rsidP="007E23F9">
      <w:pPr>
        <w:pBdr>
          <w:top w:val="single" w:sz="4" w:space="1" w:color="auto"/>
          <w:left w:val="single" w:sz="4" w:space="4" w:color="auto"/>
          <w:bottom w:val="single" w:sz="4" w:space="1" w:color="auto"/>
          <w:right w:val="single" w:sz="4" w:space="4" w:color="auto"/>
        </w:pBdr>
        <w:rPr>
          <w:color w:val="1F497D"/>
        </w:rPr>
      </w:pPr>
      <w:r w:rsidRPr="00B11E79">
        <w:rPr>
          <w:color w:val="1F497D"/>
        </w:rPr>
        <w:t xml:space="preserve">The load data is obtained from the electric distribution companies (EDCs), </w:t>
      </w:r>
      <w:r w:rsidR="00DA05D5">
        <w:rPr>
          <w:color w:val="1F497D"/>
        </w:rPr>
        <w:t>and should be made available to</w:t>
      </w:r>
      <w:r w:rsidR="00DA05D5" w:rsidRPr="00B11E79">
        <w:rPr>
          <w:color w:val="1F497D"/>
        </w:rPr>
        <w:t xml:space="preserve"> </w:t>
      </w:r>
      <w:r w:rsidRPr="00B11E79">
        <w:rPr>
          <w:color w:val="1F497D"/>
        </w:rPr>
        <w:t>suppliers</w:t>
      </w:r>
      <w:r w:rsidRPr="004A5DAF">
        <w:rPr>
          <w:color w:val="1F497D"/>
        </w:rPr>
        <w:t xml:space="preserve"> on a monthly basis. </w:t>
      </w:r>
      <w:r>
        <w:rPr>
          <w:color w:val="1F497D"/>
        </w:rPr>
        <w:t xml:space="preserve"> </w:t>
      </w:r>
      <w:r w:rsidRPr="004A5DAF">
        <w:rPr>
          <w:color w:val="1F497D"/>
        </w:rPr>
        <w:t>A su</w:t>
      </w:r>
      <w:r>
        <w:rPr>
          <w:color w:val="1F497D"/>
        </w:rPr>
        <w:t>pplier’s REC obligation in each renewable C</w:t>
      </w:r>
      <w:r w:rsidRPr="004A5DAF">
        <w:rPr>
          <w:color w:val="1F497D"/>
        </w:rPr>
        <w:t>lass is calculated based on the supplier’s Final Settlement Load as reported by the EDCs.</w:t>
      </w:r>
    </w:p>
    <w:p w14:paraId="3E0F3E3C" w14:textId="77777777" w:rsidR="00622A66" w:rsidRDefault="00622A66" w:rsidP="007E23F9">
      <w:pPr>
        <w:pBdr>
          <w:top w:val="single" w:sz="4" w:space="1" w:color="auto"/>
          <w:left w:val="single" w:sz="4" w:space="4" w:color="auto"/>
          <w:bottom w:val="single" w:sz="4" w:space="1" w:color="auto"/>
          <w:right w:val="single" w:sz="4" w:space="4" w:color="auto"/>
        </w:pBdr>
        <w:rPr>
          <w:color w:val="1F497D"/>
        </w:rPr>
      </w:pPr>
    </w:p>
    <w:p w14:paraId="3DE51D71" w14:textId="43C6CA10" w:rsidR="007E23F9" w:rsidRDefault="007E23F9" w:rsidP="007E23F9">
      <w:pPr>
        <w:pBdr>
          <w:top w:val="single" w:sz="4" w:space="1" w:color="auto"/>
          <w:left w:val="single" w:sz="4" w:space="4" w:color="auto"/>
          <w:bottom w:val="single" w:sz="4" w:space="1" w:color="auto"/>
          <w:right w:val="single" w:sz="4" w:space="4" w:color="auto"/>
        </w:pBdr>
        <w:rPr>
          <w:color w:val="1F497D"/>
        </w:rPr>
      </w:pPr>
      <w:r w:rsidRPr="004A5DAF">
        <w:rPr>
          <w:color w:val="1F497D"/>
        </w:rPr>
        <w:t>The EDCs are required to submit a listing of the summary load data by September 15th in the RPS Compliance dockets for PURA’s verification of the supplier’s REC obligations.</w:t>
      </w:r>
      <w:r>
        <w:rPr>
          <w:color w:val="1F497D"/>
        </w:rPr>
        <w:t xml:space="preserve">  </w:t>
      </w:r>
      <w:r w:rsidRPr="004A5DAF">
        <w:rPr>
          <w:color w:val="1F497D"/>
        </w:rPr>
        <w:t xml:space="preserve">Once the EDC load data is filed in the RPS Compliance docket, suppliers may review the posting to verify they are using the correct load in their filing. </w:t>
      </w:r>
    </w:p>
    <w:p w14:paraId="65C628C6" w14:textId="116B4308" w:rsidR="000D6F16" w:rsidRPr="004A5DAF" w:rsidRDefault="000D6F16" w:rsidP="007E23F9">
      <w:pPr>
        <w:pBdr>
          <w:top w:val="single" w:sz="4" w:space="1" w:color="auto"/>
          <w:left w:val="single" w:sz="4" w:space="4" w:color="auto"/>
          <w:bottom w:val="single" w:sz="4" w:space="1" w:color="auto"/>
          <w:right w:val="single" w:sz="4" w:space="4" w:color="auto"/>
        </w:pBdr>
        <w:rPr>
          <w:color w:val="1F497D"/>
        </w:rPr>
      </w:pPr>
    </w:p>
    <w:p w14:paraId="19A75663" w14:textId="77777777" w:rsidR="007E23F9" w:rsidRPr="004A5DAF" w:rsidRDefault="007E23F9" w:rsidP="007E23F9">
      <w:pPr>
        <w:rPr>
          <w:color w:val="1F497D"/>
        </w:rPr>
      </w:pPr>
    </w:p>
    <w:p w14:paraId="43A9E1BE" w14:textId="77777777" w:rsidR="007E23F9" w:rsidRPr="004C304C" w:rsidRDefault="007E23F9" w:rsidP="007E23F9">
      <w:pPr>
        <w:pBdr>
          <w:top w:val="single" w:sz="4" w:space="1" w:color="auto"/>
          <w:left w:val="single" w:sz="4" w:space="4" w:color="auto"/>
          <w:bottom w:val="single" w:sz="4" w:space="1" w:color="auto"/>
          <w:right w:val="single" w:sz="4" w:space="4" w:color="auto"/>
        </w:pBdr>
        <w:rPr>
          <w:color w:val="1F497D"/>
          <w:u w:val="single"/>
        </w:rPr>
      </w:pPr>
      <w:r w:rsidRPr="004C304C">
        <w:rPr>
          <w:color w:val="1F497D"/>
          <w:u w:val="single"/>
        </w:rPr>
        <w:t>Question – Alternative Compliance Payment Rates</w:t>
      </w:r>
    </w:p>
    <w:p w14:paraId="6745FE54" w14:textId="77777777" w:rsidR="007E23F9" w:rsidRDefault="007E23F9" w:rsidP="007E23F9">
      <w:pPr>
        <w:pBdr>
          <w:top w:val="single" w:sz="4" w:space="1" w:color="auto"/>
          <w:left w:val="single" w:sz="4" w:space="4" w:color="auto"/>
          <w:bottom w:val="single" w:sz="4" w:space="1" w:color="auto"/>
          <w:right w:val="single" w:sz="4" w:space="4" w:color="auto"/>
        </w:pBdr>
        <w:rPr>
          <w:color w:val="1F497D"/>
        </w:rPr>
      </w:pPr>
      <w:r w:rsidRPr="004A5DAF">
        <w:rPr>
          <w:color w:val="1F497D"/>
        </w:rPr>
        <w:t>Wh</w:t>
      </w:r>
      <w:r>
        <w:rPr>
          <w:color w:val="1F497D"/>
        </w:rPr>
        <w:t xml:space="preserve">ere can a supplier find </w:t>
      </w:r>
      <w:r w:rsidRPr="004A5DAF">
        <w:rPr>
          <w:color w:val="1F497D"/>
        </w:rPr>
        <w:t>the current Alternative Compliance Payment rates?</w:t>
      </w:r>
    </w:p>
    <w:p w14:paraId="033AC139" w14:textId="77777777" w:rsidR="007E23F9" w:rsidRDefault="007E23F9" w:rsidP="007E23F9">
      <w:pPr>
        <w:pBdr>
          <w:top w:val="single" w:sz="4" w:space="1" w:color="auto"/>
          <w:left w:val="single" w:sz="4" w:space="4" w:color="auto"/>
          <w:bottom w:val="single" w:sz="4" w:space="1" w:color="auto"/>
          <w:right w:val="single" w:sz="4" w:space="4" w:color="auto"/>
        </w:pBdr>
        <w:rPr>
          <w:color w:val="1F497D"/>
        </w:rPr>
      </w:pPr>
    </w:p>
    <w:p w14:paraId="00135FFB" w14:textId="77777777" w:rsidR="007E23F9" w:rsidRPr="004A5DAF"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Answer</w:t>
      </w:r>
    </w:p>
    <w:p w14:paraId="0255E37A" w14:textId="0DEA982B" w:rsidR="007E23F9" w:rsidRDefault="00622A66" w:rsidP="007E23F9">
      <w:pPr>
        <w:pBdr>
          <w:top w:val="single" w:sz="4" w:space="1" w:color="auto"/>
          <w:left w:val="single" w:sz="4" w:space="4" w:color="auto"/>
          <w:bottom w:val="single" w:sz="4" w:space="1" w:color="auto"/>
          <w:right w:val="single" w:sz="4" w:space="4" w:color="auto"/>
        </w:pBdr>
        <w:rPr>
          <w:color w:val="1F497D"/>
        </w:rPr>
      </w:pPr>
      <w:r>
        <w:rPr>
          <w:color w:val="1F497D"/>
        </w:rPr>
        <w:t>Conn. Gen. Stat. § 16-</w:t>
      </w:r>
      <w:proofErr w:type="gramStart"/>
      <w:r>
        <w:rPr>
          <w:color w:val="1F497D"/>
        </w:rPr>
        <w:t>244c(</w:t>
      </w:r>
      <w:proofErr w:type="gramEnd"/>
      <w:r>
        <w:rPr>
          <w:color w:val="1F497D"/>
        </w:rPr>
        <w:t>h).</w:t>
      </w:r>
    </w:p>
    <w:p w14:paraId="31CB9879" w14:textId="0EE0E1E6" w:rsidR="000D6F16" w:rsidRDefault="000D6F16" w:rsidP="007E23F9">
      <w:pPr>
        <w:pBdr>
          <w:top w:val="single" w:sz="4" w:space="1" w:color="auto"/>
          <w:left w:val="single" w:sz="4" w:space="4" w:color="auto"/>
          <w:bottom w:val="single" w:sz="4" w:space="1" w:color="auto"/>
          <w:right w:val="single" w:sz="4" w:space="4" w:color="auto"/>
        </w:pBdr>
        <w:rPr>
          <w:color w:val="1F497D"/>
        </w:rPr>
      </w:pPr>
    </w:p>
    <w:p w14:paraId="340467C7" w14:textId="77777777" w:rsidR="007E23F9" w:rsidRDefault="007E23F9" w:rsidP="007E23F9">
      <w:pPr>
        <w:rPr>
          <w:color w:val="1F497D"/>
        </w:rPr>
      </w:pPr>
    </w:p>
    <w:p w14:paraId="280E0976" w14:textId="77777777" w:rsidR="007E23F9" w:rsidRPr="000A67B4" w:rsidRDefault="007E23F9" w:rsidP="007E23F9">
      <w:pPr>
        <w:pBdr>
          <w:top w:val="single" w:sz="4" w:space="1" w:color="auto"/>
          <w:left w:val="single" w:sz="4" w:space="4" w:color="auto"/>
          <w:bottom w:val="single" w:sz="4" w:space="1" w:color="auto"/>
          <w:right w:val="single" w:sz="4" w:space="4" w:color="auto"/>
        </w:pBdr>
        <w:rPr>
          <w:color w:val="1F497D"/>
          <w:u w:val="single"/>
        </w:rPr>
      </w:pPr>
      <w:r w:rsidRPr="000A67B4">
        <w:rPr>
          <w:color w:val="1F497D"/>
          <w:u w:val="single"/>
        </w:rPr>
        <w:t>Question –</w:t>
      </w:r>
      <w:r>
        <w:rPr>
          <w:color w:val="1F497D"/>
          <w:u w:val="single"/>
        </w:rPr>
        <w:t xml:space="preserve"> Alternative Compliance Payments</w:t>
      </w:r>
    </w:p>
    <w:p w14:paraId="3D8DC3A1" w14:textId="77777777" w:rsidR="007E23F9" w:rsidRPr="003F63C0" w:rsidRDefault="007E23F9" w:rsidP="007E23F9">
      <w:pPr>
        <w:pBdr>
          <w:top w:val="single" w:sz="4" w:space="1" w:color="auto"/>
          <w:left w:val="single" w:sz="4" w:space="4" w:color="auto"/>
          <w:bottom w:val="single" w:sz="4" w:space="1" w:color="auto"/>
          <w:right w:val="single" w:sz="4" w:space="4" w:color="auto"/>
        </w:pBdr>
        <w:rPr>
          <w:color w:val="1F497D"/>
        </w:rPr>
      </w:pPr>
      <w:r w:rsidRPr="003F63C0">
        <w:rPr>
          <w:color w:val="1F497D"/>
        </w:rPr>
        <w:t>A supplier determines there is a shortfall for their CT Class I and/or CT Class II RECs for an RPS Compliance Period.  Should the supplier submit an ACP payment to meet its RPS compliance to the EDC or to PURA at the time of its RPS Compliance filing?  If such a payment is made, who will allocate the ACP to the Class I or Class II RECs?</w:t>
      </w:r>
    </w:p>
    <w:p w14:paraId="0296CBD3" w14:textId="77777777" w:rsidR="007E23F9" w:rsidRPr="003F63C0" w:rsidRDefault="007E23F9" w:rsidP="007E23F9">
      <w:pPr>
        <w:pBdr>
          <w:top w:val="single" w:sz="4" w:space="1" w:color="auto"/>
          <w:left w:val="single" w:sz="4" w:space="4" w:color="auto"/>
          <w:bottom w:val="single" w:sz="4" w:space="1" w:color="auto"/>
          <w:right w:val="single" w:sz="4" w:space="4" w:color="auto"/>
        </w:pBdr>
        <w:rPr>
          <w:color w:val="1F497D"/>
        </w:rPr>
      </w:pPr>
    </w:p>
    <w:p w14:paraId="6E160EA7" w14:textId="77777777" w:rsidR="007E23F9" w:rsidRPr="003F63C0" w:rsidRDefault="007E23F9" w:rsidP="007E23F9">
      <w:pPr>
        <w:pBdr>
          <w:top w:val="single" w:sz="4" w:space="1" w:color="auto"/>
          <w:left w:val="single" w:sz="4" w:space="4" w:color="auto"/>
          <w:bottom w:val="single" w:sz="4" w:space="1" w:color="auto"/>
          <w:right w:val="single" w:sz="4" w:space="4" w:color="auto"/>
        </w:pBdr>
        <w:rPr>
          <w:color w:val="1F497D"/>
        </w:rPr>
      </w:pPr>
      <w:r w:rsidRPr="003F63C0">
        <w:rPr>
          <w:color w:val="1F497D"/>
        </w:rPr>
        <w:t>Answer</w:t>
      </w:r>
    </w:p>
    <w:p w14:paraId="5F3D14EE" w14:textId="2DFE8CBD" w:rsidR="007E23F9" w:rsidRPr="003F63C0" w:rsidRDefault="007E23F9" w:rsidP="007E23F9">
      <w:pPr>
        <w:pBdr>
          <w:top w:val="single" w:sz="4" w:space="1" w:color="auto"/>
          <w:left w:val="single" w:sz="4" w:space="4" w:color="auto"/>
          <w:bottom w:val="single" w:sz="4" w:space="1" w:color="auto"/>
          <w:right w:val="single" w:sz="4" w:space="4" w:color="auto"/>
        </w:pBdr>
        <w:rPr>
          <w:color w:val="1F497D"/>
        </w:rPr>
      </w:pPr>
      <w:r w:rsidRPr="003F63C0">
        <w:rPr>
          <w:color w:val="1F497D"/>
        </w:rPr>
        <w:t>A suppliers should not make an ACP payment with its annual RPS compliance filing.  PURA’s final Decision will determine whether an ACP is required and how to make the payment.  There will be a supplier</w:t>
      </w:r>
      <w:r w:rsidRPr="003F63C0">
        <w:rPr>
          <w:color w:val="1F497D"/>
        </w:rPr>
        <w:noBreakHyphen/>
        <w:t>specific Order in the final Decision that will provide the shortfall, resulting ACP by REC Class</w:t>
      </w:r>
      <w:r w:rsidR="00DA05D5">
        <w:rPr>
          <w:color w:val="1F497D"/>
        </w:rPr>
        <w:t>,</w:t>
      </w:r>
      <w:r w:rsidRPr="003F63C0">
        <w:rPr>
          <w:color w:val="1F497D"/>
        </w:rPr>
        <w:t xml:space="preserve"> where to make the payment</w:t>
      </w:r>
      <w:r w:rsidR="00DA05D5">
        <w:rPr>
          <w:color w:val="1F497D"/>
        </w:rPr>
        <w:t>,</w:t>
      </w:r>
      <w:r w:rsidRPr="003F63C0">
        <w:rPr>
          <w:color w:val="1F497D"/>
        </w:rPr>
        <w:t xml:space="preserve"> and due date.</w:t>
      </w:r>
    </w:p>
    <w:p w14:paraId="6FFF389B" w14:textId="7486A45F" w:rsidR="00C648EC" w:rsidRDefault="00C648EC" w:rsidP="007E23F9">
      <w:pPr>
        <w:pBdr>
          <w:top w:val="single" w:sz="4" w:space="1" w:color="auto"/>
          <w:left w:val="single" w:sz="4" w:space="4" w:color="auto"/>
          <w:bottom w:val="single" w:sz="4" w:space="1" w:color="auto"/>
          <w:right w:val="single" w:sz="4" w:space="4" w:color="auto"/>
        </w:pBdr>
        <w:rPr>
          <w:color w:val="1F497D"/>
          <w:highlight w:val="cyan"/>
        </w:rPr>
      </w:pPr>
    </w:p>
    <w:p w14:paraId="7ACC7AD9" w14:textId="18AFC009" w:rsidR="007E23F9" w:rsidRDefault="001B2EB5" w:rsidP="003F63C0">
      <w:pPr>
        <w:pBdr>
          <w:top w:val="single" w:sz="4" w:space="1" w:color="auto"/>
          <w:left w:val="single" w:sz="4" w:space="4" w:color="auto"/>
          <w:bottom w:val="single" w:sz="4" w:space="1" w:color="auto"/>
          <w:right w:val="single" w:sz="4" w:space="4" w:color="auto"/>
        </w:pBdr>
        <w:rPr>
          <w:color w:val="1F497D"/>
        </w:rPr>
      </w:pPr>
      <w:r w:rsidRPr="003F63C0">
        <w:rPr>
          <w:color w:val="1F497D"/>
        </w:rPr>
        <w:t>Exhibit A is PURA’s annual RPS compliance form.  Exhibit A calculates the ACP as well as how payment is allocated to each EDC and, where applicable, to the Green Bank</w:t>
      </w:r>
      <w:r w:rsidR="003F63C0" w:rsidRPr="003F63C0">
        <w:rPr>
          <w:color w:val="1F497D"/>
        </w:rPr>
        <w:t>.</w:t>
      </w:r>
    </w:p>
    <w:p w14:paraId="3CEBEAC2" w14:textId="51096DCC" w:rsidR="007E23F9" w:rsidRDefault="007E23F9" w:rsidP="007E23F9">
      <w:pPr>
        <w:rPr>
          <w:color w:val="1F497D"/>
        </w:rPr>
      </w:pPr>
    </w:p>
    <w:p w14:paraId="71C6125C" w14:textId="4B2A66B1" w:rsidR="00622A66" w:rsidRDefault="00622A66" w:rsidP="007E23F9">
      <w:pPr>
        <w:rPr>
          <w:color w:val="1F497D"/>
        </w:rPr>
      </w:pPr>
    </w:p>
    <w:p w14:paraId="34B26826" w14:textId="38CDBDDF" w:rsidR="00622A66" w:rsidRDefault="00622A66" w:rsidP="007E23F9">
      <w:pPr>
        <w:rPr>
          <w:color w:val="1F497D"/>
        </w:rPr>
      </w:pPr>
    </w:p>
    <w:p w14:paraId="47F9F6D8" w14:textId="514F26CF" w:rsidR="00622A66" w:rsidRDefault="00622A66" w:rsidP="007E23F9">
      <w:pPr>
        <w:rPr>
          <w:color w:val="1F497D"/>
        </w:rPr>
      </w:pPr>
    </w:p>
    <w:p w14:paraId="6490B2CE" w14:textId="0EE37D48" w:rsidR="00622A66" w:rsidRDefault="00622A66" w:rsidP="007E23F9">
      <w:pPr>
        <w:rPr>
          <w:color w:val="1F497D"/>
        </w:rPr>
      </w:pPr>
    </w:p>
    <w:p w14:paraId="4849F6BE" w14:textId="77777777" w:rsidR="00622A66" w:rsidRDefault="00622A66" w:rsidP="007E23F9">
      <w:pPr>
        <w:rPr>
          <w:color w:val="1F497D"/>
        </w:rPr>
      </w:pPr>
    </w:p>
    <w:p w14:paraId="4199DAC2" w14:textId="77777777" w:rsidR="007E23F9" w:rsidRPr="000A67B4" w:rsidRDefault="007E23F9" w:rsidP="007E23F9">
      <w:pPr>
        <w:pBdr>
          <w:top w:val="single" w:sz="4" w:space="1" w:color="auto"/>
          <w:left w:val="single" w:sz="4" w:space="4" w:color="auto"/>
          <w:bottom w:val="single" w:sz="4" w:space="1" w:color="auto"/>
          <w:right w:val="single" w:sz="4" w:space="4" w:color="auto"/>
        </w:pBdr>
        <w:rPr>
          <w:color w:val="1F497D"/>
          <w:u w:val="single"/>
        </w:rPr>
      </w:pPr>
      <w:r w:rsidRPr="000A67B4">
        <w:rPr>
          <w:color w:val="1F497D"/>
          <w:u w:val="single"/>
        </w:rPr>
        <w:t>Question –</w:t>
      </w:r>
      <w:r>
        <w:rPr>
          <w:color w:val="1F497D"/>
          <w:u w:val="single"/>
        </w:rPr>
        <w:t xml:space="preserve"> Past RPS Compliance Proceedings</w:t>
      </w:r>
    </w:p>
    <w:p w14:paraId="466A2CDA" w14:textId="77777777" w:rsidR="007E23F9" w:rsidRPr="004C304C"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Where can I find information about past PURA RPS proceedings and rulings?</w:t>
      </w:r>
    </w:p>
    <w:p w14:paraId="72478201" w14:textId="77777777" w:rsidR="007E23F9" w:rsidRDefault="007E23F9" w:rsidP="007E23F9">
      <w:pPr>
        <w:pBdr>
          <w:top w:val="single" w:sz="4" w:space="1" w:color="auto"/>
          <w:left w:val="single" w:sz="4" w:space="4" w:color="auto"/>
          <w:bottom w:val="single" w:sz="4" w:space="1" w:color="auto"/>
          <w:right w:val="single" w:sz="4" w:space="4" w:color="auto"/>
        </w:pBdr>
        <w:rPr>
          <w:color w:val="1F497D"/>
        </w:rPr>
      </w:pPr>
    </w:p>
    <w:p w14:paraId="3C536643" w14:textId="77777777" w:rsidR="007E23F9"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Answer</w:t>
      </w:r>
    </w:p>
    <w:p w14:paraId="6686E297"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2009 – Docket No. 10-09-06</w:t>
      </w:r>
    </w:p>
    <w:p w14:paraId="5FAFBB48"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sidRPr="00865EA2">
        <w:rPr>
          <w:color w:val="1F497D"/>
        </w:rPr>
        <w:t>2010</w:t>
      </w:r>
      <w:r>
        <w:rPr>
          <w:color w:val="1F497D"/>
        </w:rPr>
        <w:t xml:space="preserve"> </w:t>
      </w:r>
      <w:r w:rsidRPr="00865EA2">
        <w:rPr>
          <w:color w:val="1F497D"/>
        </w:rPr>
        <w:t xml:space="preserve">– </w:t>
      </w:r>
      <w:r>
        <w:rPr>
          <w:color w:val="1F497D"/>
        </w:rPr>
        <w:t xml:space="preserve">Docket No. </w:t>
      </w:r>
      <w:r w:rsidRPr="00865EA2">
        <w:rPr>
          <w:color w:val="1F497D"/>
        </w:rPr>
        <w:t>11-09-03</w:t>
      </w:r>
    </w:p>
    <w:p w14:paraId="73B09FBB"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 xml:space="preserve">2011 – Docket No. </w:t>
      </w:r>
      <w:r w:rsidRPr="00865EA2">
        <w:rPr>
          <w:color w:val="1F497D"/>
        </w:rPr>
        <w:t>12-09-02</w:t>
      </w:r>
    </w:p>
    <w:p w14:paraId="59ECBC52"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 xml:space="preserve">2012 – Docket No. </w:t>
      </w:r>
      <w:r w:rsidRPr="00865EA2">
        <w:rPr>
          <w:color w:val="1F497D"/>
        </w:rPr>
        <w:t>13-06-11</w:t>
      </w:r>
    </w:p>
    <w:p w14:paraId="6A018B80"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 xml:space="preserve">2013 – Docket No. </w:t>
      </w:r>
      <w:r w:rsidRPr="00865EA2">
        <w:rPr>
          <w:color w:val="1F497D"/>
        </w:rPr>
        <w:t>14-05-35</w:t>
      </w:r>
    </w:p>
    <w:p w14:paraId="5851950D"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sidRPr="00865EA2">
        <w:rPr>
          <w:color w:val="1F497D"/>
        </w:rPr>
        <w:t>2014</w:t>
      </w:r>
      <w:r>
        <w:rPr>
          <w:color w:val="1F497D"/>
        </w:rPr>
        <w:t xml:space="preserve"> </w:t>
      </w:r>
      <w:r w:rsidRPr="00865EA2">
        <w:rPr>
          <w:color w:val="1F497D"/>
        </w:rPr>
        <w:t>– D</w:t>
      </w:r>
      <w:r>
        <w:rPr>
          <w:color w:val="1F497D"/>
        </w:rPr>
        <w:t xml:space="preserve">ocket </w:t>
      </w:r>
      <w:r w:rsidRPr="00865EA2">
        <w:rPr>
          <w:color w:val="1F497D"/>
        </w:rPr>
        <w:t>N</w:t>
      </w:r>
      <w:r>
        <w:rPr>
          <w:color w:val="1F497D"/>
        </w:rPr>
        <w:t>o.</w:t>
      </w:r>
      <w:r w:rsidRPr="00865EA2">
        <w:rPr>
          <w:color w:val="1F497D"/>
        </w:rPr>
        <w:t xml:space="preserve"> 15-09-18</w:t>
      </w:r>
    </w:p>
    <w:p w14:paraId="4CCFEE9C"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sidRPr="00865EA2">
        <w:rPr>
          <w:color w:val="1F497D"/>
        </w:rPr>
        <w:t>2015</w:t>
      </w:r>
      <w:r>
        <w:rPr>
          <w:color w:val="1F497D"/>
        </w:rPr>
        <w:t xml:space="preserve"> </w:t>
      </w:r>
      <w:r w:rsidRPr="00865EA2">
        <w:rPr>
          <w:color w:val="1F497D"/>
        </w:rPr>
        <w:t>– D</w:t>
      </w:r>
      <w:r>
        <w:rPr>
          <w:color w:val="1F497D"/>
        </w:rPr>
        <w:t>ocket No.</w:t>
      </w:r>
      <w:r w:rsidRPr="00865EA2">
        <w:rPr>
          <w:color w:val="1F497D"/>
        </w:rPr>
        <w:t xml:space="preserve"> 16-07-20</w:t>
      </w:r>
    </w:p>
    <w:p w14:paraId="6001BD2C"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 xml:space="preserve">2016 </w:t>
      </w:r>
      <w:r w:rsidRPr="00865EA2">
        <w:rPr>
          <w:color w:val="1F497D"/>
        </w:rPr>
        <w:t>– D</w:t>
      </w:r>
      <w:r>
        <w:rPr>
          <w:color w:val="1F497D"/>
        </w:rPr>
        <w:t xml:space="preserve">ocket No. </w:t>
      </w:r>
      <w:r w:rsidRPr="00865EA2">
        <w:rPr>
          <w:color w:val="1F497D"/>
        </w:rPr>
        <w:t>17-06-23</w:t>
      </w:r>
    </w:p>
    <w:p w14:paraId="3DC32D68" w14:textId="77777777" w:rsidR="007E23F9" w:rsidRPr="00865EA2"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 xml:space="preserve">2017 </w:t>
      </w:r>
      <w:r w:rsidRPr="00865EA2">
        <w:rPr>
          <w:color w:val="1F497D"/>
        </w:rPr>
        <w:t>– D</w:t>
      </w:r>
      <w:r>
        <w:rPr>
          <w:color w:val="1F497D"/>
        </w:rPr>
        <w:t>ocket No.</w:t>
      </w:r>
      <w:r w:rsidRPr="00865EA2">
        <w:rPr>
          <w:color w:val="1F497D"/>
        </w:rPr>
        <w:t xml:space="preserve"> 18-06-28</w:t>
      </w:r>
    </w:p>
    <w:p w14:paraId="03B1C241" w14:textId="27B0985C" w:rsidR="007E23F9" w:rsidRDefault="007E23F9" w:rsidP="007E23F9">
      <w:pPr>
        <w:pBdr>
          <w:top w:val="single" w:sz="4" w:space="1" w:color="auto"/>
          <w:left w:val="single" w:sz="4" w:space="4" w:color="auto"/>
          <w:bottom w:val="single" w:sz="4" w:space="1" w:color="auto"/>
          <w:right w:val="single" w:sz="4" w:space="4" w:color="auto"/>
        </w:pBdr>
        <w:rPr>
          <w:color w:val="1F497D"/>
        </w:rPr>
      </w:pPr>
      <w:r>
        <w:rPr>
          <w:color w:val="1F497D"/>
        </w:rPr>
        <w:t>2018 – Docket No. 19-06-01</w:t>
      </w:r>
    </w:p>
    <w:p w14:paraId="3CD1BD97" w14:textId="1DF9F9C8" w:rsidR="00622A66" w:rsidRDefault="00622A66" w:rsidP="007E23F9">
      <w:pPr>
        <w:pBdr>
          <w:top w:val="single" w:sz="4" w:space="1" w:color="auto"/>
          <w:left w:val="single" w:sz="4" w:space="4" w:color="auto"/>
          <w:bottom w:val="single" w:sz="4" w:space="1" w:color="auto"/>
          <w:right w:val="single" w:sz="4" w:space="4" w:color="auto"/>
        </w:pBdr>
        <w:rPr>
          <w:color w:val="1F497D"/>
        </w:rPr>
      </w:pPr>
      <w:r>
        <w:rPr>
          <w:color w:val="1F497D"/>
        </w:rPr>
        <w:t>2019 – Docket No. 20-06-01</w:t>
      </w:r>
    </w:p>
    <w:p w14:paraId="2187B181" w14:textId="288D8CE5" w:rsidR="00622A66" w:rsidRDefault="00622A66" w:rsidP="007E23F9">
      <w:pPr>
        <w:pBdr>
          <w:top w:val="single" w:sz="4" w:space="1" w:color="auto"/>
          <w:left w:val="single" w:sz="4" w:space="4" w:color="auto"/>
          <w:bottom w:val="single" w:sz="4" w:space="1" w:color="auto"/>
          <w:right w:val="single" w:sz="4" w:space="4" w:color="auto"/>
        </w:pBdr>
        <w:rPr>
          <w:color w:val="1F497D"/>
        </w:rPr>
      </w:pPr>
      <w:r>
        <w:rPr>
          <w:color w:val="1F497D"/>
        </w:rPr>
        <w:t>2020 – Docket No. 21-06-01</w:t>
      </w:r>
    </w:p>
    <w:p w14:paraId="5962FB1E" w14:textId="62F69053" w:rsidR="000661F4" w:rsidRDefault="000661F4" w:rsidP="007E23F9">
      <w:pPr>
        <w:pBdr>
          <w:top w:val="single" w:sz="4" w:space="1" w:color="auto"/>
          <w:left w:val="single" w:sz="4" w:space="4" w:color="auto"/>
          <w:bottom w:val="single" w:sz="4" w:space="1" w:color="auto"/>
          <w:right w:val="single" w:sz="4" w:space="4" w:color="auto"/>
        </w:pBdr>
        <w:rPr>
          <w:color w:val="1F497D"/>
        </w:rPr>
      </w:pPr>
      <w:r>
        <w:rPr>
          <w:color w:val="1F497D"/>
        </w:rPr>
        <w:t>2021 – Docket No. 22-06-01</w:t>
      </w:r>
    </w:p>
    <w:p w14:paraId="280BB318" w14:textId="4A20A8EB" w:rsidR="000661F4" w:rsidRDefault="000661F4" w:rsidP="007E23F9">
      <w:pPr>
        <w:pBdr>
          <w:top w:val="single" w:sz="4" w:space="1" w:color="auto"/>
          <w:left w:val="single" w:sz="4" w:space="4" w:color="auto"/>
          <w:bottom w:val="single" w:sz="4" w:space="1" w:color="auto"/>
          <w:right w:val="single" w:sz="4" w:space="4" w:color="auto"/>
        </w:pBdr>
        <w:rPr>
          <w:color w:val="1F497D"/>
        </w:rPr>
      </w:pPr>
      <w:r>
        <w:rPr>
          <w:color w:val="1F497D"/>
        </w:rPr>
        <w:t xml:space="preserve">All RPS compliance dockets from 2018 forward may be found at last two digits of year-06-01.  </w:t>
      </w:r>
    </w:p>
    <w:p w14:paraId="5575F86D" w14:textId="77777777" w:rsidR="007E23F9" w:rsidRDefault="007E23F9" w:rsidP="007E23F9">
      <w:pPr>
        <w:pBdr>
          <w:top w:val="single" w:sz="4" w:space="1" w:color="auto"/>
          <w:left w:val="single" w:sz="4" w:space="4" w:color="auto"/>
          <w:bottom w:val="single" w:sz="4" w:space="1" w:color="auto"/>
          <w:right w:val="single" w:sz="4" w:space="4" w:color="auto"/>
        </w:pBdr>
        <w:rPr>
          <w:color w:val="1F497D"/>
        </w:rPr>
      </w:pPr>
    </w:p>
    <w:p w14:paraId="29C84C02" w14:textId="77777777" w:rsidR="007E23F9" w:rsidRDefault="007E23F9" w:rsidP="007E23F9">
      <w:pPr>
        <w:rPr>
          <w:color w:val="1F497D"/>
        </w:rPr>
      </w:pPr>
    </w:p>
    <w:p w14:paraId="0418BD79" w14:textId="77777777" w:rsidR="007E23F9" w:rsidRPr="000A67B4" w:rsidRDefault="007E23F9" w:rsidP="007E23F9">
      <w:pPr>
        <w:pBdr>
          <w:top w:val="single" w:sz="4" w:space="1" w:color="auto"/>
          <w:left w:val="single" w:sz="4" w:space="4" w:color="auto"/>
          <w:bottom w:val="single" w:sz="4" w:space="3" w:color="auto"/>
          <w:right w:val="single" w:sz="4" w:space="4" w:color="auto"/>
        </w:pBdr>
        <w:rPr>
          <w:color w:val="1F497D"/>
          <w:u w:val="single"/>
        </w:rPr>
      </w:pPr>
      <w:r w:rsidRPr="000A67B4">
        <w:rPr>
          <w:color w:val="1F497D"/>
          <w:u w:val="single"/>
        </w:rPr>
        <w:t>Question –</w:t>
      </w:r>
      <w:r>
        <w:rPr>
          <w:color w:val="1F497D"/>
          <w:u w:val="single"/>
        </w:rPr>
        <w:t xml:space="preserve"> Connecticut’s RPS obligation</w:t>
      </w:r>
    </w:p>
    <w:p w14:paraId="44298F24" w14:textId="77777777" w:rsidR="007E23F9" w:rsidRDefault="007E23F9" w:rsidP="007E23F9">
      <w:pPr>
        <w:pBdr>
          <w:top w:val="single" w:sz="4" w:space="1" w:color="auto"/>
          <w:left w:val="single" w:sz="4" w:space="4" w:color="auto"/>
          <w:bottom w:val="single" w:sz="4" w:space="3" w:color="auto"/>
          <w:right w:val="single" w:sz="4" w:space="4" w:color="auto"/>
        </w:pBdr>
        <w:rPr>
          <w:color w:val="1F497D"/>
        </w:rPr>
      </w:pPr>
      <w:r>
        <w:rPr>
          <w:color w:val="1F497D"/>
        </w:rPr>
        <w:t>What is Connecticut’s state</w:t>
      </w:r>
      <w:r>
        <w:rPr>
          <w:color w:val="1F497D"/>
        </w:rPr>
        <w:noBreakHyphen/>
        <w:t>wide annual RPS obligation?</w:t>
      </w:r>
    </w:p>
    <w:p w14:paraId="09653D29" w14:textId="77777777" w:rsidR="007E23F9" w:rsidRDefault="007E23F9" w:rsidP="007E23F9">
      <w:pPr>
        <w:pBdr>
          <w:top w:val="single" w:sz="4" w:space="1" w:color="auto"/>
          <w:left w:val="single" w:sz="4" w:space="4" w:color="auto"/>
          <w:bottom w:val="single" w:sz="4" w:space="3" w:color="auto"/>
          <w:right w:val="single" w:sz="4" w:space="4" w:color="auto"/>
        </w:pBdr>
        <w:rPr>
          <w:color w:val="1F497D"/>
        </w:rPr>
      </w:pPr>
    </w:p>
    <w:p w14:paraId="0BE802A6" w14:textId="77777777" w:rsidR="007E23F9" w:rsidRDefault="007E23F9" w:rsidP="007E23F9">
      <w:pPr>
        <w:pBdr>
          <w:top w:val="single" w:sz="4" w:space="1" w:color="auto"/>
          <w:left w:val="single" w:sz="4" w:space="4" w:color="auto"/>
          <w:bottom w:val="single" w:sz="4" w:space="3" w:color="auto"/>
          <w:right w:val="single" w:sz="4" w:space="4" w:color="auto"/>
        </w:pBdr>
        <w:rPr>
          <w:color w:val="1F497D"/>
        </w:rPr>
      </w:pPr>
      <w:r>
        <w:rPr>
          <w:color w:val="1F497D"/>
        </w:rPr>
        <w:t>Answer</w:t>
      </w:r>
    </w:p>
    <w:p w14:paraId="5EBA48FC" w14:textId="11774E64" w:rsidR="007E23F9" w:rsidRDefault="007E23F9" w:rsidP="007E23F9">
      <w:pPr>
        <w:pBdr>
          <w:top w:val="single" w:sz="4" w:space="1" w:color="auto"/>
          <w:left w:val="single" w:sz="4" w:space="4" w:color="auto"/>
          <w:bottom w:val="single" w:sz="4" w:space="3" w:color="auto"/>
          <w:right w:val="single" w:sz="4" w:space="4" w:color="auto"/>
        </w:pBdr>
        <w:rPr>
          <w:color w:val="1F497D"/>
        </w:rPr>
      </w:pPr>
      <w:r w:rsidRPr="00D4767F">
        <w:rPr>
          <w:color w:val="1F497D"/>
        </w:rPr>
        <w:t>PURA does not track the total CT electric retail sales used to determine statewide RPS obligations.</w:t>
      </w:r>
      <w:r>
        <w:rPr>
          <w:color w:val="1F497D"/>
        </w:rPr>
        <w:t xml:space="preserve"> </w:t>
      </w:r>
      <w:r w:rsidRPr="00D4767F">
        <w:rPr>
          <w:color w:val="1F497D"/>
        </w:rPr>
        <w:t xml:space="preserve"> PURA reviews and determines the annual RPS compliance obligations as it pertains to each load serving entity</w:t>
      </w:r>
      <w:r>
        <w:rPr>
          <w:color w:val="1F497D"/>
        </w:rPr>
        <w:t xml:space="preserve"> (LSE)</w:t>
      </w:r>
      <w:r w:rsidRPr="00D4767F">
        <w:rPr>
          <w:color w:val="1F497D"/>
        </w:rPr>
        <w:t>.</w:t>
      </w:r>
      <w:r>
        <w:rPr>
          <w:color w:val="1F497D"/>
        </w:rPr>
        <w:t xml:space="preserve"> </w:t>
      </w:r>
      <w:r w:rsidRPr="00D4767F">
        <w:rPr>
          <w:color w:val="1F497D"/>
        </w:rPr>
        <w:t xml:space="preserve"> The load obligation used to determine the RPS obligation is </w:t>
      </w:r>
      <w:r>
        <w:rPr>
          <w:color w:val="1F497D"/>
        </w:rPr>
        <w:t>provided</w:t>
      </w:r>
      <w:r w:rsidRPr="00D4767F">
        <w:rPr>
          <w:color w:val="1F497D"/>
        </w:rPr>
        <w:t xml:space="preserve"> to each </w:t>
      </w:r>
      <w:r>
        <w:rPr>
          <w:color w:val="1F497D"/>
        </w:rPr>
        <w:t>LSE</w:t>
      </w:r>
      <w:r w:rsidRPr="00D4767F">
        <w:rPr>
          <w:color w:val="1F497D"/>
        </w:rPr>
        <w:t xml:space="preserve"> by the electric distribution companies (EDCs).</w:t>
      </w:r>
      <w:r>
        <w:rPr>
          <w:color w:val="1F497D"/>
        </w:rPr>
        <w:t xml:space="preserve"> </w:t>
      </w:r>
      <w:r w:rsidRPr="00D4767F">
        <w:rPr>
          <w:color w:val="1F497D"/>
        </w:rPr>
        <w:t xml:space="preserve"> The EDCs provide a load summary to PURA one month prior the RPS compliance filing deadline</w:t>
      </w:r>
      <w:r>
        <w:rPr>
          <w:color w:val="1F497D"/>
        </w:rPr>
        <w:t>, annually on October 15</w:t>
      </w:r>
      <w:r w:rsidRPr="007E0212">
        <w:rPr>
          <w:color w:val="1F497D"/>
          <w:vertAlign w:val="superscript"/>
        </w:rPr>
        <w:t>th</w:t>
      </w:r>
      <w:r>
        <w:rPr>
          <w:color w:val="1F497D"/>
        </w:rPr>
        <w:t xml:space="preserve">, </w:t>
      </w:r>
      <w:r w:rsidRPr="00D4767F">
        <w:rPr>
          <w:color w:val="1F497D"/>
        </w:rPr>
        <w:t>which is used fo</w:t>
      </w:r>
      <w:r>
        <w:rPr>
          <w:color w:val="1F497D"/>
        </w:rPr>
        <w:t xml:space="preserve">r PURA’s verification purposes. </w:t>
      </w:r>
      <w:r w:rsidRPr="00D4767F">
        <w:rPr>
          <w:color w:val="1F497D"/>
        </w:rPr>
        <w:t xml:space="preserve"> </w:t>
      </w:r>
      <w:r w:rsidR="009934A8">
        <w:rPr>
          <w:color w:val="1F497D"/>
        </w:rPr>
        <w:t xml:space="preserve">The most recent RPS docket will be YEAR-06-01 (e.g., 21-06-01, etc…).  </w:t>
      </w:r>
    </w:p>
    <w:p w14:paraId="6663A6AA" w14:textId="54F69C17" w:rsidR="00164FE0" w:rsidRDefault="00164FE0" w:rsidP="007E23F9">
      <w:pPr>
        <w:pBdr>
          <w:top w:val="single" w:sz="4" w:space="1" w:color="auto"/>
          <w:left w:val="single" w:sz="4" w:space="4" w:color="auto"/>
          <w:bottom w:val="single" w:sz="4" w:space="3" w:color="auto"/>
          <w:right w:val="single" w:sz="4" w:space="4" w:color="auto"/>
        </w:pBdr>
        <w:rPr>
          <w:color w:val="1F497D"/>
        </w:rPr>
      </w:pPr>
    </w:p>
    <w:p w14:paraId="502A6661" w14:textId="3F8C4CBD" w:rsidR="00BB5764" w:rsidRDefault="00BB5764"/>
    <w:p w14:paraId="0468C402" w14:textId="6F557265" w:rsidR="007E23F9" w:rsidRDefault="007E23F9">
      <w:r>
        <w:br w:type="page"/>
      </w:r>
    </w:p>
    <w:p w14:paraId="3C127D16" w14:textId="77777777" w:rsidR="007E23F9" w:rsidRDefault="007E23F9"/>
    <w:p w14:paraId="46597995" w14:textId="77777777" w:rsidR="0051192C" w:rsidRDefault="0051192C" w:rsidP="0051192C">
      <w:pPr>
        <w:pStyle w:val="Heading1"/>
      </w:pPr>
      <w:bookmarkStart w:id="2" w:name="_Toc131170501"/>
      <w:r>
        <w:t>Class I, II and III Renewable Energy Sources</w:t>
      </w:r>
      <w:bookmarkEnd w:id="2"/>
    </w:p>
    <w:p w14:paraId="719A1D45" w14:textId="77777777" w:rsidR="008803C5" w:rsidRPr="008803C5" w:rsidRDefault="008803C5" w:rsidP="008803C5">
      <w:pPr>
        <w:spacing w:line="259" w:lineRule="auto"/>
        <w:jc w:val="both"/>
      </w:pPr>
    </w:p>
    <w:p w14:paraId="4061DF98" w14:textId="72FC5A89" w:rsidR="008803C5" w:rsidRDefault="000A3B20" w:rsidP="008803C5">
      <w:pPr>
        <w:spacing w:line="259" w:lineRule="auto"/>
        <w:jc w:val="both"/>
      </w:pPr>
      <w:r w:rsidRPr="000A3B20">
        <w:rPr>
          <w:rFonts w:cstheme="minorHAnsi"/>
        </w:rPr>
        <w:t>Separate portfolio standards are required fo</w:t>
      </w:r>
      <w:r>
        <w:rPr>
          <w:rFonts w:cstheme="minorHAnsi"/>
        </w:rPr>
        <w:t>r energy sources classified as Class I,</w:t>
      </w:r>
      <w:r w:rsidRPr="000A3B20">
        <w:rPr>
          <w:rFonts w:cstheme="minorHAnsi"/>
        </w:rPr>
        <w:t xml:space="preserve"> Class II, or Class III.</w:t>
      </w:r>
      <w:r>
        <w:rPr>
          <w:rFonts w:cstheme="minorHAnsi"/>
        </w:rPr>
        <w:t xml:space="preserve">  </w:t>
      </w:r>
      <w:r w:rsidR="000970FF" w:rsidRPr="000A3B20">
        <w:rPr>
          <w:rFonts w:cstheme="minorHAnsi"/>
        </w:rPr>
        <w:t xml:space="preserve">A general explanation of </w:t>
      </w:r>
      <w:r>
        <w:rPr>
          <w:rFonts w:cstheme="minorHAnsi"/>
        </w:rPr>
        <w:t xml:space="preserve">these </w:t>
      </w:r>
      <w:r w:rsidR="00CE7D06" w:rsidRPr="000A3B20">
        <w:rPr>
          <w:rFonts w:cstheme="minorHAnsi"/>
        </w:rPr>
        <w:t xml:space="preserve">sources is </w:t>
      </w:r>
      <w:r w:rsidR="005D120C" w:rsidRPr="000A3B20">
        <w:rPr>
          <w:rFonts w:cstheme="minorHAnsi"/>
        </w:rPr>
        <w:t>provide below</w:t>
      </w:r>
      <w:r w:rsidR="00CE7D06" w:rsidRPr="000A3B20">
        <w:rPr>
          <w:rFonts w:cstheme="minorHAnsi"/>
        </w:rPr>
        <w:t>.  See the</w:t>
      </w:r>
      <w:r w:rsidR="00CE7D06">
        <w:t xml:space="preserve"> </w:t>
      </w:r>
      <w:r w:rsidR="00CE7D06" w:rsidRPr="008803C5">
        <w:t>ap</w:t>
      </w:r>
      <w:r w:rsidR="00CE7D06">
        <w:t xml:space="preserve">propriate sections of </w:t>
      </w:r>
      <w:r w:rsidR="00A67958">
        <w:t>Conn. Gen. Stat. § 16</w:t>
      </w:r>
      <w:r w:rsidR="00A67958">
        <w:noBreakHyphen/>
      </w:r>
      <w:proofErr w:type="gramStart"/>
      <w:r w:rsidR="00CE7D06" w:rsidRPr="008803C5">
        <w:t>1(</w:t>
      </w:r>
      <w:proofErr w:type="gramEnd"/>
      <w:r w:rsidR="00CE7D06" w:rsidRPr="008803C5">
        <w:t xml:space="preserve">a) for </w:t>
      </w:r>
      <w:r w:rsidR="002B7770">
        <w:t xml:space="preserve">the </w:t>
      </w:r>
      <w:r w:rsidR="00CE7D06" w:rsidRPr="008803C5">
        <w:t xml:space="preserve">specific </w:t>
      </w:r>
      <w:r w:rsidR="00CE7D06">
        <w:t>statutory requirement.</w:t>
      </w:r>
    </w:p>
    <w:p w14:paraId="05CBAA0E" w14:textId="77777777" w:rsidR="00C56E0A" w:rsidRPr="008803C5" w:rsidRDefault="00C56E0A" w:rsidP="008803C5">
      <w:pPr>
        <w:spacing w:line="259" w:lineRule="auto"/>
        <w:jc w:val="both"/>
      </w:pPr>
    </w:p>
    <w:p w14:paraId="71479AC6" w14:textId="71E009E9" w:rsidR="008803C5" w:rsidRDefault="008803C5" w:rsidP="009E0D15">
      <w:pPr>
        <w:spacing w:after="160" w:line="259" w:lineRule="auto"/>
        <w:contextualSpacing/>
        <w:jc w:val="both"/>
      </w:pPr>
      <w:r w:rsidRPr="000C65FC">
        <w:rPr>
          <w:u w:val="single"/>
        </w:rPr>
        <w:t>Class I renewable energy source</w:t>
      </w:r>
      <w:r w:rsidRPr="000C65FC">
        <w:t xml:space="preserve"> </w:t>
      </w:r>
      <w:r w:rsidR="00BE6118" w:rsidRPr="000C65FC">
        <w:t>–</w:t>
      </w:r>
      <w:r w:rsidR="00895D8F" w:rsidRPr="000C65FC">
        <w:t xml:space="preserve"> </w:t>
      </w:r>
      <w:r w:rsidR="00BE6118" w:rsidRPr="000C65FC">
        <w:t>Conn. Gen. Stat. § </w:t>
      </w:r>
      <w:r w:rsidRPr="000C65FC">
        <w:t xml:space="preserve">16-1(a)(20) </w:t>
      </w:r>
      <w:r w:rsidR="00BE6118" w:rsidRPr="000C65FC">
        <w:t xml:space="preserve">defines this as </w:t>
      </w:r>
      <w:r w:rsidRPr="000C65FC">
        <w:t>electricity derived from solar, wind, fuel cell, geothermal, landfill methane gas, anaerobic digestion or other biogas, thermal electric, ocean thermal power, wave or tidal power, low emission advanced renewable energy conversion technologies, certain run</w:t>
      </w:r>
      <w:r w:rsidR="00BE6118" w:rsidRPr="000C65FC">
        <w:noBreakHyphen/>
      </w:r>
      <w:r w:rsidRPr="000C65FC">
        <w:t>of</w:t>
      </w:r>
      <w:r w:rsidR="00BE6118" w:rsidRPr="000C65FC">
        <w:noBreakHyphen/>
      </w:r>
      <w:r w:rsidRPr="000C65FC">
        <w:t>the</w:t>
      </w:r>
      <w:r w:rsidR="00BE6118" w:rsidRPr="000C65FC">
        <w:noBreakHyphen/>
      </w:r>
      <w:r w:rsidRPr="000C65FC">
        <w:t>river hydro</w:t>
      </w:r>
      <w:r w:rsidR="00BE6118" w:rsidRPr="000C65FC">
        <w:t xml:space="preserve">electric </w:t>
      </w:r>
      <w:r w:rsidRPr="000C65FC">
        <w:t>facilit</w:t>
      </w:r>
      <w:r w:rsidR="00BE6118" w:rsidRPr="000C65FC">
        <w:t>ies</w:t>
      </w:r>
      <w:r w:rsidR="005D182D" w:rsidRPr="000C65FC">
        <w:t xml:space="preserve"> that </w:t>
      </w:r>
      <w:r w:rsidRPr="000C65FC">
        <w:t xml:space="preserve">began operation after </w:t>
      </w:r>
      <w:r w:rsidR="00BE6118" w:rsidRPr="000C65FC">
        <w:t>July 1, 2003</w:t>
      </w:r>
      <w:r w:rsidRPr="000C65FC">
        <w:t xml:space="preserve">, </w:t>
      </w:r>
      <w:r w:rsidR="005D182D" w:rsidRPr="000C65FC">
        <w:t>c</w:t>
      </w:r>
      <w:r w:rsidRPr="000C65FC">
        <w:t>ertain biomass that uses sustainable fuel</w:t>
      </w:r>
      <w:r w:rsidR="005D182D" w:rsidRPr="000C65FC">
        <w:t>,</w:t>
      </w:r>
      <w:r w:rsidRPr="000C65FC">
        <w:t xml:space="preserve"> and any electrical generation, including distributed generation, generated from a Class I renewable energy source</w:t>
      </w:r>
      <w:r w:rsidR="000C65FC">
        <w:t>.</w:t>
      </w:r>
    </w:p>
    <w:p w14:paraId="630986E7" w14:textId="77777777" w:rsidR="009E0D15" w:rsidRPr="008803C5" w:rsidRDefault="009E0D15" w:rsidP="009E0D15">
      <w:pPr>
        <w:spacing w:after="160" w:line="259" w:lineRule="auto"/>
        <w:contextualSpacing/>
        <w:jc w:val="both"/>
      </w:pPr>
    </w:p>
    <w:p w14:paraId="7F893830" w14:textId="77777777" w:rsidR="008803C5" w:rsidRDefault="008803C5" w:rsidP="009E0D15">
      <w:pPr>
        <w:spacing w:after="160" w:line="259" w:lineRule="auto"/>
        <w:contextualSpacing/>
        <w:jc w:val="both"/>
      </w:pPr>
      <w:r w:rsidRPr="00895D8F">
        <w:rPr>
          <w:u w:val="single"/>
        </w:rPr>
        <w:t>Class II renewable energy source</w:t>
      </w:r>
      <w:r w:rsidRPr="008803C5">
        <w:t xml:space="preserve"> </w:t>
      </w:r>
      <w:r w:rsidR="00895D8F">
        <w:t>-</w:t>
      </w:r>
      <w:r w:rsidR="003B7712" w:rsidRPr="003B7712">
        <w:t xml:space="preserve"> </w:t>
      </w:r>
      <w:r w:rsidR="003B7712">
        <w:t xml:space="preserve">Conn. </w:t>
      </w:r>
      <w:r w:rsidR="003B7712" w:rsidRPr="00BE6118">
        <w:t>Gen. Stat. § </w:t>
      </w:r>
      <w:r w:rsidRPr="008803C5">
        <w:t>16-1(a</w:t>
      </w:r>
      <w:proofErr w:type="gramStart"/>
      <w:r w:rsidRPr="008803C5">
        <w:t>)(</w:t>
      </w:r>
      <w:proofErr w:type="gramEnd"/>
      <w:r w:rsidRPr="008803C5">
        <w:t xml:space="preserve">21) </w:t>
      </w:r>
      <w:r w:rsidR="003B7712">
        <w:t xml:space="preserve">defines this as electricity derived from </w:t>
      </w:r>
      <w:r w:rsidR="00F76475">
        <w:t xml:space="preserve">a </w:t>
      </w:r>
      <w:r w:rsidR="003B7712">
        <w:t>trash</w:t>
      </w:r>
      <w:r w:rsidR="003B7712">
        <w:noBreakHyphen/>
      </w:r>
      <w:r w:rsidRPr="008803C5">
        <w:t>to</w:t>
      </w:r>
      <w:r w:rsidR="003B7712">
        <w:noBreakHyphen/>
      </w:r>
      <w:r w:rsidRPr="008803C5">
        <w:t>energy</w:t>
      </w:r>
      <w:r w:rsidR="003B7712">
        <w:t xml:space="preserve"> facilit</w:t>
      </w:r>
      <w:r w:rsidR="00F76475">
        <w:t>y</w:t>
      </w:r>
      <w:r w:rsidRPr="008803C5">
        <w:t>.</w:t>
      </w:r>
    </w:p>
    <w:p w14:paraId="4E3D7555" w14:textId="77777777" w:rsidR="009E0D15" w:rsidRPr="008803C5" w:rsidRDefault="009E0D15" w:rsidP="009E0D15">
      <w:pPr>
        <w:spacing w:after="160" w:line="259" w:lineRule="auto"/>
        <w:contextualSpacing/>
        <w:jc w:val="both"/>
      </w:pPr>
    </w:p>
    <w:p w14:paraId="26CB2D4D" w14:textId="77777777" w:rsidR="008803C5" w:rsidRPr="008803C5" w:rsidRDefault="008803C5" w:rsidP="009E0D15">
      <w:pPr>
        <w:spacing w:after="160" w:line="259" w:lineRule="auto"/>
        <w:contextualSpacing/>
        <w:jc w:val="both"/>
      </w:pPr>
      <w:r w:rsidRPr="00DA2905">
        <w:rPr>
          <w:u w:val="single"/>
        </w:rPr>
        <w:t>Class III renewable energy source</w:t>
      </w:r>
      <w:r w:rsidR="0055134A">
        <w:t xml:space="preserve"> </w:t>
      </w:r>
      <w:r w:rsidR="0019613B">
        <w:t>–</w:t>
      </w:r>
      <w:r w:rsidRPr="008803C5">
        <w:t xml:space="preserve"> </w:t>
      </w:r>
      <w:r w:rsidR="0019613B">
        <w:t xml:space="preserve">Conn. </w:t>
      </w:r>
      <w:r w:rsidR="0019613B" w:rsidRPr="00BE6118">
        <w:t>Gen. Stat. § </w:t>
      </w:r>
      <w:r w:rsidRPr="008803C5">
        <w:t xml:space="preserve">16-1(a)(38) </w:t>
      </w:r>
      <w:r w:rsidR="003522C5">
        <w:t>defines this as electricity</w:t>
      </w:r>
      <w:r w:rsidRPr="008803C5">
        <w:t xml:space="preserve"> derived from combined heat and pow</w:t>
      </w:r>
      <w:r w:rsidR="00DC397E">
        <w:t>er systems, waste heat recovery and</w:t>
      </w:r>
      <w:r w:rsidRPr="008803C5">
        <w:t xml:space="preserve"> </w:t>
      </w:r>
      <w:r w:rsidR="00EA5CE2">
        <w:t xml:space="preserve">the </w:t>
      </w:r>
      <w:r w:rsidR="00237033" w:rsidRPr="008803C5">
        <w:t xml:space="preserve">electric savings from </w:t>
      </w:r>
      <w:r w:rsidRPr="008803C5">
        <w:t>conservation and load management</w:t>
      </w:r>
      <w:r w:rsidR="00237033">
        <w:t xml:space="preserve"> programs </w:t>
      </w:r>
      <w:r w:rsidR="00EA5CE2">
        <w:t>or</w:t>
      </w:r>
      <w:r w:rsidRPr="008803C5">
        <w:t xml:space="preserve"> demand side management project</w:t>
      </w:r>
      <w:r w:rsidR="003522C5">
        <w:t>s</w:t>
      </w:r>
      <w:r w:rsidRPr="008803C5">
        <w:t>.</w:t>
      </w:r>
    </w:p>
    <w:p w14:paraId="5B959A45" w14:textId="77777777" w:rsidR="008803C5" w:rsidRPr="008803C5" w:rsidRDefault="008803C5" w:rsidP="008803C5">
      <w:pPr>
        <w:spacing w:line="259" w:lineRule="auto"/>
        <w:jc w:val="both"/>
      </w:pPr>
    </w:p>
    <w:p w14:paraId="0A9FFE31" w14:textId="77777777" w:rsidR="005B4F0F" w:rsidRDefault="005B4F0F" w:rsidP="00032401">
      <w:pPr>
        <w:spacing w:line="259" w:lineRule="auto"/>
        <w:jc w:val="both"/>
      </w:pPr>
      <w:r>
        <w:t xml:space="preserve">The following table shows the </w:t>
      </w:r>
      <w:r w:rsidR="00E0285F">
        <w:t xml:space="preserve">annual </w:t>
      </w:r>
      <w:r>
        <w:t>RPS percentages</w:t>
      </w:r>
      <w:r w:rsidR="00267DFB">
        <w:t>.</w:t>
      </w:r>
    </w:p>
    <w:p w14:paraId="46590930" w14:textId="77777777" w:rsidR="004F4C2A" w:rsidRDefault="004F4C2A" w:rsidP="00032401">
      <w:pPr>
        <w:spacing w:line="259" w:lineRule="auto"/>
        <w:jc w:val="both"/>
      </w:pPr>
    </w:p>
    <w:p w14:paraId="40980125" w14:textId="7426E95C" w:rsidR="00EA0F54" w:rsidRPr="008803C5" w:rsidRDefault="00EA0F54" w:rsidP="00EA0F54">
      <w:pPr>
        <w:keepNext/>
        <w:spacing w:line="259" w:lineRule="auto"/>
        <w:jc w:val="center"/>
      </w:pPr>
      <w:r>
        <w:t>Annual RPS Percentages</w:t>
      </w:r>
    </w:p>
    <w:tbl>
      <w:tblPr>
        <w:tblW w:w="5560" w:type="dxa"/>
        <w:tblInd w:w="2330" w:type="dxa"/>
        <w:tblLook w:val="04A0" w:firstRow="1" w:lastRow="0" w:firstColumn="1" w:lastColumn="0" w:noHBand="0" w:noVBand="1"/>
      </w:tblPr>
      <w:tblGrid>
        <w:gridCol w:w="1080"/>
        <w:gridCol w:w="1600"/>
        <w:gridCol w:w="960"/>
        <w:gridCol w:w="960"/>
        <w:gridCol w:w="960"/>
      </w:tblGrid>
      <w:tr w:rsidR="009934A8" w:rsidRPr="009934A8" w14:paraId="17D3D72C" w14:textId="77777777" w:rsidTr="009934A8">
        <w:trPr>
          <w:trHeight w:val="288"/>
        </w:trPr>
        <w:tc>
          <w:tcPr>
            <w:tcW w:w="1080" w:type="dxa"/>
            <w:tcBorders>
              <w:top w:val="nil"/>
              <w:left w:val="nil"/>
              <w:bottom w:val="nil"/>
              <w:right w:val="nil"/>
            </w:tcBorders>
            <w:shd w:val="clear" w:color="auto" w:fill="auto"/>
            <w:noWrap/>
            <w:vAlign w:val="bottom"/>
            <w:hideMark/>
          </w:tcPr>
          <w:p w14:paraId="1B9D5839" w14:textId="77777777" w:rsidR="009934A8" w:rsidRPr="009934A8" w:rsidRDefault="009934A8" w:rsidP="009934A8">
            <w:pPr>
              <w:jc w:val="center"/>
              <w:rPr>
                <w:rFonts w:ascii="Calibri" w:eastAsia="Times New Roman" w:hAnsi="Calibri" w:cs="Calibri"/>
                <w:color w:val="000000"/>
              </w:rPr>
            </w:pPr>
            <w:r w:rsidRPr="009934A8">
              <w:rPr>
                <w:rFonts w:ascii="Calibri" w:eastAsia="Times New Roman" w:hAnsi="Calibri" w:cs="Calibri"/>
                <w:color w:val="000000"/>
              </w:rPr>
              <w:t>Year</w:t>
            </w:r>
          </w:p>
        </w:tc>
        <w:tc>
          <w:tcPr>
            <w:tcW w:w="1600" w:type="dxa"/>
            <w:tcBorders>
              <w:top w:val="nil"/>
              <w:left w:val="nil"/>
              <w:bottom w:val="nil"/>
              <w:right w:val="nil"/>
            </w:tcBorders>
            <w:shd w:val="clear" w:color="auto" w:fill="auto"/>
            <w:noWrap/>
            <w:vAlign w:val="bottom"/>
            <w:hideMark/>
          </w:tcPr>
          <w:p w14:paraId="7E4E4B29" w14:textId="77777777" w:rsidR="009934A8" w:rsidRPr="009934A8" w:rsidRDefault="009934A8" w:rsidP="009934A8">
            <w:pPr>
              <w:jc w:val="center"/>
              <w:rPr>
                <w:rFonts w:ascii="Calibri" w:eastAsia="Times New Roman" w:hAnsi="Calibri" w:cs="Calibri"/>
                <w:color w:val="000000"/>
              </w:rPr>
            </w:pPr>
            <w:r w:rsidRPr="009934A8">
              <w:rPr>
                <w:rFonts w:ascii="Calibri" w:eastAsia="Times New Roman" w:hAnsi="Calibri" w:cs="Calibri"/>
                <w:color w:val="000000"/>
              </w:rPr>
              <w:t>Class I</w:t>
            </w:r>
          </w:p>
        </w:tc>
        <w:tc>
          <w:tcPr>
            <w:tcW w:w="960" w:type="dxa"/>
            <w:tcBorders>
              <w:top w:val="nil"/>
              <w:left w:val="nil"/>
              <w:bottom w:val="nil"/>
              <w:right w:val="nil"/>
            </w:tcBorders>
            <w:shd w:val="clear" w:color="auto" w:fill="auto"/>
            <w:noWrap/>
            <w:vAlign w:val="bottom"/>
            <w:hideMark/>
          </w:tcPr>
          <w:p w14:paraId="1CA6568A" w14:textId="77777777" w:rsidR="009934A8" w:rsidRPr="009934A8" w:rsidRDefault="009934A8" w:rsidP="009934A8">
            <w:pPr>
              <w:jc w:val="center"/>
              <w:rPr>
                <w:rFonts w:ascii="Calibri" w:eastAsia="Times New Roman" w:hAnsi="Calibri" w:cs="Calibri"/>
                <w:color w:val="000000"/>
              </w:rPr>
            </w:pPr>
            <w:r w:rsidRPr="009934A8">
              <w:rPr>
                <w:rFonts w:ascii="Calibri" w:eastAsia="Times New Roman" w:hAnsi="Calibri" w:cs="Calibri"/>
                <w:color w:val="000000"/>
              </w:rPr>
              <w:t>Class II</w:t>
            </w:r>
          </w:p>
        </w:tc>
        <w:tc>
          <w:tcPr>
            <w:tcW w:w="960" w:type="dxa"/>
            <w:tcBorders>
              <w:top w:val="nil"/>
              <w:left w:val="nil"/>
              <w:bottom w:val="nil"/>
              <w:right w:val="nil"/>
            </w:tcBorders>
            <w:shd w:val="clear" w:color="auto" w:fill="auto"/>
            <w:noWrap/>
            <w:vAlign w:val="bottom"/>
            <w:hideMark/>
          </w:tcPr>
          <w:p w14:paraId="34529C50" w14:textId="77777777" w:rsidR="009934A8" w:rsidRPr="009934A8" w:rsidRDefault="009934A8" w:rsidP="009934A8">
            <w:pPr>
              <w:jc w:val="center"/>
              <w:rPr>
                <w:rFonts w:ascii="Calibri" w:eastAsia="Times New Roman" w:hAnsi="Calibri" w:cs="Calibri"/>
                <w:color w:val="000000"/>
              </w:rPr>
            </w:pPr>
            <w:r w:rsidRPr="009934A8">
              <w:rPr>
                <w:rFonts w:ascii="Calibri" w:eastAsia="Times New Roman" w:hAnsi="Calibri" w:cs="Calibri"/>
                <w:color w:val="000000"/>
              </w:rPr>
              <w:t>Class III</w:t>
            </w:r>
          </w:p>
        </w:tc>
        <w:tc>
          <w:tcPr>
            <w:tcW w:w="960" w:type="dxa"/>
            <w:tcBorders>
              <w:top w:val="nil"/>
              <w:left w:val="nil"/>
              <w:bottom w:val="nil"/>
              <w:right w:val="nil"/>
            </w:tcBorders>
            <w:shd w:val="clear" w:color="auto" w:fill="auto"/>
            <w:noWrap/>
            <w:vAlign w:val="bottom"/>
            <w:hideMark/>
          </w:tcPr>
          <w:p w14:paraId="60437B08" w14:textId="77777777" w:rsidR="009934A8" w:rsidRPr="009934A8" w:rsidRDefault="009934A8" w:rsidP="009934A8">
            <w:pPr>
              <w:jc w:val="center"/>
              <w:rPr>
                <w:rFonts w:ascii="Calibri" w:eastAsia="Times New Roman" w:hAnsi="Calibri" w:cs="Calibri"/>
                <w:color w:val="000000"/>
              </w:rPr>
            </w:pPr>
            <w:r w:rsidRPr="009934A8">
              <w:rPr>
                <w:rFonts w:ascii="Calibri" w:eastAsia="Times New Roman" w:hAnsi="Calibri" w:cs="Calibri"/>
                <w:color w:val="000000"/>
              </w:rPr>
              <w:t>Total</w:t>
            </w:r>
          </w:p>
        </w:tc>
      </w:tr>
      <w:tr w:rsidR="009934A8" w:rsidRPr="009934A8" w14:paraId="75A21912"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1F1F1"/>
            <w:vAlign w:val="center"/>
            <w:hideMark/>
          </w:tcPr>
          <w:p w14:paraId="6C27BEED"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2022</w:t>
            </w:r>
          </w:p>
        </w:tc>
        <w:tc>
          <w:tcPr>
            <w:tcW w:w="1600" w:type="dxa"/>
            <w:tcBorders>
              <w:top w:val="nil"/>
              <w:left w:val="nil"/>
              <w:bottom w:val="single" w:sz="4" w:space="0" w:color="000000"/>
              <w:right w:val="single" w:sz="4" w:space="0" w:color="000000"/>
            </w:tcBorders>
            <w:shd w:val="clear" w:color="000000" w:fill="F1F1F1"/>
            <w:vAlign w:val="center"/>
            <w:hideMark/>
          </w:tcPr>
          <w:p w14:paraId="4BD4898D"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24%</w:t>
            </w:r>
          </w:p>
        </w:tc>
        <w:tc>
          <w:tcPr>
            <w:tcW w:w="960" w:type="dxa"/>
            <w:tcBorders>
              <w:top w:val="nil"/>
              <w:left w:val="nil"/>
              <w:bottom w:val="single" w:sz="4" w:space="0" w:color="000000"/>
              <w:right w:val="single" w:sz="4" w:space="0" w:color="000000"/>
            </w:tcBorders>
            <w:shd w:val="clear" w:color="000000" w:fill="F1F1F1"/>
            <w:vAlign w:val="center"/>
            <w:hideMark/>
          </w:tcPr>
          <w:p w14:paraId="33ADBF04"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1F1F1"/>
            <w:vAlign w:val="center"/>
            <w:hideMark/>
          </w:tcPr>
          <w:p w14:paraId="2B85B94C"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5.00%</w:t>
            </w:r>
          </w:p>
        </w:tc>
        <w:tc>
          <w:tcPr>
            <w:tcW w:w="960" w:type="dxa"/>
            <w:tcBorders>
              <w:top w:val="nil"/>
              <w:left w:val="nil"/>
              <w:bottom w:val="single" w:sz="4" w:space="0" w:color="000000"/>
              <w:right w:val="single" w:sz="4" w:space="0" w:color="000000"/>
            </w:tcBorders>
            <w:shd w:val="clear" w:color="000000" w:fill="F1F1F1"/>
            <w:vAlign w:val="center"/>
            <w:hideMark/>
          </w:tcPr>
          <w:p w14:paraId="44225EF8"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33%</w:t>
            </w:r>
          </w:p>
        </w:tc>
      </w:tr>
      <w:tr w:rsidR="009934A8" w:rsidRPr="009934A8" w14:paraId="014A4535"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EFEFE"/>
            <w:vAlign w:val="center"/>
            <w:hideMark/>
          </w:tcPr>
          <w:p w14:paraId="66A8C498"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2023</w:t>
            </w:r>
          </w:p>
        </w:tc>
        <w:tc>
          <w:tcPr>
            <w:tcW w:w="1600" w:type="dxa"/>
            <w:tcBorders>
              <w:top w:val="nil"/>
              <w:left w:val="nil"/>
              <w:bottom w:val="single" w:sz="4" w:space="0" w:color="000000"/>
              <w:right w:val="single" w:sz="4" w:space="0" w:color="000000"/>
            </w:tcBorders>
            <w:shd w:val="clear" w:color="000000" w:fill="FEFEFE"/>
            <w:vAlign w:val="center"/>
            <w:hideMark/>
          </w:tcPr>
          <w:p w14:paraId="738ADB33"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26%</w:t>
            </w:r>
          </w:p>
        </w:tc>
        <w:tc>
          <w:tcPr>
            <w:tcW w:w="960" w:type="dxa"/>
            <w:tcBorders>
              <w:top w:val="nil"/>
              <w:left w:val="nil"/>
              <w:bottom w:val="single" w:sz="4" w:space="0" w:color="000000"/>
              <w:right w:val="single" w:sz="4" w:space="0" w:color="000000"/>
            </w:tcBorders>
            <w:shd w:val="clear" w:color="000000" w:fill="FEFEFE"/>
            <w:vAlign w:val="center"/>
            <w:hideMark/>
          </w:tcPr>
          <w:p w14:paraId="31082784"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EFEFE"/>
            <w:vAlign w:val="center"/>
            <w:hideMark/>
          </w:tcPr>
          <w:p w14:paraId="20E0D3B0"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5.00%</w:t>
            </w:r>
          </w:p>
        </w:tc>
        <w:tc>
          <w:tcPr>
            <w:tcW w:w="960" w:type="dxa"/>
            <w:tcBorders>
              <w:top w:val="nil"/>
              <w:left w:val="nil"/>
              <w:bottom w:val="single" w:sz="4" w:space="0" w:color="000000"/>
              <w:right w:val="single" w:sz="4" w:space="0" w:color="000000"/>
            </w:tcBorders>
            <w:shd w:val="clear" w:color="000000" w:fill="FEFEFE"/>
            <w:vAlign w:val="center"/>
            <w:hideMark/>
          </w:tcPr>
          <w:p w14:paraId="6C25CD85"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35%</w:t>
            </w:r>
          </w:p>
        </w:tc>
      </w:tr>
      <w:tr w:rsidR="009934A8" w:rsidRPr="009934A8" w14:paraId="0AF7FC8C"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1F1F1"/>
            <w:vAlign w:val="center"/>
            <w:hideMark/>
          </w:tcPr>
          <w:p w14:paraId="194DA64C"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2024</w:t>
            </w:r>
          </w:p>
        </w:tc>
        <w:tc>
          <w:tcPr>
            <w:tcW w:w="1600" w:type="dxa"/>
            <w:tcBorders>
              <w:top w:val="nil"/>
              <w:left w:val="nil"/>
              <w:bottom w:val="single" w:sz="4" w:space="0" w:color="000000"/>
              <w:right w:val="single" w:sz="4" w:space="0" w:color="000000"/>
            </w:tcBorders>
            <w:shd w:val="clear" w:color="000000" w:fill="F1F1F1"/>
            <w:vAlign w:val="center"/>
            <w:hideMark/>
          </w:tcPr>
          <w:p w14:paraId="52F1733F"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28%</w:t>
            </w:r>
          </w:p>
        </w:tc>
        <w:tc>
          <w:tcPr>
            <w:tcW w:w="960" w:type="dxa"/>
            <w:tcBorders>
              <w:top w:val="nil"/>
              <w:left w:val="nil"/>
              <w:bottom w:val="single" w:sz="4" w:space="0" w:color="000000"/>
              <w:right w:val="single" w:sz="4" w:space="0" w:color="000000"/>
            </w:tcBorders>
            <w:shd w:val="clear" w:color="000000" w:fill="F1F1F1"/>
            <w:vAlign w:val="center"/>
            <w:hideMark/>
          </w:tcPr>
          <w:p w14:paraId="13DF21BA"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1F1F1"/>
            <w:vAlign w:val="center"/>
            <w:hideMark/>
          </w:tcPr>
          <w:p w14:paraId="721D92AA"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5.00%</w:t>
            </w:r>
          </w:p>
        </w:tc>
        <w:tc>
          <w:tcPr>
            <w:tcW w:w="960" w:type="dxa"/>
            <w:tcBorders>
              <w:top w:val="nil"/>
              <w:left w:val="nil"/>
              <w:bottom w:val="single" w:sz="4" w:space="0" w:color="000000"/>
              <w:right w:val="single" w:sz="4" w:space="0" w:color="000000"/>
            </w:tcBorders>
            <w:shd w:val="clear" w:color="000000" w:fill="F1F1F1"/>
            <w:vAlign w:val="center"/>
            <w:hideMark/>
          </w:tcPr>
          <w:p w14:paraId="73908981"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37%</w:t>
            </w:r>
          </w:p>
        </w:tc>
      </w:tr>
      <w:tr w:rsidR="009934A8" w:rsidRPr="009934A8" w14:paraId="4486E9F5"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EFEFE"/>
            <w:vAlign w:val="center"/>
            <w:hideMark/>
          </w:tcPr>
          <w:p w14:paraId="66A042E0"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2025</w:t>
            </w:r>
          </w:p>
        </w:tc>
        <w:tc>
          <w:tcPr>
            <w:tcW w:w="1600" w:type="dxa"/>
            <w:tcBorders>
              <w:top w:val="nil"/>
              <w:left w:val="nil"/>
              <w:bottom w:val="single" w:sz="4" w:space="0" w:color="000000"/>
              <w:right w:val="single" w:sz="4" w:space="0" w:color="000000"/>
            </w:tcBorders>
            <w:shd w:val="clear" w:color="000000" w:fill="FEFEFE"/>
            <w:vAlign w:val="center"/>
            <w:hideMark/>
          </w:tcPr>
          <w:p w14:paraId="2D32782C"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30%</w:t>
            </w:r>
          </w:p>
        </w:tc>
        <w:tc>
          <w:tcPr>
            <w:tcW w:w="960" w:type="dxa"/>
            <w:tcBorders>
              <w:top w:val="nil"/>
              <w:left w:val="nil"/>
              <w:bottom w:val="single" w:sz="4" w:space="0" w:color="000000"/>
              <w:right w:val="single" w:sz="4" w:space="0" w:color="000000"/>
            </w:tcBorders>
            <w:shd w:val="clear" w:color="000000" w:fill="FEFEFE"/>
            <w:vAlign w:val="center"/>
            <w:hideMark/>
          </w:tcPr>
          <w:p w14:paraId="0438FFF0"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EFEFE"/>
            <w:vAlign w:val="center"/>
            <w:hideMark/>
          </w:tcPr>
          <w:p w14:paraId="19BF4666"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EFEFE"/>
            <w:vAlign w:val="center"/>
            <w:hideMark/>
          </w:tcPr>
          <w:p w14:paraId="59FC70F9"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38%</w:t>
            </w:r>
          </w:p>
        </w:tc>
      </w:tr>
      <w:tr w:rsidR="009934A8" w:rsidRPr="009934A8" w14:paraId="63C8F9F2"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1F1F1"/>
            <w:vAlign w:val="center"/>
            <w:hideMark/>
          </w:tcPr>
          <w:p w14:paraId="06CA2C42"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2026</w:t>
            </w:r>
          </w:p>
        </w:tc>
        <w:tc>
          <w:tcPr>
            <w:tcW w:w="1600" w:type="dxa"/>
            <w:tcBorders>
              <w:top w:val="nil"/>
              <w:left w:val="nil"/>
              <w:bottom w:val="single" w:sz="4" w:space="0" w:color="000000"/>
              <w:right w:val="single" w:sz="4" w:space="0" w:color="000000"/>
            </w:tcBorders>
            <w:shd w:val="clear" w:color="000000" w:fill="F1F1F1"/>
            <w:vAlign w:val="center"/>
            <w:hideMark/>
          </w:tcPr>
          <w:p w14:paraId="151081B2"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32%</w:t>
            </w:r>
          </w:p>
        </w:tc>
        <w:tc>
          <w:tcPr>
            <w:tcW w:w="960" w:type="dxa"/>
            <w:tcBorders>
              <w:top w:val="nil"/>
              <w:left w:val="nil"/>
              <w:bottom w:val="single" w:sz="4" w:space="0" w:color="000000"/>
              <w:right w:val="single" w:sz="4" w:space="0" w:color="000000"/>
            </w:tcBorders>
            <w:shd w:val="clear" w:color="000000" w:fill="F1F1F1"/>
            <w:vAlign w:val="center"/>
            <w:hideMark/>
          </w:tcPr>
          <w:p w14:paraId="354C5977"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1F1F1"/>
            <w:vAlign w:val="center"/>
            <w:hideMark/>
          </w:tcPr>
          <w:p w14:paraId="4D10EEDD"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1F1F1"/>
            <w:vAlign w:val="center"/>
            <w:hideMark/>
          </w:tcPr>
          <w:p w14:paraId="1DA87CD0"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w:t>
            </w:r>
          </w:p>
        </w:tc>
      </w:tr>
      <w:tr w:rsidR="009934A8" w:rsidRPr="009934A8" w14:paraId="6ABD91F6"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EFEFE"/>
            <w:vAlign w:val="center"/>
            <w:hideMark/>
          </w:tcPr>
          <w:p w14:paraId="3029B692"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2027</w:t>
            </w:r>
          </w:p>
        </w:tc>
        <w:tc>
          <w:tcPr>
            <w:tcW w:w="1600" w:type="dxa"/>
            <w:tcBorders>
              <w:top w:val="nil"/>
              <w:left w:val="nil"/>
              <w:bottom w:val="single" w:sz="4" w:space="0" w:color="000000"/>
              <w:right w:val="single" w:sz="4" w:space="0" w:color="000000"/>
            </w:tcBorders>
            <w:shd w:val="clear" w:color="000000" w:fill="FEFEFE"/>
            <w:vAlign w:val="center"/>
            <w:hideMark/>
          </w:tcPr>
          <w:p w14:paraId="4B4DC9F8"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34%</w:t>
            </w:r>
          </w:p>
        </w:tc>
        <w:tc>
          <w:tcPr>
            <w:tcW w:w="960" w:type="dxa"/>
            <w:tcBorders>
              <w:top w:val="nil"/>
              <w:left w:val="nil"/>
              <w:bottom w:val="single" w:sz="4" w:space="0" w:color="000000"/>
              <w:right w:val="single" w:sz="4" w:space="0" w:color="000000"/>
            </w:tcBorders>
            <w:shd w:val="clear" w:color="000000" w:fill="FEFEFE"/>
            <w:vAlign w:val="center"/>
            <w:hideMark/>
          </w:tcPr>
          <w:p w14:paraId="0249FB26"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EFEFE"/>
            <w:vAlign w:val="center"/>
            <w:hideMark/>
          </w:tcPr>
          <w:p w14:paraId="6B34A24A"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EFEFE"/>
            <w:vAlign w:val="center"/>
            <w:hideMark/>
          </w:tcPr>
          <w:p w14:paraId="5D42E7A5"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42%</w:t>
            </w:r>
          </w:p>
        </w:tc>
      </w:tr>
      <w:tr w:rsidR="009934A8" w:rsidRPr="009934A8" w14:paraId="61FF1151"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1F1F1"/>
            <w:vAlign w:val="center"/>
            <w:hideMark/>
          </w:tcPr>
          <w:p w14:paraId="05956F39"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2028</w:t>
            </w:r>
          </w:p>
        </w:tc>
        <w:tc>
          <w:tcPr>
            <w:tcW w:w="1600" w:type="dxa"/>
            <w:tcBorders>
              <w:top w:val="nil"/>
              <w:left w:val="nil"/>
              <w:bottom w:val="single" w:sz="4" w:space="0" w:color="000000"/>
              <w:right w:val="single" w:sz="4" w:space="0" w:color="000000"/>
            </w:tcBorders>
            <w:shd w:val="clear" w:color="000000" w:fill="F1F1F1"/>
            <w:vAlign w:val="center"/>
            <w:hideMark/>
          </w:tcPr>
          <w:p w14:paraId="50D8A3EA"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36%</w:t>
            </w:r>
          </w:p>
        </w:tc>
        <w:tc>
          <w:tcPr>
            <w:tcW w:w="960" w:type="dxa"/>
            <w:tcBorders>
              <w:top w:val="nil"/>
              <w:left w:val="nil"/>
              <w:bottom w:val="single" w:sz="4" w:space="0" w:color="000000"/>
              <w:right w:val="single" w:sz="4" w:space="0" w:color="000000"/>
            </w:tcBorders>
            <w:shd w:val="clear" w:color="000000" w:fill="F1F1F1"/>
            <w:vAlign w:val="center"/>
            <w:hideMark/>
          </w:tcPr>
          <w:p w14:paraId="2215296B"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1F1F1"/>
            <w:vAlign w:val="center"/>
            <w:hideMark/>
          </w:tcPr>
          <w:p w14:paraId="20E2A672"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1F1F1"/>
            <w:vAlign w:val="center"/>
            <w:hideMark/>
          </w:tcPr>
          <w:p w14:paraId="32181C36"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44%</w:t>
            </w:r>
          </w:p>
        </w:tc>
      </w:tr>
      <w:tr w:rsidR="009934A8" w:rsidRPr="009934A8" w14:paraId="2C535FA7"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EFEFE"/>
            <w:vAlign w:val="center"/>
            <w:hideMark/>
          </w:tcPr>
          <w:p w14:paraId="11483821"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2029</w:t>
            </w:r>
          </w:p>
        </w:tc>
        <w:tc>
          <w:tcPr>
            <w:tcW w:w="1600" w:type="dxa"/>
            <w:tcBorders>
              <w:top w:val="nil"/>
              <w:left w:val="nil"/>
              <w:bottom w:val="single" w:sz="4" w:space="0" w:color="000000"/>
              <w:right w:val="single" w:sz="4" w:space="0" w:color="000000"/>
            </w:tcBorders>
            <w:shd w:val="clear" w:color="000000" w:fill="FEFEFE"/>
            <w:vAlign w:val="center"/>
            <w:hideMark/>
          </w:tcPr>
          <w:p w14:paraId="1A9E0C74"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38%</w:t>
            </w:r>
          </w:p>
        </w:tc>
        <w:tc>
          <w:tcPr>
            <w:tcW w:w="960" w:type="dxa"/>
            <w:tcBorders>
              <w:top w:val="nil"/>
              <w:left w:val="nil"/>
              <w:bottom w:val="single" w:sz="4" w:space="0" w:color="000000"/>
              <w:right w:val="single" w:sz="4" w:space="0" w:color="000000"/>
            </w:tcBorders>
            <w:shd w:val="clear" w:color="000000" w:fill="FEFEFE"/>
            <w:vAlign w:val="center"/>
            <w:hideMark/>
          </w:tcPr>
          <w:p w14:paraId="3C50760A"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EFEFE"/>
            <w:vAlign w:val="center"/>
            <w:hideMark/>
          </w:tcPr>
          <w:p w14:paraId="75CD2470"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EFEFE"/>
            <w:vAlign w:val="center"/>
            <w:hideMark/>
          </w:tcPr>
          <w:p w14:paraId="59FBCF7A"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46%</w:t>
            </w:r>
          </w:p>
        </w:tc>
      </w:tr>
      <w:tr w:rsidR="009934A8" w:rsidRPr="009934A8" w14:paraId="6ECDBEDF" w14:textId="77777777" w:rsidTr="009934A8">
        <w:trPr>
          <w:trHeight w:val="288"/>
        </w:trPr>
        <w:tc>
          <w:tcPr>
            <w:tcW w:w="1080" w:type="dxa"/>
            <w:tcBorders>
              <w:top w:val="nil"/>
              <w:left w:val="single" w:sz="4" w:space="0" w:color="000000"/>
              <w:bottom w:val="single" w:sz="4" w:space="0" w:color="000000"/>
              <w:right w:val="single" w:sz="4" w:space="0" w:color="000000"/>
            </w:tcBorders>
            <w:shd w:val="clear" w:color="000000" w:fill="F1F1F1"/>
            <w:vAlign w:val="center"/>
            <w:hideMark/>
          </w:tcPr>
          <w:p w14:paraId="15894577"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2030</w:t>
            </w:r>
          </w:p>
        </w:tc>
        <w:tc>
          <w:tcPr>
            <w:tcW w:w="1600" w:type="dxa"/>
            <w:tcBorders>
              <w:top w:val="nil"/>
              <w:left w:val="nil"/>
              <w:bottom w:val="single" w:sz="4" w:space="0" w:color="000000"/>
              <w:right w:val="single" w:sz="4" w:space="0" w:color="000000"/>
            </w:tcBorders>
            <w:shd w:val="clear" w:color="000000" w:fill="F1F1F1"/>
            <w:vAlign w:val="center"/>
            <w:hideMark/>
          </w:tcPr>
          <w:p w14:paraId="4E3A97C2"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w:t>
            </w:r>
          </w:p>
        </w:tc>
        <w:tc>
          <w:tcPr>
            <w:tcW w:w="960" w:type="dxa"/>
            <w:tcBorders>
              <w:top w:val="nil"/>
              <w:left w:val="nil"/>
              <w:bottom w:val="single" w:sz="4" w:space="0" w:color="000000"/>
              <w:right w:val="single" w:sz="4" w:space="0" w:color="000000"/>
            </w:tcBorders>
            <w:shd w:val="clear" w:color="000000" w:fill="F1F1F1"/>
            <w:vAlign w:val="center"/>
            <w:hideMark/>
          </w:tcPr>
          <w:p w14:paraId="38DCC9CA"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1F1F1"/>
            <w:vAlign w:val="center"/>
            <w:hideMark/>
          </w:tcPr>
          <w:p w14:paraId="09361BD5"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4.00%</w:t>
            </w:r>
          </w:p>
        </w:tc>
        <w:tc>
          <w:tcPr>
            <w:tcW w:w="960" w:type="dxa"/>
            <w:tcBorders>
              <w:top w:val="nil"/>
              <w:left w:val="nil"/>
              <w:bottom w:val="single" w:sz="4" w:space="0" w:color="000000"/>
              <w:right w:val="single" w:sz="4" w:space="0" w:color="000000"/>
            </w:tcBorders>
            <w:shd w:val="clear" w:color="000000" w:fill="F1F1F1"/>
            <w:vAlign w:val="center"/>
            <w:hideMark/>
          </w:tcPr>
          <w:p w14:paraId="7BD67EDC" w14:textId="77777777" w:rsidR="009934A8" w:rsidRPr="009934A8" w:rsidRDefault="009934A8" w:rsidP="009934A8">
            <w:pPr>
              <w:jc w:val="center"/>
              <w:rPr>
                <w:rFonts w:ascii="Arial" w:eastAsia="Times New Roman" w:hAnsi="Arial" w:cs="Arial"/>
                <w:color w:val="0A0A0A"/>
                <w:sz w:val="18"/>
                <w:szCs w:val="18"/>
              </w:rPr>
            </w:pPr>
            <w:r w:rsidRPr="009934A8">
              <w:rPr>
                <w:rFonts w:ascii="Arial" w:eastAsia="Times New Roman" w:hAnsi="Arial" w:cs="Arial"/>
                <w:color w:val="0A0A0A"/>
                <w:sz w:val="18"/>
                <w:szCs w:val="18"/>
              </w:rPr>
              <w:t>48%</w:t>
            </w:r>
          </w:p>
        </w:tc>
      </w:tr>
    </w:tbl>
    <w:p w14:paraId="36E74F67" w14:textId="5BECB307" w:rsidR="00BB5764" w:rsidRDefault="00BB5764" w:rsidP="00EA0F54">
      <w:pPr>
        <w:keepNext/>
        <w:spacing w:line="259" w:lineRule="auto"/>
        <w:jc w:val="center"/>
      </w:pPr>
    </w:p>
    <w:p w14:paraId="4DD91C4F" w14:textId="77777777" w:rsidR="00BB5764" w:rsidRDefault="00BB5764">
      <w:r>
        <w:br w:type="page"/>
      </w:r>
    </w:p>
    <w:p w14:paraId="5C27AB21" w14:textId="77777777" w:rsidR="00032401" w:rsidRDefault="00032401" w:rsidP="00EA0F54">
      <w:pPr>
        <w:keepNext/>
        <w:spacing w:line="259" w:lineRule="auto"/>
        <w:jc w:val="center"/>
      </w:pPr>
    </w:p>
    <w:p w14:paraId="1F4274EC" w14:textId="77777777" w:rsidR="008803C5" w:rsidRDefault="00FB7980" w:rsidP="00032401">
      <w:pPr>
        <w:pStyle w:val="Heading1"/>
        <w:keepNext w:val="0"/>
        <w:keepLines w:val="0"/>
      </w:pPr>
      <w:bookmarkStart w:id="3" w:name="_Toc131170502"/>
      <w:r w:rsidRPr="00D55AAD">
        <w:rPr>
          <w:lang w:val="en"/>
        </w:rPr>
        <w:t>New England Power Pool Generation Information System</w:t>
      </w:r>
      <w:r w:rsidRPr="008803C5">
        <w:rPr>
          <w:lang w:val="en"/>
        </w:rPr>
        <w:t xml:space="preserve"> (NEPOOL GIS)</w:t>
      </w:r>
      <w:bookmarkEnd w:id="3"/>
    </w:p>
    <w:p w14:paraId="447AAEF2" w14:textId="77777777" w:rsidR="00E937F2" w:rsidRDefault="00E937F2" w:rsidP="00E937F2">
      <w:pPr>
        <w:pStyle w:val="Heading2"/>
        <w:rPr>
          <w:lang w:val="en"/>
        </w:rPr>
      </w:pPr>
      <w:bookmarkStart w:id="4" w:name="_Toc131170503"/>
      <w:r>
        <w:rPr>
          <w:lang w:val="en"/>
        </w:rPr>
        <w:t>General</w:t>
      </w:r>
      <w:bookmarkEnd w:id="4"/>
    </w:p>
    <w:p w14:paraId="31964E36" w14:textId="77777777" w:rsidR="00E937F2" w:rsidRPr="00E937F2" w:rsidRDefault="00E937F2" w:rsidP="00E937F2">
      <w:pPr>
        <w:rPr>
          <w:lang w:val="en"/>
        </w:rPr>
      </w:pPr>
    </w:p>
    <w:p w14:paraId="6E432E5A" w14:textId="70725ECE" w:rsidR="00ED5C97" w:rsidRPr="0086721C" w:rsidRDefault="00E937F2" w:rsidP="00E937F2">
      <w:pPr>
        <w:spacing w:line="259" w:lineRule="auto"/>
        <w:jc w:val="both"/>
      </w:pPr>
      <w:r w:rsidRPr="008803C5">
        <w:rPr>
          <w:rFonts w:cs="Helvetica"/>
          <w:color w:val="333333"/>
          <w:lang w:val="en"/>
        </w:rPr>
        <w:t>The</w:t>
      </w:r>
      <w:r w:rsidRPr="00252390">
        <w:rPr>
          <w:rFonts w:cs="Helvetica"/>
          <w:color w:val="333333"/>
          <w:lang w:val="en"/>
        </w:rPr>
        <w:t xml:space="preserve"> </w:t>
      </w:r>
      <w:r w:rsidRPr="00252390">
        <w:rPr>
          <w:rFonts w:cs="Helvetica"/>
          <w:bCs/>
          <w:color w:val="333333"/>
          <w:lang w:val="en"/>
        </w:rPr>
        <w:t>New England Power Pool Generation Information System</w:t>
      </w:r>
      <w:r w:rsidRPr="00252390">
        <w:rPr>
          <w:rFonts w:cs="Helvetica"/>
          <w:color w:val="333333"/>
          <w:lang w:val="en"/>
        </w:rPr>
        <w:t xml:space="preserve"> (NEP</w:t>
      </w:r>
      <w:r w:rsidRPr="008803C5">
        <w:rPr>
          <w:rFonts w:cs="Helvetica"/>
          <w:color w:val="333333"/>
          <w:lang w:val="en"/>
        </w:rPr>
        <w:t xml:space="preserve">OOL GIS) </w:t>
      </w:r>
      <w:r>
        <w:rPr>
          <w:rFonts w:cs="Helvetica"/>
          <w:color w:val="333333"/>
          <w:lang w:val="en"/>
        </w:rPr>
        <w:t xml:space="preserve">creates, tracks and </w:t>
      </w:r>
      <w:r w:rsidRPr="008803C5">
        <w:rPr>
          <w:rFonts w:cs="Helvetica"/>
          <w:color w:val="333333"/>
          <w:lang w:val="en"/>
        </w:rPr>
        <w:t xml:space="preserve">issues </w:t>
      </w:r>
      <w:r>
        <w:rPr>
          <w:rFonts w:cs="Helvetica"/>
          <w:color w:val="333333"/>
          <w:lang w:val="en"/>
        </w:rPr>
        <w:t xml:space="preserve">the </w:t>
      </w:r>
      <w:r w:rsidR="003F63C0">
        <w:rPr>
          <w:rFonts w:cs="Helvetica"/>
          <w:color w:val="333333"/>
          <w:lang w:val="en"/>
        </w:rPr>
        <w:t xml:space="preserve">Renewable Energy Certificates, or </w:t>
      </w:r>
      <w:r w:rsidRPr="008803C5">
        <w:rPr>
          <w:rFonts w:cs="Helvetica"/>
          <w:color w:val="333333"/>
          <w:lang w:val="en"/>
        </w:rPr>
        <w:t>RECs</w:t>
      </w:r>
      <w:r w:rsidR="003F63C0">
        <w:rPr>
          <w:rFonts w:cs="Helvetica"/>
          <w:color w:val="333333"/>
          <w:lang w:val="en"/>
        </w:rPr>
        <w:t>,</w:t>
      </w:r>
      <w:r w:rsidRPr="008803C5">
        <w:rPr>
          <w:rFonts w:cs="Helvetica"/>
          <w:color w:val="333333"/>
          <w:lang w:val="en"/>
        </w:rPr>
        <w:t xml:space="preserve"> f</w:t>
      </w:r>
      <w:r>
        <w:rPr>
          <w:rFonts w:cs="Helvetica"/>
          <w:color w:val="333333"/>
          <w:lang w:val="en"/>
        </w:rPr>
        <w:t>rom</w:t>
      </w:r>
      <w:r w:rsidRPr="008803C5">
        <w:rPr>
          <w:rFonts w:cs="Helvetica"/>
          <w:color w:val="333333"/>
          <w:lang w:val="en"/>
        </w:rPr>
        <w:t xml:space="preserve"> </w:t>
      </w:r>
      <w:r>
        <w:rPr>
          <w:rFonts w:cs="Helvetica"/>
          <w:color w:val="333333"/>
          <w:lang w:val="en"/>
        </w:rPr>
        <w:t xml:space="preserve">qualified renewable </w:t>
      </w:r>
      <w:r w:rsidRPr="008803C5">
        <w:rPr>
          <w:rFonts w:cs="Helvetica"/>
          <w:color w:val="333333"/>
          <w:lang w:val="en"/>
        </w:rPr>
        <w:t>generati</w:t>
      </w:r>
      <w:r>
        <w:rPr>
          <w:rFonts w:cs="Helvetica"/>
          <w:color w:val="333333"/>
          <w:lang w:val="en"/>
        </w:rPr>
        <w:t xml:space="preserve">on </w:t>
      </w:r>
      <w:r w:rsidR="00C74B01">
        <w:rPr>
          <w:rFonts w:cs="Helvetica"/>
          <w:color w:val="333333"/>
          <w:lang w:val="en"/>
        </w:rPr>
        <w:t xml:space="preserve">sources </w:t>
      </w:r>
      <w:r>
        <w:rPr>
          <w:rFonts w:cs="Helvetica"/>
          <w:color w:val="333333"/>
          <w:lang w:val="en"/>
        </w:rPr>
        <w:t>in the ISO</w:t>
      </w:r>
      <w:r>
        <w:rPr>
          <w:rFonts w:cs="Helvetica"/>
          <w:color w:val="333333"/>
          <w:lang w:val="en"/>
        </w:rPr>
        <w:noBreakHyphen/>
        <w:t>NE</w:t>
      </w:r>
      <w:r w:rsidRPr="008803C5">
        <w:rPr>
          <w:rFonts w:cs="Helvetica"/>
          <w:color w:val="333333"/>
          <w:lang w:val="en"/>
        </w:rPr>
        <w:t xml:space="preserve"> control area, as well as </w:t>
      </w:r>
      <w:r>
        <w:rPr>
          <w:rFonts w:cs="Helvetica"/>
          <w:color w:val="333333"/>
          <w:lang w:val="en"/>
        </w:rPr>
        <w:t xml:space="preserve">renewable energy </w:t>
      </w:r>
      <w:r w:rsidRPr="008803C5">
        <w:rPr>
          <w:rFonts w:cs="Helvetica"/>
          <w:color w:val="333333"/>
          <w:lang w:val="en"/>
        </w:rPr>
        <w:t>imported from adjacent control areas</w:t>
      </w:r>
      <w:r w:rsidR="00175567">
        <w:rPr>
          <w:rFonts w:cs="Helvetica"/>
          <w:color w:val="333333"/>
          <w:lang w:val="en"/>
        </w:rPr>
        <w:t xml:space="preserve">. </w:t>
      </w:r>
      <w:r w:rsidR="0086721C">
        <w:rPr>
          <w:rFonts w:cs="Helvetica"/>
          <w:color w:val="333333"/>
          <w:lang w:val="en"/>
        </w:rPr>
        <w:t xml:space="preserve"> </w:t>
      </w:r>
      <w:r w:rsidR="0086721C" w:rsidRPr="00F95C63">
        <w:rPr>
          <w:rFonts w:cs="Helvetica"/>
          <w:color w:val="333333"/>
          <w:lang w:val="en"/>
        </w:rPr>
        <w:t>LSEs</w:t>
      </w:r>
      <w:r w:rsidR="0075280C" w:rsidRPr="00F95C63">
        <w:t xml:space="preserve"> </w:t>
      </w:r>
      <w:r w:rsidR="00C74B01" w:rsidRPr="00F95C63">
        <w:t>are</w:t>
      </w:r>
      <w:r w:rsidRPr="00F95C63">
        <w:t xml:space="preserve"> required to adhere to all NEPOOL GIS system operating rules and procedures.</w:t>
      </w:r>
    </w:p>
    <w:p w14:paraId="22563081" w14:textId="77777777" w:rsidR="00E937F2" w:rsidRDefault="00E937F2" w:rsidP="00AA035D">
      <w:pPr>
        <w:spacing w:line="259" w:lineRule="auto"/>
        <w:jc w:val="both"/>
        <w:rPr>
          <w:rFonts w:cs="Helvetica"/>
          <w:color w:val="333333"/>
          <w:lang w:val="en"/>
        </w:rPr>
      </w:pPr>
    </w:p>
    <w:p w14:paraId="5F8F7770" w14:textId="77777777" w:rsidR="0062665A" w:rsidRDefault="0062665A" w:rsidP="00E937F2">
      <w:pPr>
        <w:pStyle w:val="Heading2"/>
        <w:rPr>
          <w:lang w:val="en"/>
        </w:rPr>
      </w:pPr>
      <w:bookmarkStart w:id="5" w:name="_Toc131170504"/>
      <w:r>
        <w:rPr>
          <w:lang w:val="en"/>
        </w:rPr>
        <w:t>Renewable Energy Certificates - REC</w:t>
      </w:r>
      <w:bookmarkEnd w:id="5"/>
    </w:p>
    <w:p w14:paraId="1DE5F4D5" w14:textId="77777777" w:rsidR="0062665A" w:rsidRDefault="0062665A" w:rsidP="00AA035D">
      <w:pPr>
        <w:spacing w:line="259" w:lineRule="auto"/>
        <w:jc w:val="both"/>
        <w:rPr>
          <w:rFonts w:cs="Helvetica"/>
          <w:color w:val="333333"/>
          <w:lang w:val="en"/>
        </w:rPr>
      </w:pPr>
    </w:p>
    <w:p w14:paraId="19EE4D7F" w14:textId="560A9717" w:rsidR="0028695B" w:rsidRDefault="0028695B" w:rsidP="00AA035D">
      <w:pPr>
        <w:spacing w:line="259" w:lineRule="auto"/>
        <w:jc w:val="both"/>
        <w:rPr>
          <w:rFonts w:cs="Helvetica"/>
          <w:color w:val="333333"/>
          <w:lang w:val="en"/>
        </w:rPr>
      </w:pPr>
      <w:r w:rsidRPr="0028695B">
        <w:rPr>
          <w:rFonts w:cs="Helvetica"/>
          <w:color w:val="333333"/>
          <w:lang w:val="en"/>
        </w:rPr>
        <w:t xml:space="preserve">A </w:t>
      </w:r>
      <w:r w:rsidR="003F63C0">
        <w:rPr>
          <w:rFonts w:cs="Helvetica"/>
          <w:color w:val="333333"/>
          <w:lang w:val="en"/>
        </w:rPr>
        <w:t>REC</w:t>
      </w:r>
      <w:r w:rsidRPr="0028695B">
        <w:rPr>
          <w:rFonts w:cs="Helvetica"/>
          <w:color w:val="333333"/>
          <w:lang w:val="en"/>
        </w:rPr>
        <w:t xml:space="preserve"> is </w:t>
      </w:r>
      <w:r>
        <w:rPr>
          <w:rFonts w:cs="Helvetica"/>
          <w:color w:val="333333"/>
          <w:lang w:val="en"/>
        </w:rPr>
        <w:t>created</w:t>
      </w:r>
      <w:r w:rsidRPr="0028695B">
        <w:rPr>
          <w:rFonts w:cs="Helvetica"/>
          <w:color w:val="333333"/>
          <w:lang w:val="en"/>
        </w:rPr>
        <w:t xml:space="preserve"> for each Megawatt-hour (MWh) of energy generated from </w:t>
      </w:r>
      <w:r w:rsidR="004E071D" w:rsidRPr="008803C5">
        <w:rPr>
          <w:rFonts w:cs="Helvetica"/>
          <w:color w:val="333333"/>
          <w:lang w:val="en"/>
        </w:rPr>
        <w:t>certifi</w:t>
      </w:r>
      <w:r w:rsidR="004E071D">
        <w:rPr>
          <w:rFonts w:cs="Helvetica"/>
          <w:color w:val="333333"/>
          <w:lang w:val="en"/>
        </w:rPr>
        <w:t xml:space="preserve">ed renewable </w:t>
      </w:r>
      <w:r w:rsidR="00F82A84">
        <w:rPr>
          <w:rFonts w:cs="Helvetica"/>
          <w:color w:val="333333"/>
          <w:lang w:val="en"/>
        </w:rPr>
        <w:t xml:space="preserve">sources </w:t>
      </w:r>
      <w:r w:rsidR="004E071D">
        <w:rPr>
          <w:rFonts w:cs="Helvetica"/>
          <w:color w:val="333333"/>
          <w:lang w:val="en"/>
        </w:rPr>
        <w:t xml:space="preserve">or </w:t>
      </w:r>
      <w:r w:rsidRPr="0028695B">
        <w:rPr>
          <w:rFonts w:cs="Helvetica"/>
          <w:color w:val="333333"/>
          <w:lang w:val="en"/>
        </w:rPr>
        <w:t xml:space="preserve">for each MWh of energy saved through </w:t>
      </w:r>
      <w:r>
        <w:rPr>
          <w:rFonts w:cs="Helvetica"/>
          <w:color w:val="333333"/>
          <w:lang w:val="en"/>
        </w:rPr>
        <w:t xml:space="preserve">energy efficiency programs or </w:t>
      </w:r>
      <w:r w:rsidR="004E071D">
        <w:rPr>
          <w:rFonts w:cs="Helvetica"/>
          <w:color w:val="333333"/>
          <w:lang w:val="en"/>
        </w:rPr>
        <w:t xml:space="preserve">the </w:t>
      </w:r>
      <w:r w:rsidRPr="0028695B">
        <w:rPr>
          <w:rFonts w:cs="Helvetica"/>
          <w:color w:val="333333"/>
          <w:lang w:val="en"/>
        </w:rPr>
        <w:t>installation of energy efficiency measures</w:t>
      </w:r>
      <w:r w:rsidR="004E071D">
        <w:rPr>
          <w:rFonts w:cs="Helvetica"/>
          <w:color w:val="333333"/>
          <w:lang w:val="en"/>
        </w:rPr>
        <w:t>.</w:t>
      </w:r>
    </w:p>
    <w:p w14:paraId="661FCADD" w14:textId="77777777" w:rsidR="0028695B" w:rsidRDefault="0028695B" w:rsidP="00AA035D">
      <w:pPr>
        <w:spacing w:line="259" w:lineRule="auto"/>
        <w:jc w:val="both"/>
        <w:rPr>
          <w:rFonts w:cs="Helvetica"/>
          <w:color w:val="333333"/>
          <w:lang w:val="en"/>
        </w:rPr>
      </w:pPr>
    </w:p>
    <w:p w14:paraId="6CB6764B" w14:textId="74A5A1AC" w:rsidR="008803C5" w:rsidRDefault="00AA035D" w:rsidP="008803C5">
      <w:pPr>
        <w:spacing w:line="259" w:lineRule="auto"/>
        <w:jc w:val="both"/>
        <w:rPr>
          <w:rFonts w:cs="Helvetica"/>
          <w:color w:val="333333"/>
          <w:lang w:val="en"/>
        </w:rPr>
      </w:pPr>
      <w:r>
        <w:rPr>
          <w:rFonts w:cs="Helvetica"/>
          <w:color w:val="333333"/>
          <w:lang w:val="en"/>
        </w:rPr>
        <w:t>Once a REC is</w:t>
      </w:r>
      <w:r w:rsidR="008803C5" w:rsidRPr="008803C5">
        <w:rPr>
          <w:rFonts w:cs="Helvetica"/>
          <w:color w:val="333333"/>
          <w:lang w:val="en"/>
        </w:rPr>
        <w:t xml:space="preserve"> created </w:t>
      </w:r>
      <w:r w:rsidR="00D366D6">
        <w:rPr>
          <w:rFonts w:cs="Helvetica"/>
          <w:color w:val="333333"/>
          <w:lang w:val="en"/>
        </w:rPr>
        <w:t xml:space="preserve">within NEPOOL GIS </w:t>
      </w:r>
      <w:r>
        <w:rPr>
          <w:rFonts w:cs="Helvetica"/>
          <w:color w:val="333333"/>
          <w:lang w:val="en"/>
        </w:rPr>
        <w:t>it</w:t>
      </w:r>
      <w:r w:rsidR="008803C5" w:rsidRPr="008803C5">
        <w:rPr>
          <w:rFonts w:cs="Helvetica"/>
          <w:color w:val="333333"/>
          <w:lang w:val="en"/>
        </w:rPr>
        <w:t xml:space="preserve"> can </w:t>
      </w:r>
      <w:r w:rsidR="003F63C0">
        <w:rPr>
          <w:rFonts w:cs="Helvetica"/>
          <w:color w:val="333333"/>
          <w:lang w:val="en"/>
        </w:rPr>
        <w:t xml:space="preserve">be </w:t>
      </w:r>
      <w:r w:rsidR="00177E66">
        <w:rPr>
          <w:rFonts w:cs="Helvetica"/>
          <w:color w:val="333333"/>
          <w:lang w:val="en"/>
        </w:rPr>
        <w:t xml:space="preserve">procured, </w:t>
      </w:r>
      <w:r w:rsidR="005C6FA9" w:rsidRPr="008803C5">
        <w:rPr>
          <w:rFonts w:cs="Helvetica"/>
          <w:color w:val="333333"/>
          <w:lang w:val="en"/>
        </w:rPr>
        <w:t xml:space="preserve">traded </w:t>
      </w:r>
      <w:r w:rsidR="00177E66">
        <w:rPr>
          <w:rFonts w:cs="Helvetica"/>
          <w:color w:val="333333"/>
          <w:lang w:val="en"/>
        </w:rPr>
        <w:t xml:space="preserve">and </w:t>
      </w:r>
      <w:r w:rsidR="00177E66" w:rsidRPr="00280693">
        <w:rPr>
          <w:rFonts w:cs="Helvetica"/>
          <w:b/>
          <w:i/>
          <w:color w:val="333333"/>
          <w:u w:val="single"/>
          <w:lang w:val="en"/>
        </w:rPr>
        <w:t>settled</w:t>
      </w:r>
      <w:r w:rsidR="00177E66">
        <w:rPr>
          <w:rFonts w:cs="Helvetica"/>
          <w:color w:val="333333"/>
          <w:lang w:val="en"/>
        </w:rPr>
        <w:t xml:space="preserve"> </w:t>
      </w:r>
      <w:r w:rsidR="005C6FA9" w:rsidRPr="008803C5">
        <w:rPr>
          <w:rFonts w:cs="Helvetica"/>
          <w:color w:val="333333"/>
          <w:lang w:val="en"/>
        </w:rPr>
        <w:t xml:space="preserve">under </w:t>
      </w:r>
      <w:r w:rsidR="005C6FA9">
        <w:rPr>
          <w:rFonts w:cs="Helvetica"/>
          <w:color w:val="333333"/>
          <w:lang w:val="en"/>
        </w:rPr>
        <w:t xml:space="preserve">the </w:t>
      </w:r>
      <w:r w:rsidR="005C6FA9" w:rsidRPr="008803C5">
        <w:rPr>
          <w:rFonts w:cs="Helvetica"/>
          <w:color w:val="333333"/>
          <w:lang w:val="en"/>
        </w:rPr>
        <w:t>NEPOOL GIS operating rules</w:t>
      </w:r>
      <w:r w:rsidR="005C6FA9">
        <w:rPr>
          <w:rFonts w:cs="Helvetica"/>
          <w:color w:val="333333"/>
          <w:lang w:val="en"/>
        </w:rPr>
        <w:t xml:space="preserve">. </w:t>
      </w:r>
      <w:r w:rsidR="00135504">
        <w:rPr>
          <w:rFonts w:cs="Helvetica"/>
          <w:color w:val="333333"/>
          <w:lang w:val="en"/>
        </w:rPr>
        <w:t xml:space="preserve"> O</w:t>
      </w:r>
      <w:r w:rsidR="008803C5" w:rsidRPr="008803C5">
        <w:rPr>
          <w:rFonts w:cs="Helvetica"/>
          <w:color w:val="333333"/>
          <w:lang w:val="en"/>
        </w:rPr>
        <w:t xml:space="preserve">nce a </w:t>
      </w:r>
      <w:r w:rsidR="00135504">
        <w:rPr>
          <w:rFonts w:cs="Helvetica"/>
          <w:color w:val="333333"/>
          <w:lang w:val="en"/>
        </w:rPr>
        <w:t xml:space="preserve">REC is </w:t>
      </w:r>
      <w:r w:rsidR="00135504" w:rsidRPr="00212D3B">
        <w:rPr>
          <w:rFonts w:cs="Helvetica"/>
          <w:b/>
          <w:i/>
          <w:color w:val="333333"/>
          <w:u w:val="single"/>
          <w:lang w:val="en"/>
        </w:rPr>
        <w:t>settled</w:t>
      </w:r>
      <w:r w:rsidR="00135504">
        <w:rPr>
          <w:rFonts w:cs="Helvetica"/>
          <w:color w:val="333333"/>
          <w:lang w:val="en"/>
        </w:rPr>
        <w:t xml:space="preserve"> </w:t>
      </w:r>
      <w:r w:rsidR="008803C5" w:rsidRPr="008803C5">
        <w:rPr>
          <w:rFonts w:cs="Helvetica"/>
          <w:color w:val="333333"/>
          <w:lang w:val="en"/>
        </w:rPr>
        <w:t>to a</w:t>
      </w:r>
      <w:r w:rsidR="00135504">
        <w:rPr>
          <w:rFonts w:cs="Helvetica"/>
          <w:color w:val="333333"/>
          <w:lang w:val="en"/>
        </w:rPr>
        <w:t>n LSE</w:t>
      </w:r>
      <w:r w:rsidR="008803C5" w:rsidRPr="008803C5">
        <w:rPr>
          <w:rFonts w:cs="Helvetica"/>
          <w:color w:val="333333"/>
          <w:lang w:val="en"/>
        </w:rPr>
        <w:t xml:space="preserve"> subaccount</w:t>
      </w:r>
      <w:r w:rsidR="00DA05D5">
        <w:rPr>
          <w:rFonts w:cs="Helvetica"/>
          <w:color w:val="333333"/>
          <w:lang w:val="en"/>
        </w:rPr>
        <w:t>,</w:t>
      </w:r>
      <w:r w:rsidR="008803C5" w:rsidRPr="008803C5">
        <w:rPr>
          <w:rFonts w:cs="Helvetica"/>
          <w:color w:val="333333"/>
          <w:lang w:val="en"/>
        </w:rPr>
        <w:t xml:space="preserve"> th</w:t>
      </w:r>
      <w:r w:rsidR="00135504">
        <w:rPr>
          <w:rFonts w:cs="Helvetica"/>
          <w:color w:val="333333"/>
          <w:lang w:val="en"/>
        </w:rPr>
        <w:t xml:space="preserve">at </w:t>
      </w:r>
      <w:r w:rsidR="008803C5" w:rsidRPr="008803C5">
        <w:rPr>
          <w:rFonts w:cs="Helvetica"/>
          <w:color w:val="333333"/>
          <w:lang w:val="en"/>
        </w:rPr>
        <w:t xml:space="preserve">REC is removed from circulation and cannot be transferred or traded.  This </w:t>
      </w:r>
      <w:r w:rsidR="007A7BA9">
        <w:rPr>
          <w:rFonts w:cs="Helvetica"/>
          <w:color w:val="333333"/>
          <w:lang w:val="en"/>
        </w:rPr>
        <w:t>procedure</w:t>
      </w:r>
      <w:r w:rsidR="008A099F">
        <w:rPr>
          <w:rFonts w:cs="Helvetica"/>
          <w:color w:val="333333"/>
          <w:lang w:val="en"/>
        </w:rPr>
        <w:t xml:space="preserve"> </w:t>
      </w:r>
      <w:r w:rsidR="008803C5" w:rsidRPr="008803C5">
        <w:rPr>
          <w:rFonts w:cs="Helvetica"/>
          <w:color w:val="333333"/>
          <w:lang w:val="en"/>
        </w:rPr>
        <w:t xml:space="preserve">was designed to prevent </w:t>
      </w:r>
      <w:r w:rsidR="00135504">
        <w:rPr>
          <w:rFonts w:cs="Helvetica"/>
          <w:color w:val="333333"/>
          <w:lang w:val="en"/>
        </w:rPr>
        <w:t>misuse</w:t>
      </w:r>
      <w:r w:rsidR="00390F1D">
        <w:rPr>
          <w:rFonts w:cs="Helvetica"/>
          <w:color w:val="333333"/>
          <w:lang w:val="en"/>
        </w:rPr>
        <w:t>;</w:t>
      </w:r>
      <w:r w:rsidR="008E0433">
        <w:rPr>
          <w:rFonts w:cs="Helvetica"/>
          <w:color w:val="333333"/>
          <w:lang w:val="en"/>
        </w:rPr>
        <w:t xml:space="preserve"> specifically</w:t>
      </w:r>
      <w:r w:rsidR="0086139C">
        <w:rPr>
          <w:rFonts w:cs="Helvetica"/>
          <w:color w:val="333333"/>
          <w:lang w:val="en"/>
        </w:rPr>
        <w:t>,</w:t>
      </w:r>
      <w:r w:rsidR="00135504">
        <w:rPr>
          <w:rFonts w:cs="Helvetica"/>
          <w:color w:val="333333"/>
          <w:lang w:val="en"/>
        </w:rPr>
        <w:t xml:space="preserve"> </w:t>
      </w:r>
      <w:r w:rsidR="0086139C">
        <w:rPr>
          <w:rFonts w:cs="Helvetica"/>
          <w:color w:val="333333"/>
          <w:lang w:val="en"/>
        </w:rPr>
        <w:t>double</w:t>
      </w:r>
      <w:r w:rsidR="0086139C">
        <w:rPr>
          <w:rFonts w:cs="Helvetica"/>
          <w:color w:val="333333"/>
          <w:lang w:val="en"/>
        </w:rPr>
        <w:noBreakHyphen/>
      </w:r>
      <w:r w:rsidR="008803C5" w:rsidRPr="008803C5">
        <w:rPr>
          <w:rFonts w:cs="Helvetica"/>
          <w:color w:val="333333"/>
          <w:lang w:val="en"/>
        </w:rPr>
        <w:t xml:space="preserve">counting </w:t>
      </w:r>
      <w:r w:rsidR="00390F1D">
        <w:rPr>
          <w:rFonts w:cs="Helvetica"/>
          <w:color w:val="333333"/>
          <w:lang w:val="en"/>
        </w:rPr>
        <w:t xml:space="preserve">of </w:t>
      </w:r>
      <w:proofErr w:type="spellStart"/>
      <w:r w:rsidR="008803C5" w:rsidRPr="008803C5">
        <w:rPr>
          <w:rFonts w:cs="Helvetica"/>
          <w:color w:val="333333"/>
          <w:lang w:val="en"/>
        </w:rPr>
        <w:t>RECs.</w:t>
      </w:r>
      <w:proofErr w:type="spellEnd"/>
    </w:p>
    <w:p w14:paraId="2EE51EAC" w14:textId="77777777" w:rsidR="0028695B" w:rsidRDefault="0028695B" w:rsidP="008803C5">
      <w:pPr>
        <w:spacing w:line="259" w:lineRule="auto"/>
        <w:jc w:val="both"/>
        <w:rPr>
          <w:rFonts w:cs="Helvetica"/>
          <w:color w:val="333333"/>
          <w:lang w:val="en"/>
        </w:rPr>
      </w:pPr>
    </w:p>
    <w:p w14:paraId="2C3FE959" w14:textId="7F8F192C" w:rsidR="00AC5BB7" w:rsidRPr="008803C5" w:rsidRDefault="00AC5BB7" w:rsidP="00AC5BB7">
      <w:pPr>
        <w:pStyle w:val="Heading2"/>
      </w:pPr>
      <w:bookmarkStart w:id="6" w:name="_Toc131170505"/>
      <w:r>
        <w:t xml:space="preserve">REC </w:t>
      </w:r>
      <w:r w:rsidR="000C1980">
        <w:t>Creation &amp; T</w:t>
      </w:r>
      <w:r>
        <w:t>rading Periods</w:t>
      </w:r>
      <w:bookmarkEnd w:id="6"/>
    </w:p>
    <w:p w14:paraId="0A87F2EF" w14:textId="77777777" w:rsidR="008C49F1" w:rsidRDefault="008C49F1" w:rsidP="00AF04F0">
      <w:pPr>
        <w:spacing w:line="259" w:lineRule="auto"/>
      </w:pPr>
    </w:p>
    <w:p w14:paraId="1C7F76D8" w14:textId="6B57B539" w:rsidR="008803C5" w:rsidRDefault="00F82A84" w:rsidP="008803C5">
      <w:pPr>
        <w:spacing w:line="259" w:lineRule="auto"/>
        <w:jc w:val="both"/>
      </w:pPr>
      <w:r>
        <w:t>PURA relies on t</w:t>
      </w:r>
      <w:r w:rsidR="00F562A4">
        <w:t xml:space="preserve">he </w:t>
      </w:r>
      <w:r w:rsidR="008803C5" w:rsidRPr="00F562A4">
        <w:t xml:space="preserve">NEPOOL GIS </w:t>
      </w:r>
      <w:r w:rsidR="00F562A4">
        <w:t>tra</w:t>
      </w:r>
      <w:r w:rsidR="008803C5" w:rsidRPr="00F562A4">
        <w:t>cking platform to verify that</w:t>
      </w:r>
      <w:r w:rsidR="00F562A4">
        <w:t xml:space="preserve"> the</w:t>
      </w:r>
      <w:r w:rsidR="008803C5" w:rsidRPr="00F562A4">
        <w:t xml:space="preserve"> RECs used </w:t>
      </w:r>
      <w:r w:rsidR="008D5A48">
        <w:t xml:space="preserve">to meet </w:t>
      </w:r>
      <w:r w:rsidR="00F562A4">
        <w:t xml:space="preserve">CT’s </w:t>
      </w:r>
      <w:r w:rsidR="008803C5" w:rsidRPr="00F562A4">
        <w:t xml:space="preserve">RPS </w:t>
      </w:r>
      <w:r w:rsidR="008D5A48">
        <w:t xml:space="preserve">requirements are retired/settled </w:t>
      </w:r>
      <w:r w:rsidR="008803C5" w:rsidRPr="00F562A4">
        <w:t xml:space="preserve">to the appropriate </w:t>
      </w:r>
      <w:r w:rsidR="00F45DA6">
        <w:t xml:space="preserve">CT </w:t>
      </w:r>
      <w:r w:rsidR="008803C5" w:rsidRPr="000826CF">
        <w:t>subaccount</w:t>
      </w:r>
      <w:r w:rsidR="008D5A48" w:rsidRPr="000826CF">
        <w:t>.</w:t>
      </w:r>
    </w:p>
    <w:p w14:paraId="60FF02E6" w14:textId="77777777" w:rsidR="003C0F2F" w:rsidRDefault="003C0F2F" w:rsidP="008803C5">
      <w:pPr>
        <w:spacing w:line="259" w:lineRule="auto"/>
        <w:jc w:val="both"/>
      </w:pPr>
    </w:p>
    <w:p w14:paraId="321F27DE" w14:textId="77777777" w:rsidR="003C0F2F" w:rsidRPr="00502C75" w:rsidRDefault="003C0F2F" w:rsidP="00BC05D1">
      <w:pPr>
        <w:keepNext/>
        <w:spacing w:line="259" w:lineRule="auto"/>
        <w:jc w:val="center"/>
        <w:rPr>
          <w:b/>
        </w:rPr>
      </w:pPr>
      <w:r w:rsidRPr="00502C75">
        <w:rPr>
          <w:b/>
        </w:rPr>
        <w:t>NEPOOL GIS Trading Dates</w:t>
      </w:r>
    </w:p>
    <w:p w14:paraId="70494237" w14:textId="24074E60" w:rsidR="003C0F2F" w:rsidRPr="008803C5" w:rsidRDefault="00FA7E9D" w:rsidP="00BC05D1">
      <w:pPr>
        <w:keepNext/>
        <w:spacing w:line="259" w:lineRule="auto"/>
        <w:jc w:val="center"/>
      </w:pPr>
      <w:r w:rsidRPr="00FA7E9D">
        <w:rPr>
          <w:noProof/>
        </w:rPr>
        <w:drawing>
          <wp:inline distT="0" distB="0" distL="0" distR="0" wp14:anchorId="51087BE7" wp14:editId="196BC765">
            <wp:extent cx="4191000" cy="1397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1397000"/>
                    </a:xfrm>
                    <a:prstGeom prst="rect">
                      <a:avLst/>
                    </a:prstGeom>
                    <a:noFill/>
                    <a:ln>
                      <a:noFill/>
                    </a:ln>
                  </pic:spPr>
                </pic:pic>
              </a:graphicData>
            </a:graphic>
          </wp:inline>
        </w:drawing>
      </w:r>
    </w:p>
    <w:p w14:paraId="58ABEB85" w14:textId="77777777" w:rsidR="008313D7" w:rsidRDefault="008313D7">
      <w:pPr>
        <w:rPr>
          <w:rFonts w:asciiTheme="majorHAnsi" w:eastAsiaTheme="majorEastAsia" w:hAnsiTheme="majorHAnsi" w:cstheme="majorBidi"/>
          <w:color w:val="2E74B5" w:themeColor="accent1" w:themeShade="BF"/>
          <w:sz w:val="32"/>
          <w:szCs w:val="32"/>
        </w:rPr>
      </w:pPr>
      <w:r>
        <w:br w:type="page"/>
      </w:r>
    </w:p>
    <w:p w14:paraId="5C1078E3" w14:textId="77777777" w:rsidR="00593D5D" w:rsidRDefault="00593D5D" w:rsidP="00593D5D">
      <w:pPr>
        <w:pStyle w:val="Heading1"/>
      </w:pPr>
      <w:bookmarkStart w:id="7" w:name="_Toc131170506"/>
      <w:r>
        <w:lastRenderedPageBreak/>
        <w:t xml:space="preserve">PURA’s </w:t>
      </w:r>
      <w:r w:rsidRPr="008803C5">
        <w:t>RPS</w:t>
      </w:r>
      <w:r>
        <w:t xml:space="preserve"> Compliance Process</w:t>
      </w:r>
      <w:bookmarkEnd w:id="7"/>
    </w:p>
    <w:p w14:paraId="7EFA8536" w14:textId="77777777" w:rsidR="000810FD" w:rsidRDefault="000810FD" w:rsidP="000810FD">
      <w:pPr>
        <w:pStyle w:val="Heading2"/>
      </w:pPr>
      <w:bookmarkStart w:id="8" w:name="_Toc131170507"/>
      <w:r>
        <w:t>General</w:t>
      </w:r>
      <w:bookmarkEnd w:id="8"/>
    </w:p>
    <w:p w14:paraId="6BD56645" w14:textId="77777777" w:rsidR="000810FD" w:rsidRPr="008803C5" w:rsidRDefault="000810FD" w:rsidP="00593D5D">
      <w:pPr>
        <w:spacing w:line="259" w:lineRule="auto"/>
        <w:jc w:val="both"/>
      </w:pPr>
    </w:p>
    <w:p w14:paraId="56772BBA" w14:textId="51CDD6B7" w:rsidR="008313D7" w:rsidRDefault="00EC730F" w:rsidP="008313D7">
      <w:pPr>
        <w:spacing w:line="259" w:lineRule="auto"/>
        <w:jc w:val="both"/>
      </w:pPr>
      <w:r>
        <w:t>T</w:t>
      </w:r>
      <w:r w:rsidR="00593D5D" w:rsidRPr="008803C5">
        <w:t xml:space="preserve">he Authority initiates an </w:t>
      </w:r>
      <w:r w:rsidR="00593D5D" w:rsidRPr="00D55AAD">
        <w:t xml:space="preserve">annual </w:t>
      </w:r>
      <w:r>
        <w:t>proceeding</w:t>
      </w:r>
      <w:r w:rsidR="00593D5D" w:rsidRPr="008803C5">
        <w:t xml:space="preserve"> to determine </w:t>
      </w:r>
      <w:r>
        <w:t xml:space="preserve">RPS </w:t>
      </w:r>
      <w:r w:rsidR="00593D5D" w:rsidRPr="008803C5">
        <w:t>compliance</w:t>
      </w:r>
      <w:r>
        <w:t>.</w:t>
      </w:r>
      <w:r w:rsidR="00593D5D" w:rsidRPr="00D55AAD">
        <w:t xml:space="preserve">  </w:t>
      </w:r>
      <w:r w:rsidR="00593D5D">
        <w:t>E</w:t>
      </w:r>
      <w:r w:rsidR="00593D5D" w:rsidRPr="008803C5">
        <w:t xml:space="preserve">ach LSE is required to </w:t>
      </w:r>
      <w:r w:rsidR="00CB1BAE">
        <w:t xml:space="preserve">verify </w:t>
      </w:r>
      <w:r w:rsidR="00917556">
        <w:t xml:space="preserve">that </w:t>
      </w:r>
      <w:r w:rsidR="00CB1BAE">
        <w:t xml:space="preserve">it has </w:t>
      </w:r>
      <w:r w:rsidR="00B773F3" w:rsidRPr="00B773F3">
        <w:rPr>
          <w:b/>
          <w:i/>
          <w:u w:val="single"/>
        </w:rPr>
        <w:t>settled</w:t>
      </w:r>
      <w:r w:rsidR="00B773F3">
        <w:t xml:space="preserve"> </w:t>
      </w:r>
      <w:r w:rsidR="00CB1BAE">
        <w:t xml:space="preserve">the RECs necessary to support its full retail load for the </w:t>
      </w:r>
      <w:r w:rsidR="00917556">
        <w:t xml:space="preserve">recently concluded </w:t>
      </w:r>
      <w:r w:rsidR="00CB1BAE">
        <w:t xml:space="preserve">RPS Compliance Year.  This information must be submitted </w:t>
      </w:r>
      <w:r w:rsidR="00593D5D" w:rsidRPr="00D55AAD">
        <w:t xml:space="preserve">on or before </w:t>
      </w:r>
      <w:r w:rsidR="00593D5D" w:rsidRPr="008803C5">
        <w:t>October 15</w:t>
      </w:r>
      <w:r w:rsidR="00593D5D" w:rsidRPr="008803C5">
        <w:rPr>
          <w:vertAlign w:val="superscript"/>
        </w:rPr>
        <w:t>th</w:t>
      </w:r>
      <w:r w:rsidR="00593D5D" w:rsidRPr="008803C5">
        <w:t xml:space="preserve"> </w:t>
      </w:r>
      <w:r w:rsidR="00314565">
        <w:t>in</w:t>
      </w:r>
      <w:r w:rsidR="00593D5D" w:rsidRPr="008803C5">
        <w:t xml:space="preserve"> the year </w:t>
      </w:r>
      <w:r w:rsidR="00593D5D" w:rsidRPr="00D55AAD">
        <w:t>following the RPS Compliance Year that is being reviewed</w:t>
      </w:r>
      <w:r w:rsidR="00FC26A6">
        <w:t xml:space="preserve"> under the appropriate PURA docket</w:t>
      </w:r>
      <w:r w:rsidR="00593D5D" w:rsidRPr="00D55AAD">
        <w:t xml:space="preserve">.  </w:t>
      </w:r>
      <w:r w:rsidR="008313D7">
        <w:t>The following is an example of</w:t>
      </w:r>
      <w:r w:rsidR="008313D7" w:rsidRPr="008803C5">
        <w:t xml:space="preserve"> the relevant trading periods </w:t>
      </w:r>
      <w:r w:rsidR="008313D7">
        <w:t xml:space="preserve">used by PURA to review compliance </w:t>
      </w:r>
      <w:r w:rsidR="008313D7" w:rsidRPr="008803C5">
        <w:t xml:space="preserve">for the </w:t>
      </w:r>
      <w:r w:rsidR="00DD1619">
        <w:t>2022</w:t>
      </w:r>
      <w:r w:rsidR="008313D7">
        <w:t xml:space="preserve"> RPS Compliance Year</w:t>
      </w:r>
      <w:r w:rsidR="004518D4">
        <w:t xml:space="preserve">.  </w:t>
      </w:r>
      <w:r w:rsidR="008313D7" w:rsidRPr="008803C5">
        <w:t>Based on the NEPOOL GIS trading periods</w:t>
      </w:r>
      <w:r w:rsidR="004518D4">
        <w:t xml:space="preserve"> and PURA rules</w:t>
      </w:r>
      <w:r w:rsidR="008313D7" w:rsidRPr="008803C5">
        <w:t xml:space="preserve">, the last day for </w:t>
      </w:r>
      <w:r w:rsidR="008313D7">
        <w:t xml:space="preserve">an </w:t>
      </w:r>
      <w:r w:rsidR="008313D7" w:rsidRPr="008803C5">
        <w:t xml:space="preserve">LSE to </w:t>
      </w:r>
      <w:r w:rsidR="008313D7" w:rsidRPr="00130802">
        <w:rPr>
          <w:b/>
          <w:i/>
          <w:u w:val="single"/>
        </w:rPr>
        <w:t>settle</w:t>
      </w:r>
      <w:r w:rsidR="008313D7" w:rsidRPr="00815000">
        <w:t xml:space="preserve"> RECs </w:t>
      </w:r>
      <w:r w:rsidR="00DD1619">
        <w:t>for the 2022</w:t>
      </w:r>
      <w:r w:rsidR="008313D7" w:rsidRPr="008803C5">
        <w:t xml:space="preserve"> RPS </w:t>
      </w:r>
      <w:r w:rsidR="008313D7">
        <w:t>C</w:t>
      </w:r>
      <w:r w:rsidR="008313D7" w:rsidRPr="008803C5">
        <w:t>ompli</w:t>
      </w:r>
      <w:r w:rsidR="008313D7">
        <w:t xml:space="preserve">ance Year </w:t>
      </w:r>
      <w:r w:rsidR="00DD1619">
        <w:t>will be June 15, 2023</w:t>
      </w:r>
      <w:r w:rsidR="008313D7" w:rsidRPr="008803C5">
        <w:t>.</w:t>
      </w:r>
    </w:p>
    <w:p w14:paraId="20DF7C04" w14:textId="77777777" w:rsidR="00FC26A6" w:rsidRDefault="00FC26A6" w:rsidP="00593D5D">
      <w:pPr>
        <w:spacing w:line="259" w:lineRule="auto"/>
        <w:jc w:val="both"/>
      </w:pPr>
    </w:p>
    <w:p w14:paraId="44B50E72" w14:textId="6E712C83" w:rsidR="00FC26A6" w:rsidRPr="00461558" w:rsidRDefault="00DD1619" w:rsidP="00FC26A6">
      <w:pPr>
        <w:keepNext/>
        <w:spacing w:line="259" w:lineRule="auto"/>
        <w:jc w:val="center"/>
        <w:rPr>
          <w:b/>
        </w:rPr>
      </w:pPr>
      <w:r>
        <w:rPr>
          <w:b/>
        </w:rPr>
        <w:t>Example – 2022</w:t>
      </w:r>
      <w:r w:rsidR="00FC26A6" w:rsidRPr="00461558">
        <w:rPr>
          <w:b/>
        </w:rPr>
        <w:t xml:space="preserve"> RPS Compliance Year</w:t>
      </w:r>
    </w:p>
    <w:tbl>
      <w:tblPr>
        <w:tblW w:w="7300" w:type="dxa"/>
        <w:jc w:val="center"/>
        <w:tblLook w:val="04A0" w:firstRow="1" w:lastRow="0" w:firstColumn="1" w:lastColumn="0" w:noHBand="0" w:noVBand="1"/>
      </w:tblPr>
      <w:tblGrid>
        <w:gridCol w:w="2360"/>
        <w:gridCol w:w="3040"/>
        <w:gridCol w:w="1900"/>
      </w:tblGrid>
      <w:tr w:rsidR="00DD1619" w:rsidRPr="00DD1619" w14:paraId="122DFB23" w14:textId="77777777" w:rsidTr="00DD1619">
        <w:trPr>
          <w:trHeight w:val="288"/>
          <w:jc w:val="center"/>
        </w:trPr>
        <w:tc>
          <w:tcPr>
            <w:tcW w:w="2360" w:type="dxa"/>
            <w:tcBorders>
              <w:top w:val="single" w:sz="4" w:space="0" w:color="9BC2E6"/>
              <w:left w:val="single" w:sz="4" w:space="0" w:color="9BC2E6"/>
              <w:bottom w:val="single" w:sz="4" w:space="0" w:color="9BC2E6"/>
              <w:right w:val="nil"/>
            </w:tcBorders>
            <w:shd w:val="clear" w:color="5B9BD5" w:fill="5B9BD5"/>
            <w:noWrap/>
            <w:vAlign w:val="bottom"/>
            <w:hideMark/>
          </w:tcPr>
          <w:p w14:paraId="652CEAD3" w14:textId="77777777" w:rsidR="00DD1619" w:rsidRPr="00DD1619" w:rsidRDefault="00DD1619" w:rsidP="00DD1619">
            <w:pPr>
              <w:rPr>
                <w:rFonts w:ascii="Calibri" w:eastAsia="Times New Roman" w:hAnsi="Calibri" w:cs="Calibri"/>
                <w:b/>
                <w:bCs/>
                <w:color w:val="FFFFFF"/>
              </w:rPr>
            </w:pPr>
            <w:r w:rsidRPr="00DD1619">
              <w:rPr>
                <w:rFonts w:ascii="Calibri" w:eastAsia="Times New Roman" w:hAnsi="Calibri" w:cs="Calibri"/>
                <w:b/>
                <w:bCs/>
                <w:color w:val="FFFFFF"/>
              </w:rPr>
              <w:t>Generation Month</w:t>
            </w:r>
          </w:p>
        </w:tc>
        <w:tc>
          <w:tcPr>
            <w:tcW w:w="3040" w:type="dxa"/>
            <w:tcBorders>
              <w:top w:val="single" w:sz="4" w:space="0" w:color="9BC2E6"/>
              <w:left w:val="nil"/>
              <w:bottom w:val="single" w:sz="4" w:space="0" w:color="9BC2E6"/>
              <w:right w:val="nil"/>
            </w:tcBorders>
            <w:shd w:val="clear" w:color="5B9BD5" w:fill="5B9BD5"/>
            <w:noWrap/>
            <w:vAlign w:val="bottom"/>
            <w:hideMark/>
          </w:tcPr>
          <w:p w14:paraId="07397F11" w14:textId="77777777" w:rsidR="00DD1619" w:rsidRPr="00DD1619" w:rsidRDefault="00DD1619" w:rsidP="00DD1619">
            <w:pPr>
              <w:rPr>
                <w:rFonts w:ascii="Calibri" w:eastAsia="Times New Roman" w:hAnsi="Calibri" w:cs="Calibri"/>
                <w:b/>
                <w:bCs/>
                <w:color w:val="FFFFFF"/>
              </w:rPr>
            </w:pPr>
            <w:r w:rsidRPr="00DD1619">
              <w:rPr>
                <w:rFonts w:ascii="Calibri" w:eastAsia="Times New Roman" w:hAnsi="Calibri" w:cs="Calibri"/>
                <w:b/>
                <w:bCs/>
                <w:color w:val="FFFFFF"/>
              </w:rPr>
              <w:t>REC Trading Period</w:t>
            </w:r>
          </w:p>
        </w:tc>
        <w:tc>
          <w:tcPr>
            <w:tcW w:w="1900" w:type="dxa"/>
            <w:tcBorders>
              <w:top w:val="single" w:sz="4" w:space="0" w:color="9BC2E6"/>
              <w:left w:val="nil"/>
              <w:bottom w:val="single" w:sz="4" w:space="0" w:color="9BC2E6"/>
              <w:right w:val="single" w:sz="4" w:space="0" w:color="9BC2E6"/>
            </w:tcBorders>
            <w:shd w:val="clear" w:color="5B9BD5" w:fill="5B9BD5"/>
            <w:noWrap/>
            <w:vAlign w:val="bottom"/>
            <w:hideMark/>
          </w:tcPr>
          <w:p w14:paraId="43CC5D8E" w14:textId="77777777" w:rsidR="00DD1619" w:rsidRPr="00DD1619" w:rsidRDefault="00DD1619" w:rsidP="00DD1619">
            <w:pPr>
              <w:rPr>
                <w:rFonts w:ascii="Calibri" w:eastAsia="Times New Roman" w:hAnsi="Calibri" w:cs="Calibri"/>
                <w:b/>
                <w:bCs/>
                <w:color w:val="FFFFFF"/>
              </w:rPr>
            </w:pPr>
            <w:r w:rsidRPr="00DD1619">
              <w:rPr>
                <w:rFonts w:ascii="Calibri" w:eastAsia="Times New Roman" w:hAnsi="Calibri" w:cs="Calibri"/>
                <w:b/>
                <w:bCs/>
                <w:color w:val="FFFFFF"/>
              </w:rPr>
              <w:t>REC Quarter</w:t>
            </w:r>
          </w:p>
        </w:tc>
      </w:tr>
      <w:tr w:rsidR="00DD1619" w:rsidRPr="00DD1619" w14:paraId="735E27F8" w14:textId="77777777" w:rsidTr="00DD1619">
        <w:trPr>
          <w:trHeight w:val="288"/>
          <w:jc w:val="center"/>
        </w:trPr>
        <w:tc>
          <w:tcPr>
            <w:tcW w:w="2360" w:type="dxa"/>
            <w:tcBorders>
              <w:top w:val="single" w:sz="4" w:space="0" w:color="9BC2E6"/>
              <w:left w:val="single" w:sz="4" w:space="0" w:color="9BC2E6"/>
              <w:bottom w:val="single" w:sz="4" w:space="0" w:color="9BC2E6"/>
              <w:right w:val="nil"/>
            </w:tcBorders>
            <w:shd w:val="clear" w:color="DDEBF7" w:fill="DDEBF7"/>
            <w:noWrap/>
            <w:vAlign w:val="bottom"/>
            <w:hideMark/>
          </w:tcPr>
          <w:p w14:paraId="09082C6F"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Jan - March 2022</w:t>
            </w:r>
          </w:p>
        </w:tc>
        <w:tc>
          <w:tcPr>
            <w:tcW w:w="3040" w:type="dxa"/>
            <w:tcBorders>
              <w:top w:val="single" w:sz="4" w:space="0" w:color="9BC2E6"/>
              <w:left w:val="nil"/>
              <w:bottom w:val="single" w:sz="4" w:space="0" w:color="9BC2E6"/>
              <w:right w:val="nil"/>
            </w:tcBorders>
            <w:shd w:val="clear" w:color="DDEBF7" w:fill="DDEBF7"/>
            <w:noWrap/>
            <w:vAlign w:val="bottom"/>
            <w:hideMark/>
          </w:tcPr>
          <w:p w14:paraId="199D5314"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July 15, 2022- Sept. 15, 2022</w:t>
            </w:r>
          </w:p>
        </w:tc>
        <w:tc>
          <w:tcPr>
            <w:tcW w:w="1900" w:type="dxa"/>
            <w:tcBorders>
              <w:top w:val="single" w:sz="4" w:space="0" w:color="9BC2E6"/>
              <w:left w:val="nil"/>
              <w:bottom w:val="single" w:sz="4" w:space="0" w:color="9BC2E6"/>
              <w:right w:val="single" w:sz="4" w:space="0" w:color="9BC2E6"/>
            </w:tcBorders>
            <w:shd w:val="clear" w:color="DDEBF7" w:fill="DDEBF7"/>
            <w:noWrap/>
            <w:vAlign w:val="bottom"/>
            <w:hideMark/>
          </w:tcPr>
          <w:p w14:paraId="4388D4F2"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First (1)</w:t>
            </w:r>
          </w:p>
        </w:tc>
      </w:tr>
      <w:tr w:rsidR="00DD1619" w:rsidRPr="00DD1619" w14:paraId="74D1A1A6" w14:textId="77777777" w:rsidTr="00DD1619">
        <w:trPr>
          <w:trHeight w:val="288"/>
          <w:jc w:val="center"/>
        </w:trPr>
        <w:tc>
          <w:tcPr>
            <w:tcW w:w="2360" w:type="dxa"/>
            <w:tcBorders>
              <w:top w:val="single" w:sz="4" w:space="0" w:color="9BC2E6"/>
              <w:left w:val="single" w:sz="4" w:space="0" w:color="9BC2E6"/>
              <w:bottom w:val="single" w:sz="4" w:space="0" w:color="9BC2E6"/>
              <w:right w:val="nil"/>
            </w:tcBorders>
            <w:shd w:val="clear" w:color="auto" w:fill="auto"/>
            <w:noWrap/>
            <w:vAlign w:val="bottom"/>
            <w:hideMark/>
          </w:tcPr>
          <w:p w14:paraId="7E30500C"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April - June 2022</w:t>
            </w:r>
          </w:p>
        </w:tc>
        <w:tc>
          <w:tcPr>
            <w:tcW w:w="3040" w:type="dxa"/>
            <w:tcBorders>
              <w:top w:val="single" w:sz="4" w:space="0" w:color="9BC2E6"/>
              <w:left w:val="nil"/>
              <w:bottom w:val="single" w:sz="4" w:space="0" w:color="9BC2E6"/>
              <w:right w:val="nil"/>
            </w:tcBorders>
            <w:shd w:val="clear" w:color="auto" w:fill="auto"/>
            <w:noWrap/>
            <w:vAlign w:val="bottom"/>
            <w:hideMark/>
          </w:tcPr>
          <w:p w14:paraId="1E7BDF69"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Oct. 15, 2022 - Dec. 15, 2022</w:t>
            </w:r>
          </w:p>
        </w:tc>
        <w:tc>
          <w:tcPr>
            <w:tcW w:w="1900" w:type="dxa"/>
            <w:tcBorders>
              <w:top w:val="single" w:sz="4" w:space="0" w:color="9BC2E6"/>
              <w:left w:val="nil"/>
              <w:bottom w:val="single" w:sz="4" w:space="0" w:color="9BC2E6"/>
              <w:right w:val="single" w:sz="4" w:space="0" w:color="9BC2E6"/>
            </w:tcBorders>
            <w:shd w:val="clear" w:color="auto" w:fill="auto"/>
            <w:noWrap/>
            <w:vAlign w:val="bottom"/>
            <w:hideMark/>
          </w:tcPr>
          <w:p w14:paraId="11368D26"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Second (2)</w:t>
            </w:r>
          </w:p>
        </w:tc>
      </w:tr>
      <w:tr w:rsidR="00DD1619" w:rsidRPr="00DD1619" w14:paraId="1BB1C4FA" w14:textId="77777777" w:rsidTr="00DD1619">
        <w:trPr>
          <w:trHeight w:val="288"/>
          <w:jc w:val="center"/>
        </w:trPr>
        <w:tc>
          <w:tcPr>
            <w:tcW w:w="2360" w:type="dxa"/>
            <w:tcBorders>
              <w:top w:val="single" w:sz="4" w:space="0" w:color="9BC2E6"/>
              <w:left w:val="single" w:sz="4" w:space="0" w:color="9BC2E6"/>
              <w:bottom w:val="single" w:sz="4" w:space="0" w:color="9BC2E6"/>
              <w:right w:val="nil"/>
            </w:tcBorders>
            <w:shd w:val="clear" w:color="DDEBF7" w:fill="DDEBF7"/>
            <w:noWrap/>
            <w:vAlign w:val="bottom"/>
            <w:hideMark/>
          </w:tcPr>
          <w:p w14:paraId="29335C03"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July - Sept 2022</w:t>
            </w:r>
          </w:p>
        </w:tc>
        <w:tc>
          <w:tcPr>
            <w:tcW w:w="3040" w:type="dxa"/>
            <w:tcBorders>
              <w:top w:val="single" w:sz="4" w:space="0" w:color="9BC2E6"/>
              <w:left w:val="nil"/>
              <w:bottom w:val="single" w:sz="4" w:space="0" w:color="9BC2E6"/>
              <w:right w:val="nil"/>
            </w:tcBorders>
            <w:shd w:val="clear" w:color="DDEBF7" w:fill="DDEBF7"/>
            <w:noWrap/>
            <w:vAlign w:val="bottom"/>
            <w:hideMark/>
          </w:tcPr>
          <w:p w14:paraId="325D9890"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Jan 15, 2023 - March 15, 2023</w:t>
            </w:r>
          </w:p>
        </w:tc>
        <w:tc>
          <w:tcPr>
            <w:tcW w:w="1900" w:type="dxa"/>
            <w:tcBorders>
              <w:top w:val="single" w:sz="4" w:space="0" w:color="9BC2E6"/>
              <w:left w:val="nil"/>
              <w:bottom w:val="single" w:sz="4" w:space="0" w:color="9BC2E6"/>
              <w:right w:val="single" w:sz="4" w:space="0" w:color="9BC2E6"/>
            </w:tcBorders>
            <w:shd w:val="clear" w:color="DDEBF7" w:fill="DDEBF7"/>
            <w:noWrap/>
            <w:vAlign w:val="bottom"/>
            <w:hideMark/>
          </w:tcPr>
          <w:p w14:paraId="4BB28C00"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Third (3)</w:t>
            </w:r>
          </w:p>
        </w:tc>
      </w:tr>
      <w:tr w:rsidR="00DD1619" w:rsidRPr="00DD1619" w14:paraId="45DD34C3" w14:textId="77777777" w:rsidTr="00DD1619">
        <w:trPr>
          <w:trHeight w:val="288"/>
          <w:jc w:val="center"/>
        </w:trPr>
        <w:tc>
          <w:tcPr>
            <w:tcW w:w="2360" w:type="dxa"/>
            <w:tcBorders>
              <w:top w:val="single" w:sz="4" w:space="0" w:color="9BC2E6"/>
              <w:left w:val="single" w:sz="4" w:space="0" w:color="9BC2E6"/>
              <w:bottom w:val="single" w:sz="4" w:space="0" w:color="9BC2E6"/>
              <w:right w:val="nil"/>
            </w:tcBorders>
            <w:shd w:val="clear" w:color="auto" w:fill="auto"/>
            <w:noWrap/>
            <w:vAlign w:val="bottom"/>
            <w:hideMark/>
          </w:tcPr>
          <w:p w14:paraId="0DDE70A8"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Oct - Dec 2022</w:t>
            </w:r>
          </w:p>
        </w:tc>
        <w:tc>
          <w:tcPr>
            <w:tcW w:w="3040" w:type="dxa"/>
            <w:tcBorders>
              <w:top w:val="single" w:sz="4" w:space="0" w:color="9BC2E6"/>
              <w:left w:val="nil"/>
              <w:bottom w:val="single" w:sz="4" w:space="0" w:color="9BC2E6"/>
              <w:right w:val="nil"/>
            </w:tcBorders>
            <w:shd w:val="clear" w:color="auto" w:fill="auto"/>
            <w:noWrap/>
            <w:vAlign w:val="bottom"/>
            <w:hideMark/>
          </w:tcPr>
          <w:p w14:paraId="29949B99"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April 15, 2023 - June 15, 2023</w:t>
            </w:r>
          </w:p>
        </w:tc>
        <w:tc>
          <w:tcPr>
            <w:tcW w:w="1900" w:type="dxa"/>
            <w:tcBorders>
              <w:top w:val="single" w:sz="4" w:space="0" w:color="9BC2E6"/>
              <w:left w:val="nil"/>
              <w:bottom w:val="single" w:sz="4" w:space="0" w:color="9BC2E6"/>
              <w:right w:val="single" w:sz="4" w:space="0" w:color="9BC2E6"/>
            </w:tcBorders>
            <w:shd w:val="clear" w:color="auto" w:fill="auto"/>
            <w:noWrap/>
            <w:vAlign w:val="bottom"/>
            <w:hideMark/>
          </w:tcPr>
          <w:p w14:paraId="452209C2"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Fourth (4)</w:t>
            </w:r>
          </w:p>
        </w:tc>
      </w:tr>
      <w:tr w:rsidR="00DD1619" w:rsidRPr="00DD1619" w14:paraId="0B7FE383" w14:textId="77777777" w:rsidTr="00DD1619">
        <w:trPr>
          <w:trHeight w:val="288"/>
          <w:jc w:val="center"/>
        </w:trPr>
        <w:tc>
          <w:tcPr>
            <w:tcW w:w="5400" w:type="dxa"/>
            <w:gridSpan w:val="2"/>
            <w:tcBorders>
              <w:top w:val="single" w:sz="4" w:space="0" w:color="9BC2E6"/>
              <w:left w:val="single" w:sz="4" w:space="0" w:color="9BC2E6"/>
              <w:bottom w:val="single" w:sz="4" w:space="0" w:color="9BC2E6"/>
              <w:right w:val="nil"/>
            </w:tcBorders>
            <w:shd w:val="clear" w:color="DDEBF7" w:fill="DDEBF7"/>
            <w:noWrap/>
            <w:vAlign w:val="bottom"/>
            <w:hideMark/>
          </w:tcPr>
          <w:p w14:paraId="523DFC26" w14:textId="77777777" w:rsidR="00DD1619" w:rsidRPr="00DD1619" w:rsidRDefault="00DD1619" w:rsidP="00DD1619">
            <w:pPr>
              <w:rPr>
                <w:rFonts w:ascii="Calibri" w:eastAsia="Times New Roman" w:hAnsi="Calibri" w:cs="Calibri"/>
                <w:color w:val="000000"/>
              </w:rPr>
            </w:pPr>
            <w:r w:rsidRPr="00DD1619">
              <w:rPr>
                <w:rFonts w:ascii="Calibri" w:eastAsia="Times New Roman" w:hAnsi="Calibri" w:cs="Calibri"/>
                <w:color w:val="000000"/>
              </w:rPr>
              <w:t xml:space="preserve">2022 RPS Compliance Filing Due October 15, 2023 </w:t>
            </w:r>
          </w:p>
        </w:tc>
        <w:tc>
          <w:tcPr>
            <w:tcW w:w="1900" w:type="dxa"/>
            <w:tcBorders>
              <w:top w:val="single" w:sz="4" w:space="0" w:color="9BC2E6"/>
              <w:left w:val="nil"/>
              <w:bottom w:val="single" w:sz="4" w:space="0" w:color="9BC2E6"/>
              <w:right w:val="single" w:sz="4" w:space="0" w:color="9BC2E6"/>
            </w:tcBorders>
            <w:shd w:val="clear" w:color="DDEBF7" w:fill="DDEBF7"/>
            <w:noWrap/>
            <w:vAlign w:val="bottom"/>
            <w:hideMark/>
          </w:tcPr>
          <w:p w14:paraId="2EFF1971" w14:textId="77777777" w:rsidR="00DD1619" w:rsidRPr="00DD1619" w:rsidRDefault="00DD1619" w:rsidP="00DD1619">
            <w:pPr>
              <w:rPr>
                <w:rFonts w:ascii="Calibri" w:eastAsia="Times New Roman" w:hAnsi="Calibri" w:cs="Calibri"/>
                <w:color w:val="000000"/>
              </w:rPr>
            </w:pPr>
          </w:p>
        </w:tc>
      </w:tr>
    </w:tbl>
    <w:p w14:paraId="70F7FB6F" w14:textId="6FEC26DB" w:rsidR="00FC26A6" w:rsidRDefault="00FC26A6" w:rsidP="00FC26A6">
      <w:pPr>
        <w:keepNext/>
        <w:spacing w:line="259" w:lineRule="auto"/>
        <w:jc w:val="center"/>
      </w:pPr>
    </w:p>
    <w:p w14:paraId="3DF1EA5C" w14:textId="77777777" w:rsidR="00FC26A6" w:rsidRDefault="00FC26A6" w:rsidP="00593D5D">
      <w:pPr>
        <w:spacing w:line="259" w:lineRule="auto"/>
        <w:jc w:val="both"/>
      </w:pPr>
    </w:p>
    <w:p w14:paraId="1E487503" w14:textId="3D3C5F33" w:rsidR="003932AC" w:rsidRDefault="003932AC" w:rsidP="003932AC">
      <w:pPr>
        <w:pStyle w:val="Heading2"/>
      </w:pPr>
      <w:bookmarkStart w:id="9" w:name="_Toc131170508"/>
      <w:r>
        <w:t xml:space="preserve">RPS </w:t>
      </w:r>
      <w:r w:rsidR="00455E70">
        <w:t xml:space="preserve">Compliance </w:t>
      </w:r>
      <w:r>
        <w:t>Forms</w:t>
      </w:r>
      <w:bookmarkEnd w:id="9"/>
    </w:p>
    <w:p w14:paraId="5CBDC5C3" w14:textId="77777777" w:rsidR="003932AC" w:rsidRDefault="003932AC" w:rsidP="00593D5D">
      <w:pPr>
        <w:spacing w:line="259" w:lineRule="auto"/>
        <w:jc w:val="both"/>
      </w:pPr>
    </w:p>
    <w:p w14:paraId="74C1566E" w14:textId="61A05349" w:rsidR="00593D5D" w:rsidRDefault="00B97FC6" w:rsidP="00593D5D">
      <w:pPr>
        <w:spacing w:line="259" w:lineRule="auto"/>
        <w:jc w:val="both"/>
      </w:pPr>
      <w:r>
        <w:t xml:space="preserve">RPS compliance </w:t>
      </w:r>
      <w:r w:rsidR="00CB1BAE">
        <w:t>is subject to full regulatory review after which the Authority issues a</w:t>
      </w:r>
      <w:r w:rsidR="00CC13A0">
        <w:t xml:space="preserve"> ruling (RPS</w:t>
      </w:r>
      <w:r w:rsidR="00CB1BAE">
        <w:t xml:space="preserve"> Decision</w:t>
      </w:r>
      <w:r w:rsidR="00CC13A0">
        <w:t>)</w:t>
      </w:r>
      <w:r w:rsidR="001C62E0">
        <w:t>,</w:t>
      </w:r>
      <w:r w:rsidR="00CB1BAE">
        <w:t xml:space="preserve"> which determines </w:t>
      </w:r>
      <w:r w:rsidR="00593D5D" w:rsidRPr="008803C5">
        <w:t>each LSE</w:t>
      </w:r>
      <w:r w:rsidR="00CB1BAE">
        <w:t>s’</w:t>
      </w:r>
      <w:r w:rsidR="00593D5D" w:rsidRPr="008803C5">
        <w:t xml:space="preserve"> RPS compliance, </w:t>
      </w:r>
      <w:r w:rsidR="00593D5D">
        <w:t xml:space="preserve">the </w:t>
      </w:r>
      <w:r w:rsidR="00593D5D" w:rsidRPr="008803C5">
        <w:t xml:space="preserve">amount of </w:t>
      </w:r>
      <w:r w:rsidR="00593D5D">
        <w:t xml:space="preserve">the </w:t>
      </w:r>
      <w:r w:rsidR="00593D5D" w:rsidRPr="008803C5">
        <w:t xml:space="preserve">ACP </w:t>
      </w:r>
      <w:r w:rsidR="00593D5D">
        <w:t xml:space="preserve">(if applicable) </w:t>
      </w:r>
      <w:r w:rsidR="00593D5D" w:rsidRPr="008803C5">
        <w:t>and the quantit</w:t>
      </w:r>
      <w:r w:rsidR="00313F21">
        <w:t>y of</w:t>
      </w:r>
      <w:r w:rsidR="00593D5D" w:rsidRPr="008803C5">
        <w:t xml:space="preserve"> </w:t>
      </w:r>
      <w:r w:rsidR="00313F21">
        <w:t xml:space="preserve">banked </w:t>
      </w:r>
      <w:r w:rsidR="00593D5D" w:rsidRPr="008803C5">
        <w:t xml:space="preserve">RECs </w:t>
      </w:r>
      <w:r w:rsidR="00593D5D">
        <w:t xml:space="preserve">that will be </w:t>
      </w:r>
      <w:r w:rsidR="00313F21">
        <w:t>applied</w:t>
      </w:r>
      <w:r w:rsidR="00593D5D" w:rsidRPr="008803C5">
        <w:t xml:space="preserve"> </w:t>
      </w:r>
      <w:r w:rsidR="00313F21">
        <w:t xml:space="preserve">to satisfy the current RPS Compliance Year </w:t>
      </w:r>
      <w:r w:rsidR="00593D5D" w:rsidRPr="008803C5">
        <w:t>or carried forward</w:t>
      </w:r>
      <w:r w:rsidR="00593D5D">
        <w:t xml:space="preserve"> </w:t>
      </w:r>
      <w:r w:rsidR="00313F21">
        <w:t xml:space="preserve">for use in a future </w:t>
      </w:r>
      <w:r w:rsidR="00593D5D">
        <w:t xml:space="preserve">RPS </w:t>
      </w:r>
      <w:r w:rsidR="002C406C">
        <w:t>period</w:t>
      </w:r>
      <w:r w:rsidR="00815000">
        <w:t>, up to t</w:t>
      </w:r>
      <w:r w:rsidR="00B5117E">
        <w:t>wo</w:t>
      </w:r>
      <w:r w:rsidR="00815000">
        <w:t xml:space="preserve"> years</w:t>
      </w:r>
      <w:r w:rsidR="00593D5D">
        <w:t>.</w:t>
      </w:r>
    </w:p>
    <w:p w14:paraId="48B15856" w14:textId="77777777" w:rsidR="00FC26A6" w:rsidRDefault="00FC26A6" w:rsidP="00593D5D">
      <w:pPr>
        <w:spacing w:line="259" w:lineRule="auto"/>
        <w:jc w:val="both"/>
      </w:pPr>
    </w:p>
    <w:p w14:paraId="5696C710" w14:textId="13F372BE" w:rsidR="00FC26A6" w:rsidRPr="008803C5" w:rsidRDefault="00FC26A6" w:rsidP="00593D5D">
      <w:pPr>
        <w:spacing w:line="259" w:lineRule="auto"/>
        <w:jc w:val="both"/>
      </w:pPr>
      <w:r>
        <w:t>The following forms are available through the PURA website.</w:t>
      </w:r>
    </w:p>
    <w:p w14:paraId="381DB36C" w14:textId="77777777" w:rsidR="008803C5" w:rsidRDefault="008803C5" w:rsidP="008803C5">
      <w:pPr>
        <w:spacing w:line="259" w:lineRule="auto"/>
        <w:jc w:val="both"/>
      </w:pPr>
    </w:p>
    <w:p w14:paraId="5F80C9FA" w14:textId="5897B0CF" w:rsidR="008803C5" w:rsidRPr="008803C5" w:rsidRDefault="008803C5" w:rsidP="008803C5">
      <w:pPr>
        <w:numPr>
          <w:ilvl w:val="0"/>
          <w:numId w:val="8"/>
        </w:numPr>
        <w:spacing w:after="160" w:line="259" w:lineRule="auto"/>
        <w:contextualSpacing/>
      </w:pPr>
      <w:r w:rsidRPr="008803C5">
        <w:t>Exhibit A (Annual Connecticut RPS Filing)</w:t>
      </w:r>
      <w:r w:rsidR="00DD1619">
        <w:t xml:space="preserve"> with RPS security affidavit</w:t>
      </w:r>
      <w:r w:rsidRPr="008803C5">
        <w:t>;</w:t>
      </w:r>
    </w:p>
    <w:p w14:paraId="6AD177AD" w14:textId="77777777" w:rsidR="008803C5" w:rsidRPr="008803C5" w:rsidRDefault="008803C5" w:rsidP="008803C5">
      <w:pPr>
        <w:numPr>
          <w:ilvl w:val="0"/>
          <w:numId w:val="8"/>
        </w:numPr>
        <w:spacing w:after="160" w:line="259" w:lineRule="auto"/>
        <w:contextualSpacing/>
      </w:pPr>
      <w:r w:rsidRPr="008803C5">
        <w:t>Exhibit B (Class I and II RECs by Generator Location);</w:t>
      </w:r>
    </w:p>
    <w:p w14:paraId="00E90B5B" w14:textId="77777777" w:rsidR="008803C5" w:rsidRPr="008803C5" w:rsidRDefault="008803C5" w:rsidP="008803C5">
      <w:pPr>
        <w:numPr>
          <w:ilvl w:val="0"/>
          <w:numId w:val="8"/>
        </w:numPr>
        <w:spacing w:after="160" w:line="259" w:lineRule="auto"/>
        <w:contextualSpacing/>
      </w:pPr>
      <w:r w:rsidRPr="008803C5">
        <w:t>Exhibit C (Class I, II and III Fuel Sources);</w:t>
      </w:r>
    </w:p>
    <w:p w14:paraId="07655DEE" w14:textId="77777777" w:rsidR="008803C5" w:rsidRPr="008803C5" w:rsidRDefault="008803C5" w:rsidP="008803C5">
      <w:pPr>
        <w:numPr>
          <w:ilvl w:val="0"/>
          <w:numId w:val="8"/>
        </w:numPr>
        <w:spacing w:after="160" w:line="259" w:lineRule="auto"/>
        <w:contextualSpacing/>
      </w:pPr>
      <w:r w:rsidRPr="008803C5">
        <w:t>Exhibit D (Voluntary Green Offerings);</w:t>
      </w:r>
    </w:p>
    <w:p w14:paraId="56D12BF5" w14:textId="77777777" w:rsidR="008803C5" w:rsidRPr="008803C5" w:rsidRDefault="008803C5" w:rsidP="008803C5">
      <w:pPr>
        <w:numPr>
          <w:ilvl w:val="0"/>
          <w:numId w:val="8"/>
        </w:numPr>
        <w:spacing w:after="160" w:line="259" w:lineRule="auto"/>
        <w:contextualSpacing/>
      </w:pPr>
      <w:r w:rsidRPr="008803C5">
        <w:t>Supporting GIS documentation (printouts of “My Settled Certificates Disposition” Quarterly Reports); and</w:t>
      </w:r>
    </w:p>
    <w:p w14:paraId="319039B2" w14:textId="6638DE7B" w:rsidR="008803C5" w:rsidRDefault="007C72A5" w:rsidP="008803C5">
      <w:pPr>
        <w:numPr>
          <w:ilvl w:val="0"/>
          <w:numId w:val="8"/>
        </w:numPr>
        <w:spacing w:after="160" w:line="259" w:lineRule="auto"/>
        <w:contextualSpacing/>
      </w:pPr>
      <w:r>
        <w:t>C</w:t>
      </w:r>
      <w:r w:rsidR="008803C5" w:rsidRPr="008803C5">
        <w:t xml:space="preserve">ontact </w:t>
      </w:r>
      <w:r w:rsidR="00FC495A">
        <w:t xml:space="preserve">information </w:t>
      </w:r>
      <w:r w:rsidR="00DD1619">
        <w:t>for RPS compliance</w:t>
      </w:r>
    </w:p>
    <w:p w14:paraId="2EBC145D" w14:textId="0BB6D0A0" w:rsidR="00DD1619" w:rsidRDefault="00DD1619" w:rsidP="008803C5">
      <w:pPr>
        <w:numPr>
          <w:ilvl w:val="0"/>
          <w:numId w:val="8"/>
        </w:numPr>
        <w:spacing w:after="160" w:line="259" w:lineRule="auto"/>
        <w:contextualSpacing/>
      </w:pPr>
      <w:r>
        <w:t xml:space="preserve">Electronic copy of RPS security and hard copy submitted to the Executive Secretary if necessary. </w:t>
      </w:r>
    </w:p>
    <w:p w14:paraId="0502422D" w14:textId="77777777" w:rsidR="004F5588" w:rsidRPr="008803C5" w:rsidRDefault="004F5588" w:rsidP="004F5588">
      <w:pPr>
        <w:spacing w:after="160" w:line="259" w:lineRule="auto"/>
        <w:ind w:left="360"/>
        <w:contextualSpacing/>
      </w:pPr>
    </w:p>
    <w:p w14:paraId="42B16A06" w14:textId="4C9D9434" w:rsidR="008803C5" w:rsidRDefault="008803C5" w:rsidP="008803C5">
      <w:pPr>
        <w:spacing w:after="160" w:line="259" w:lineRule="auto"/>
        <w:jc w:val="both"/>
      </w:pPr>
      <w:r w:rsidRPr="008803C5">
        <w:t xml:space="preserve">The Authority considers Exhibit A to be the governing document.  The Authority’s determination regarding each LSE’s RPS compliance, amount of </w:t>
      </w:r>
      <w:r w:rsidR="00BB58B2">
        <w:t>A</w:t>
      </w:r>
      <w:r w:rsidRPr="008803C5">
        <w:t>CP</w:t>
      </w:r>
      <w:r w:rsidR="004F5588">
        <w:t xml:space="preserve"> </w:t>
      </w:r>
      <w:r w:rsidRPr="008803C5">
        <w:t xml:space="preserve">and the quantities of banked RECs used or carried forward will be based exclusively on the information contained in </w:t>
      </w:r>
      <w:r w:rsidR="00F563AD">
        <w:t>the</w:t>
      </w:r>
      <w:r w:rsidRPr="008803C5">
        <w:t xml:space="preserve"> LSE’s </w:t>
      </w:r>
      <w:r w:rsidR="004F5588">
        <w:t>Exhibit A.</w:t>
      </w:r>
    </w:p>
    <w:p w14:paraId="544B794A" w14:textId="0EB21E3B" w:rsidR="009934A8" w:rsidRDefault="009934A8" w:rsidP="008803C5">
      <w:pPr>
        <w:spacing w:after="160" w:line="259" w:lineRule="auto"/>
        <w:jc w:val="both"/>
      </w:pPr>
    </w:p>
    <w:p w14:paraId="623E76E7" w14:textId="77777777" w:rsidR="009934A8" w:rsidRPr="008803C5" w:rsidRDefault="009934A8" w:rsidP="008803C5">
      <w:pPr>
        <w:spacing w:after="160" w:line="259" w:lineRule="auto"/>
        <w:jc w:val="both"/>
      </w:pPr>
    </w:p>
    <w:p w14:paraId="3284FD1A" w14:textId="77777777" w:rsidR="00DD1619" w:rsidRDefault="00DD1619">
      <w:pPr>
        <w:rPr>
          <w:rFonts w:asciiTheme="majorHAnsi" w:eastAsiaTheme="majorEastAsia" w:hAnsiTheme="majorHAnsi" w:cstheme="majorBidi"/>
          <w:color w:val="2E74B5" w:themeColor="accent1" w:themeShade="BF"/>
          <w:sz w:val="26"/>
          <w:szCs w:val="26"/>
        </w:rPr>
      </w:pPr>
      <w:r>
        <w:br w:type="page"/>
      </w:r>
    </w:p>
    <w:p w14:paraId="756EFC25" w14:textId="7B70D414" w:rsidR="008803C5" w:rsidRPr="00A41692" w:rsidRDefault="00C51FC1" w:rsidP="00A41692">
      <w:pPr>
        <w:pStyle w:val="Heading2"/>
      </w:pPr>
      <w:bookmarkStart w:id="10" w:name="_Toc131170509"/>
      <w:r>
        <w:lastRenderedPageBreak/>
        <w:t xml:space="preserve">Retail </w:t>
      </w:r>
      <w:r w:rsidR="008803C5" w:rsidRPr="00A41692">
        <w:t>Load Data</w:t>
      </w:r>
      <w:bookmarkEnd w:id="10"/>
    </w:p>
    <w:p w14:paraId="3DCC0390" w14:textId="77777777" w:rsidR="008803C5" w:rsidRPr="008803C5" w:rsidRDefault="008803C5" w:rsidP="008803C5">
      <w:pPr>
        <w:spacing w:line="259" w:lineRule="auto"/>
        <w:jc w:val="both"/>
      </w:pPr>
    </w:p>
    <w:p w14:paraId="55296E7E" w14:textId="793217EA" w:rsidR="001E0D84" w:rsidRDefault="007B3CA0" w:rsidP="001E0D84">
      <w:pPr>
        <w:spacing w:line="259" w:lineRule="auto"/>
        <w:jc w:val="both"/>
      </w:pPr>
      <w:r>
        <w:t>The</w:t>
      </w:r>
      <w:r w:rsidR="008803C5" w:rsidRPr="008803C5">
        <w:t xml:space="preserve"> </w:t>
      </w:r>
      <w:r w:rsidR="00003071">
        <w:t xml:space="preserve">annual retail load </w:t>
      </w:r>
      <w:r w:rsidR="008803C5" w:rsidRPr="008803C5">
        <w:t xml:space="preserve">is </w:t>
      </w:r>
      <w:r w:rsidR="00D1479C">
        <w:t xml:space="preserve">each </w:t>
      </w:r>
      <w:r w:rsidR="0073416F">
        <w:t xml:space="preserve">LSE’s </w:t>
      </w:r>
      <w:r w:rsidR="008803C5" w:rsidRPr="008803C5">
        <w:t xml:space="preserve">Final Settlement Load Obligation </w:t>
      </w:r>
      <w:r w:rsidR="00D1479C">
        <w:t>as reported by the EDCs</w:t>
      </w:r>
      <w:r w:rsidR="00D1479C" w:rsidRPr="00731959">
        <w:t>.</w:t>
      </w:r>
      <w:r w:rsidR="00E535C9">
        <w:t xml:space="preserve">  </w:t>
      </w:r>
      <w:r w:rsidR="00E535C9" w:rsidRPr="00B412B6">
        <w:t>The load data is obtained from the electric distribution companies (EDCs), which suppliers should receive on a monthly basis.  A supplier’s REC obligation in each renewable Class is calculated based on the supplier’s Final Settlement Load as reported by the EDCs.</w:t>
      </w:r>
    </w:p>
    <w:p w14:paraId="101D0AD3" w14:textId="77777777" w:rsidR="001E0D84" w:rsidRDefault="001E0D84" w:rsidP="001E0D84">
      <w:pPr>
        <w:spacing w:line="259" w:lineRule="auto"/>
        <w:jc w:val="both"/>
      </w:pPr>
    </w:p>
    <w:p w14:paraId="4F6A1F92" w14:textId="31428A24" w:rsidR="001E0D84" w:rsidRPr="00661F36" w:rsidRDefault="001E0D84" w:rsidP="001E0D84">
      <w:pPr>
        <w:spacing w:line="259" w:lineRule="auto"/>
        <w:jc w:val="both"/>
      </w:pPr>
      <w:r w:rsidRPr="00661F36">
        <w:t xml:space="preserve">The EDCs are required to submit a listing of the summary load data by September 15th </w:t>
      </w:r>
      <w:r w:rsidR="008C1079">
        <w:t xml:space="preserve">(one month prior to the RPS compliance filing) </w:t>
      </w:r>
      <w:r w:rsidRPr="00661F36">
        <w:t xml:space="preserve">in the RPS Compliance dockets for PURA’s verification of the supplier’s REC obligations.  Once the EDC load data is filed in the RPS Compliance docket, suppliers </w:t>
      </w:r>
      <w:r w:rsidR="00DD1619">
        <w:t>must</w:t>
      </w:r>
      <w:r w:rsidRPr="00661F36">
        <w:t xml:space="preserve"> review the posting </w:t>
      </w:r>
      <w:r w:rsidR="00DD1619">
        <w:t>and</w:t>
      </w:r>
      <w:r w:rsidRPr="00661F36">
        <w:t xml:space="preserve"> verify they are using the correct load in their filing. </w:t>
      </w:r>
    </w:p>
    <w:p w14:paraId="63B363D9" w14:textId="77777777" w:rsidR="00EB104C" w:rsidRDefault="00EB104C" w:rsidP="008803C5">
      <w:pPr>
        <w:spacing w:line="259" w:lineRule="auto"/>
        <w:jc w:val="both"/>
      </w:pPr>
    </w:p>
    <w:p w14:paraId="2EE63E1C" w14:textId="75E5CF6D" w:rsidR="00731959" w:rsidRPr="00731959" w:rsidRDefault="00A94EE4" w:rsidP="008803C5">
      <w:pPr>
        <w:spacing w:line="259" w:lineRule="auto"/>
        <w:jc w:val="both"/>
      </w:pPr>
      <w:r w:rsidRPr="00A94EE4">
        <w:t>If a supplier did not serve load during the RPS compliance period</w:t>
      </w:r>
      <w:r>
        <w:t xml:space="preserve"> it should submit a letter under the RPS compliance period docket stating that it did not serve load d</w:t>
      </w:r>
      <w:r w:rsidR="00DD1619">
        <w:t xml:space="preserve">uring the applicable RPS period and should submit Exhibit A, the RPS security affidavit, and the appropriate RPS security. </w:t>
      </w:r>
    </w:p>
    <w:p w14:paraId="35EEE78A" w14:textId="5729FA7E" w:rsidR="00B412B6" w:rsidRDefault="00B412B6" w:rsidP="008803C5">
      <w:pPr>
        <w:spacing w:line="259" w:lineRule="auto"/>
        <w:jc w:val="both"/>
        <w:rPr>
          <w:b/>
        </w:rPr>
      </w:pPr>
    </w:p>
    <w:p w14:paraId="31040D60" w14:textId="38DA2743" w:rsidR="008803C5" w:rsidRPr="00A41692" w:rsidRDefault="005B3839" w:rsidP="00A41692">
      <w:pPr>
        <w:pStyle w:val="Heading2"/>
      </w:pPr>
      <w:bookmarkStart w:id="11" w:name="_Toc131170510"/>
      <w:r>
        <w:t xml:space="preserve">REC </w:t>
      </w:r>
      <w:r w:rsidR="008803C5" w:rsidRPr="00A41692">
        <w:t>Verification</w:t>
      </w:r>
      <w:bookmarkEnd w:id="11"/>
    </w:p>
    <w:p w14:paraId="0381D8CC" w14:textId="77777777" w:rsidR="008803C5" w:rsidRPr="008803C5" w:rsidRDefault="008803C5" w:rsidP="008803C5">
      <w:pPr>
        <w:spacing w:line="259" w:lineRule="auto"/>
        <w:jc w:val="both"/>
      </w:pPr>
    </w:p>
    <w:p w14:paraId="529BBAF5" w14:textId="1665C2AA" w:rsidR="008803C5" w:rsidRDefault="00E124C6" w:rsidP="008803C5">
      <w:pPr>
        <w:spacing w:line="259" w:lineRule="auto"/>
        <w:jc w:val="both"/>
      </w:pPr>
      <w:r w:rsidRPr="008803C5">
        <w:t xml:space="preserve">The NEPOOL GIS website </w:t>
      </w:r>
      <w:r w:rsidR="00B36E5C">
        <w:t xml:space="preserve">allows </w:t>
      </w:r>
      <w:r>
        <w:t>state regulators</w:t>
      </w:r>
      <w:r w:rsidR="00A231F6">
        <w:t xml:space="preserve"> </w:t>
      </w:r>
      <w:r w:rsidR="00B36E5C">
        <w:t xml:space="preserve">access </w:t>
      </w:r>
      <w:r w:rsidR="00653A69">
        <w:t xml:space="preserve">to </w:t>
      </w:r>
      <w:r w:rsidR="00A231F6" w:rsidRPr="004B771C">
        <w:t>quarterly</w:t>
      </w:r>
      <w:r w:rsidR="00B36E5C">
        <w:t xml:space="preserve"> </w:t>
      </w:r>
      <w:r w:rsidR="00A231F6">
        <w:t>report</w:t>
      </w:r>
      <w:r w:rsidR="00B36E5C">
        <w:t>s</w:t>
      </w:r>
      <w:r w:rsidR="00A231F6">
        <w:t xml:space="preserve">, data regarding each LSE’s quarterly </w:t>
      </w:r>
      <w:r w:rsidR="00A231F6" w:rsidRPr="00282912">
        <w:t>settled</w:t>
      </w:r>
      <w:r w:rsidR="00A231F6">
        <w:t xml:space="preserve"> </w:t>
      </w:r>
      <w:proofErr w:type="spellStart"/>
      <w:r w:rsidR="00A231F6">
        <w:t>RECs.</w:t>
      </w:r>
      <w:proofErr w:type="spellEnd"/>
      <w:r w:rsidR="00A231F6">
        <w:t xml:space="preserve">  </w:t>
      </w:r>
      <w:r w:rsidR="00702528">
        <w:t xml:space="preserve">The Authority </w:t>
      </w:r>
      <w:r w:rsidR="00DD1619">
        <w:t>may use</w:t>
      </w:r>
      <w:r w:rsidR="00702528">
        <w:t xml:space="preserve"> this data in i</w:t>
      </w:r>
      <w:r w:rsidR="00DD1619">
        <w:t xml:space="preserve">t RPS Compliance Review process to verify the data provided by LSEs. </w:t>
      </w:r>
    </w:p>
    <w:p w14:paraId="6FD9CCB0" w14:textId="77777777" w:rsidR="00702528" w:rsidRDefault="00702528" w:rsidP="008803C5">
      <w:pPr>
        <w:spacing w:line="259" w:lineRule="auto"/>
        <w:jc w:val="both"/>
      </w:pPr>
    </w:p>
    <w:p w14:paraId="5E6B55C4" w14:textId="14278F71" w:rsidR="00E124C6" w:rsidRDefault="00E124C6" w:rsidP="00E124C6">
      <w:pPr>
        <w:pStyle w:val="Heading2"/>
      </w:pPr>
      <w:bookmarkStart w:id="12" w:name="_Toc131170511"/>
      <w:r>
        <w:t>Banking RECs</w:t>
      </w:r>
      <w:r w:rsidR="00416D2D">
        <w:t xml:space="preserve"> – Carry Forward</w:t>
      </w:r>
      <w:bookmarkEnd w:id="12"/>
    </w:p>
    <w:p w14:paraId="56C623DB" w14:textId="77777777" w:rsidR="00E124C6" w:rsidRPr="008803C5" w:rsidRDefault="00E124C6" w:rsidP="008803C5">
      <w:pPr>
        <w:spacing w:line="259" w:lineRule="auto"/>
        <w:jc w:val="both"/>
      </w:pPr>
    </w:p>
    <w:p w14:paraId="16211027" w14:textId="29F71957" w:rsidR="00AA2933" w:rsidRDefault="00E124C6" w:rsidP="008803C5">
      <w:pPr>
        <w:spacing w:line="259" w:lineRule="auto"/>
        <w:jc w:val="both"/>
      </w:pPr>
      <w:r>
        <w:t xml:space="preserve">An </w:t>
      </w:r>
      <w:r w:rsidRPr="008803C5">
        <w:t xml:space="preserve">LSE is allowed to bank excess </w:t>
      </w:r>
      <w:r w:rsidRPr="00282912">
        <w:t>settled</w:t>
      </w:r>
      <w:r>
        <w:t xml:space="preserve"> </w:t>
      </w:r>
      <w:r w:rsidRPr="008803C5">
        <w:t xml:space="preserve">RECs for up </w:t>
      </w:r>
      <w:r w:rsidRPr="00E124C6">
        <w:t>to two years</w:t>
      </w:r>
      <w:r w:rsidR="001024FC">
        <w:t xml:space="preserve"> after the REC is settled</w:t>
      </w:r>
      <w:r>
        <w:t>.  B</w:t>
      </w:r>
      <w:r w:rsidRPr="008803C5">
        <w:t xml:space="preserve">anked RECs </w:t>
      </w:r>
      <w:r>
        <w:t>cannot exceed 30% o</w:t>
      </w:r>
      <w:r w:rsidRPr="008803C5">
        <w:t xml:space="preserve">f the LSE’s REC </w:t>
      </w:r>
      <w:r w:rsidRPr="00E124C6">
        <w:t xml:space="preserve">obligation </w:t>
      </w:r>
      <w:r>
        <w:t xml:space="preserve">in each </w:t>
      </w:r>
      <w:r w:rsidR="007F7C98">
        <w:t xml:space="preserve">RPS </w:t>
      </w:r>
      <w:r>
        <w:t xml:space="preserve">Class. </w:t>
      </w:r>
      <w:r w:rsidR="00416D2D">
        <w:t xml:space="preserve"> </w:t>
      </w:r>
      <w:r w:rsidR="003F63C0">
        <w:t>See</w:t>
      </w:r>
      <w:r>
        <w:t xml:space="preserve"> </w:t>
      </w:r>
      <w:r w:rsidR="008803C5" w:rsidRPr="008803C5">
        <w:t>Co</w:t>
      </w:r>
      <w:r>
        <w:t xml:space="preserve">nn. Agencies </w:t>
      </w:r>
      <w:proofErr w:type="spellStart"/>
      <w:r>
        <w:t>Regs</w:t>
      </w:r>
      <w:proofErr w:type="spellEnd"/>
      <w:r>
        <w:t>. 16-245a-1(e).</w:t>
      </w:r>
    </w:p>
    <w:p w14:paraId="49CD0237" w14:textId="77777777" w:rsidR="00AA2933" w:rsidRPr="008803C5" w:rsidRDefault="00AA2933" w:rsidP="00AA2933">
      <w:pPr>
        <w:pStyle w:val="Heading1"/>
      </w:pPr>
      <w:bookmarkStart w:id="13" w:name="_Toc131170512"/>
      <w:r w:rsidRPr="008803C5">
        <w:t>Alternative Compliance Payment (ACP)</w:t>
      </w:r>
      <w:bookmarkEnd w:id="13"/>
    </w:p>
    <w:p w14:paraId="58DAC48E" w14:textId="77777777" w:rsidR="00AA2933" w:rsidRPr="008803C5" w:rsidRDefault="00AA2933" w:rsidP="00AA2933">
      <w:pPr>
        <w:spacing w:line="259" w:lineRule="auto"/>
        <w:jc w:val="both"/>
      </w:pPr>
    </w:p>
    <w:p w14:paraId="5BB36DDA" w14:textId="7CA28670" w:rsidR="00AA2933" w:rsidRDefault="00AA2933" w:rsidP="00AA2933">
      <w:pPr>
        <w:spacing w:line="259" w:lineRule="auto"/>
        <w:jc w:val="both"/>
      </w:pPr>
      <w:r>
        <w:t xml:space="preserve">An LSE </w:t>
      </w:r>
      <w:r w:rsidRPr="008803C5">
        <w:t xml:space="preserve">that fails to </w:t>
      </w:r>
      <w:r>
        <w:t xml:space="preserve">comply with the annual RPS shall be subject to an Alternative Compliance Payment (ACP).  The ACP varies based on the type of REC and is assessed based on the number of deficient Class I, II or III </w:t>
      </w:r>
      <w:proofErr w:type="spellStart"/>
      <w:r>
        <w:t>RECs.</w:t>
      </w:r>
      <w:proofErr w:type="spellEnd"/>
      <w:r w:rsidRPr="00F5260A">
        <w:t xml:space="preserve"> </w:t>
      </w:r>
      <w:r>
        <w:t xml:space="preserve"> Refer to </w:t>
      </w:r>
      <w:r w:rsidRPr="008803C5">
        <w:t>C</w:t>
      </w:r>
      <w:r>
        <w:t>onn. Gen. Stat. § </w:t>
      </w:r>
      <w:r w:rsidRPr="008803C5">
        <w:t>16</w:t>
      </w:r>
      <w:r>
        <w:noBreakHyphen/>
      </w:r>
      <w:proofErr w:type="gramStart"/>
      <w:r w:rsidRPr="008803C5">
        <w:t>245(</w:t>
      </w:r>
      <w:proofErr w:type="gramEnd"/>
      <w:r w:rsidRPr="008803C5">
        <w:t>k)</w:t>
      </w:r>
      <w:r>
        <w:t xml:space="preserve">.  The supplier does not pay the owed ACP at the time of filing its RPS compliance.  The Authority will indicate in its RPS decision which suppliers owe </w:t>
      </w:r>
      <w:r w:rsidR="001C62E0">
        <w:t xml:space="preserve">an </w:t>
      </w:r>
      <w:r>
        <w:t xml:space="preserve">ACP and instructions for wiring will be supplied. </w:t>
      </w:r>
    </w:p>
    <w:p w14:paraId="0D8A1E1D" w14:textId="77777777" w:rsidR="00AA2933" w:rsidRDefault="00AA2933" w:rsidP="00AA2933">
      <w:pPr>
        <w:spacing w:line="259" w:lineRule="auto"/>
        <w:jc w:val="both"/>
      </w:pPr>
    </w:p>
    <w:p w14:paraId="06B1F0D1" w14:textId="08CD6375" w:rsidR="00AA2933" w:rsidRPr="00F92585" w:rsidRDefault="00622A66" w:rsidP="00AA2933">
      <w:pPr>
        <w:spacing w:line="259" w:lineRule="auto"/>
        <w:jc w:val="both"/>
      </w:pPr>
      <w:r>
        <w:t xml:space="preserve">For </w:t>
      </w:r>
      <w:r w:rsidR="00AA2933">
        <w:t xml:space="preserve">current ACP, </w:t>
      </w:r>
      <w:r>
        <w:t>see</w:t>
      </w:r>
      <w:r w:rsidR="00AA2933" w:rsidRPr="00F92585">
        <w:t xml:space="preserve"> </w:t>
      </w:r>
      <w:r w:rsidR="00AA2933">
        <w:t>Conn. Gen. Stat.</w:t>
      </w:r>
      <w:r w:rsidR="00AA2933" w:rsidRPr="00F92585">
        <w:t xml:space="preserve"> § 16-</w:t>
      </w:r>
      <w:proofErr w:type="gramStart"/>
      <w:r w:rsidR="00AA2933" w:rsidRPr="00F92585">
        <w:t>24</w:t>
      </w:r>
      <w:r w:rsidR="00AA2933">
        <w:t>4c(</w:t>
      </w:r>
      <w:proofErr w:type="gramEnd"/>
      <w:r w:rsidR="00AA2933">
        <w:t xml:space="preserve">h).  </w:t>
      </w:r>
    </w:p>
    <w:p w14:paraId="737030D4" w14:textId="77777777" w:rsidR="00AA2933" w:rsidRDefault="00AA2933" w:rsidP="00AA2933">
      <w:pPr>
        <w:spacing w:line="259" w:lineRule="auto"/>
        <w:jc w:val="both"/>
      </w:pPr>
    </w:p>
    <w:p w14:paraId="320E29FB" w14:textId="7DABE7C5" w:rsidR="00AA2933" w:rsidRDefault="00AA2933" w:rsidP="00AA2933">
      <w:pPr>
        <w:spacing w:line="259" w:lineRule="auto"/>
        <w:jc w:val="both"/>
      </w:pPr>
      <w:r w:rsidRPr="003F63C0">
        <w:t>Exhibit A is PURA’s annual RPS compliance form.  Exhibit A calculates the ACP as well as how payment is allocated to each EDC and, where applicable, to the Green Bank.</w:t>
      </w:r>
      <w:r w:rsidR="00157AE7">
        <w:t xml:space="preserve">  Exhibit A also includes an Affidavit and Instructions for submission. </w:t>
      </w:r>
    </w:p>
    <w:p w14:paraId="32875CB9" w14:textId="7FF41321" w:rsidR="00DD1619" w:rsidRDefault="00DD1619" w:rsidP="00AA2933">
      <w:pPr>
        <w:spacing w:line="259" w:lineRule="auto"/>
        <w:jc w:val="both"/>
      </w:pPr>
    </w:p>
    <w:p w14:paraId="6C226D12" w14:textId="3DA9567B" w:rsidR="00DD1619" w:rsidRDefault="00DD1619" w:rsidP="00DD1619">
      <w:pPr>
        <w:pStyle w:val="Heading1"/>
      </w:pPr>
      <w:bookmarkStart w:id="14" w:name="_Toc131170513"/>
      <w:r>
        <w:t>RPS Security</w:t>
      </w:r>
      <w:bookmarkEnd w:id="14"/>
    </w:p>
    <w:p w14:paraId="24677AE9" w14:textId="17BAF0B4" w:rsidR="00DD1619" w:rsidRDefault="00DD1619" w:rsidP="00DD1619"/>
    <w:p w14:paraId="79B0F6F0" w14:textId="7C7356E9" w:rsidR="00DD1619" w:rsidRDefault="00DD1619" w:rsidP="00DD1619">
      <w:r>
        <w:t xml:space="preserve">Pursuant to Conn. Agencies </w:t>
      </w:r>
      <w:proofErr w:type="spellStart"/>
      <w:r>
        <w:t>Regs</w:t>
      </w:r>
      <w:proofErr w:type="spellEnd"/>
      <w:r>
        <w:t xml:space="preserve">. </w:t>
      </w:r>
      <w:r w:rsidRPr="00F92585">
        <w:t>§</w:t>
      </w:r>
      <w:r>
        <w:t xml:space="preserve"> 16-245</w:t>
      </w:r>
      <w:r w:rsidR="002F0A13">
        <w:t>a-1</w:t>
      </w:r>
      <w:r>
        <w:t>, all suppliers must have on file with the Authority an RPS security in the amount of</w:t>
      </w:r>
      <w:r w:rsidR="00157AE7">
        <w:t xml:space="preserve"> the previous year’s full ACP.  Each supplier must submit an electronic copy of the bond with its RPS Exhibit A as well as an RPS Security Affidavit. </w:t>
      </w:r>
      <w:bookmarkStart w:id="15" w:name="_GoBack"/>
      <w:bookmarkEnd w:id="15"/>
    </w:p>
    <w:p w14:paraId="1EB58210" w14:textId="47818EFE" w:rsidR="00DD1619" w:rsidRDefault="00DD1619" w:rsidP="00DD1619"/>
    <w:p w14:paraId="50579085" w14:textId="77777777" w:rsidR="00DD1619" w:rsidRPr="00DD1619" w:rsidRDefault="00DD1619" w:rsidP="00DD1619"/>
    <w:p w14:paraId="78C9BE0B" w14:textId="7C21A395" w:rsidR="004605C8" w:rsidRDefault="00524D70" w:rsidP="000661F4">
      <w:pPr>
        <w:pStyle w:val="Heading1"/>
      </w:pPr>
      <w:bookmarkStart w:id="16" w:name="_Toc131170514"/>
      <w:r>
        <w:t>Abbreviations</w:t>
      </w:r>
      <w:r w:rsidR="004505C8">
        <w:t>, Definitions</w:t>
      </w:r>
      <w:r>
        <w:t xml:space="preserve"> </w:t>
      </w:r>
      <w:r w:rsidR="004605C8">
        <w:t>&amp; Terminology</w:t>
      </w:r>
      <w:bookmarkEnd w:id="16"/>
    </w:p>
    <w:p w14:paraId="568E0EAB" w14:textId="77777777" w:rsidR="00AB3820" w:rsidRPr="00AB3820" w:rsidRDefault="00AB3820" w:rsidP="00AB3820"/>
    <w:p w14:paraId="1A0B2245" w14:textId="0336330E" w:rsidR="004605C8" w:rsidRDefault="00524D70" w:rsidP="00E6670C">
      <w:pPr>
        <w:pStyle w:val="ListParagraph"/>
        <w:numPr>
          <w:ilvl w:val="0"/>
          <w:numId w:val="13"/>
        </w:numPr>
      </w:pPr>
      <w:r>
        <w:t xml:space="preserve">LSE - </w:t>
      </w:r>
      <w:r w:rsidR="000E7A20">
        <w:t>L</w:t>
      </w:r>
      <w:r w:rsidRPr="008803C5">
        <w:t>oad serving entit</w:t>
      </w:r>
      <w:r w:rsidR="000E7A20">
        <w:t>y</w:t>
      </w:r>
      <w:r w:rsidR="00D1479C">
        <w:t xml:space="preserve"> – licensed suppliers and the EDCs</w:t>
      </w:r>
      <w:r>
        <w:t>;</w:t>
      </w:r>
    </w:p>
    <w:p w14:paraId="5BE02DFF" w14:textId="07AA9BE4" w:rsidR="00E6670C" w:rsidRPr="004605C8" w:rsidRDefault="00E6670C" w:rsidP="00E6670C">
      <w:pPr>
        <w:pStyle w:val="ListParagraph"/>
        <w:numPr>
          <w:ilvl w:val="0"/>
          <w:numId w:val="13"/>
        </w:numPr>
      </w:pPr>
      <w:r>
        <w:t>RPS – Renewable Portfolio Standard;</w:t>
      </w:r>
    </w:p>
    <w:p w14:paraId="6E8C9724" w14:textId="45E16609" w:rsidR="004605C8" w:rsidRDefault="00A87AB7" w:rsidP="00E6670C">
      <w:pPr>
        <w:pStyle w:val="ListParagraph"/>
        <w:numPr>
          <w:ilvl w:val="0"/>
          <w:numId w:val="13"/>
        </w:numPr>
      </w:pPr>
      <w:r w:rsidRPr="00A87AB7">
        <w:t xml:space="preserve">REC – Renewable </w:t>
      </w:r>
      <w:r>
        <w:t>Energy Certificate;</w:t>
      </w:r>
    </w:p>
    <w:p w14:paraId="3AB3B02A" w14:textId="36503C20" w:rsidR="0082503B" w:rsidRDefault="0082503B" w:rsidP="00E6670C">
      <w:pPr>
        <w:pStyle w:val="ListParagraph"/>
        <w:numPr>
          <w:ilvl w:val="0"/>
          <w:numId w:val="13"/>
        </w:numPr>
      </w:pPr>
      <w:r>
        <w:t>Settled REC – A REC that has been assigned to a NEPOOL GIS subaccount</w:t>
      </w:r>
      <w:r w:rsidR="009323C0">
        <w:t>;</w:t>
      </w:r>
    </w:p>
    <w:p w14:paraId="7E225B55" w14:textId="73145171" w:rsidR="00A87AB7" w:rsidRDefault="00A87AB7" w:rsidP="00E6670C">
      <w:pPr>
        <w:pStyle w:val="ListParagraph"/>
        <w:numPr>
          <w:ilvl w:val="0"/>
          <w:numId w:val="13"/>
        </w:numPr>
      </w:pPr>
      <w:r>
        <w:t>ACP – Alternative Compliance Payment;</w:t>
      </w:r>
    </w:p>
    <w:p w14:paraId="447B8DA7" w14:textId="4EDAE246" w:rsidR="00A87AB7" w:rsidRPr="00E6670C" w:rsidRDefault="00A87AB7" w:rsidP="00E6670C">
      <w:pPr>
        <w:pStyle w:val="ListParagraph"/>
        <w:numPr>
          <w:ilvl w:val="0"/>
          <w:numId w:val="13"/>
        </w:numPr>
        <w:rPr>
          <w:rFonts w:cstheme="minorHAnsi"/>
        </w:rPr>
      </w:pPr>
      <w:r>
        <w:t xml:space="preserve">Class I, II and III </w:t>
      </w:r>
      <w:r w:rsidR="00315CC1">
        <w:t xml:space="preserve">Energy Sources </w:t>
      </w:r>
      <w:r>
        <w:t xml:space="preserve">- </w:t>
      </w:r>
      <w:r w:rsidR="00315CC1">
        <w:t>P</w:t>
      </w:r>
      <w:r w:rsidR="00315CC1" w:rsidRPr="00E6670C">
        <w:rPr>
          <w:rFonts w:cstheme="minorHAnsi"/>
        </w:rPr>
        <w:t>ortfolio standards required for RPS compliance;</w:t>
      </w:r>
    </w:p>
    <w:p w14:paraId="754E1079" w14:textId="4EAA8B53" w:rsidR="00315CC1" w:rsidRDefault="00A6636D" w:rsidP="00E6670C">
      <w:pPr>
        <w:pStyle w:val="ListParagraph"/>
        <w:numPr>
          <w:ilvl w:val="0"/>
          <w:numId w:val="13"/>
        </w:numPr>
      </w:pPr>
      <w:r>
        <w:t>RPS Compliance Year – Calendar year period being reviewed for RPS compliance;</w:t>
      </w:r>
    </w:p>
    <w:p w14:paraId="2CC91156" w14:textId="0AE8F6C3" w:rsidR="006374AD" w:rsidRDefault="00DF5007" w:rsidP="00622A66">
      <w:pPr>
        <w:pStyle w:val="ListParagraph"/>
        <w:numPr>
          <w:ilvl w:val="0"/>
          <w:numId w:val="13"/>
        </w:numPr>
      </w:pPr>
      <w:r>
        <w:t>RPS Decision –PURA ruling in whi</w:t>
      </w:r>
      <w:r w:rsidR="003F63C0">
        <w:t>ch it determines RPS compliance</w:t>
      </w:r>
    </w:p>
    <w:sectPr w:rsidR="006374AD" w:rsidSect="00067A88">
      <w:footerReference w:type="default" r:id="rId9"/>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747D4" w14:textId="77777777" w:rsidR="00977056" w:rsidRDefault="00977056" w:rsidP="00CB4332">
      <w:r>
        <w:separator/>
      </w:r>
    </w:p>
  </w:endnote>
  <w:endnote w:type="continuationSeparator" w:id="0">
    <w:p w14:paraId="6F7CC637" w14:textId="77777777" w:rsidR="00977056" w:rsidRDefault="00977056" w:rsidP="00CB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604121"/>
      <w:docPartObj>
        <w:docPartGallery w:val="Page Numbers (Bottom of Page)"/>
        <w:docPartUnique/>
      </w:docPartObj>
    </w:sdtPr>
    <w:sdtEndPr>
      <w:rPr>
        <w:noProof/>
      </w:rPr>
    </w:sdtEndPr>
    <w:sdtContent>
      <w:p w14:paraId="78A0CA34" w14:textId="6C0FC718" w:rsidR="00977056" w:rsidRDefault="00977056">
        <w:pPr>
          <w:pStyle w:val="Footer"/>
          <w:jc w:val="center"/>
        </w:pPr>
        <w:r>
          <w:fldChar w:fldCharType="begin"/>
        </w:r>
        <w:r>
          <w:instrText xml:space="preserve"> PAGE   \* MERGEFORMAT </w:instrText>
        </w:r>
        <w:r>
          <w:fldChar w:fldCharType="separate"/>
        </w:r>
        <w:r w:rsidR="00157AE7">
          <w:rPr>
            <w:noProof/>
          </w:rPr>
          <w:t>10</w:t>
        </w:r>
        <w:r>
          <w:rPr>
            <w:noProof/>
          </w:rPr>
          <w:fldChar w:fldCharType="end"/>
        </w:r>
      </w:p>
    </w:sdtContent>
  </w:sdt>
  <w:p w14:paraId="4B7A1989" w14:textId="77777777" w:rsidR="00977056" w:rsidRDefault="00977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E679" w14:textId="77777777" w:rsidR="00977056" w:rsidRDefault="00977056" w:rsidP="00CB4332">
      <w:r>
        <w:separator/>
      </w:r>
    </w:p>
  </w:footnote>
  <w:footnote w:type="continuationSeparator" w:id="0">
    <w:p w14:paraId="6E0E5773" w14:textId="77777777" w:rsidR="00977056" w:rsidRDefault="00977056" w:rsidP="00CB4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5BF"/>
    <w:multiLevelType w:val="hybridMultilevel"/>
    <w:tmpl w:val="5708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E7F8C"/>
    <w:multiLevelType w:val="hybridMultilevel"/>
    <w:tmpl w:val="CEF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D2279"/>
    <w:multiLevelType w:val="hybridMultilevel"/>
    <w:tmpl w:val="5058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B262A"/>
    <w:multiLevelType w:val="hybridMultilevel"/>
    <w:tmpl w:val="C30C1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173BA"/>
    <w:multiLevelType w:val="multilevel"/>
    <w:tmpl w:val="01CC6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B0E3D"/>
    <w:multiLevelType w:val="multilevel"/>
    <w:tmpl w:val="CD141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1C84"/>
    <w:multiLevelType w:val="multilevel"/>
    <w:tmpl w:val="3370C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9253A"/>
    <w:multiLevelType w:val="hybridMultilevel"/>
    <w:tmpl w:val="0D946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20237"/>
    <w:multiLevelType w:val="hybridMultilevel"/>
    <w:tmpl w:val="06EE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4FA1"/>
    <w:multiLevelType w:val="hybridMultilevel"/>
    <w:tmpl w:val="12C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5275"/>
    <w:multiLevelType w:val="hybridMultilevel"/>
    <w:tmpl w:val="60A298A2"/>
    <w:lvl w:ilvl="0" w:tplc="3872FD8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33CE7"/>
    <w:multiLevelType w:val="multilevel"/>
    <w:tmpl w:val="5FB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919C3"/>
    <w:multiLevelType w:val="hybridMultilevel"/>
    <w:tmpl w:val="250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11"/>
  </w:num>
  <w:num w:numId="5">
    <w:abstractNumId w:val="2"/>
  </w:num>
  <w:num w:numId="6">
    <w:abstractNumId w:val="9"/>
  </w:num>
  <w:num w:numId="7">
    <w:abstractNumId w:val="10"/>
  </w:num>
  <w:num w:numId="8">
    <w:abstractNumId w:val="3"/>
  </w:num>
  <w:num w:numId="9">
    <w:abstractNumId w:val="0"/>
  </w:num>
  <w:num w:numId="10">
    <w:abstractNumId w:val="4"/>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39"/>
    <w:rsid w:val="000006E9"/>
    <w:rsid w:val="00001291"/>
    <w:rsid w:val="00003071"/>
    <w:rsid w:val="000033B7"/>
    <w:rsid w:val="00003A4C"/>
    <w:rsid w:val="0000470A"/>
    <w:rsid w:val="0001013A"/>
    <w:rsid w:val="00011997"/>
    <w:rsid w:val="00011F4F"/>
    <w:rsid w:val="000160E4"/>
    <w:rsid w:val="000177E3"/>
    <w:rsid w:val="00017805"/>
    <w:rsid w:val="000202B8"/>
    <w:rsid w:val="00022A6E"/>
    <w:rsid w:val="00023D17"/>
    <w:rsid w:val="000279F7"/>
    <w:rsid w:val="0003177F"/>
    <w:rsid w:val="000321A7"/>
    <w:rsid w:val="00032401"/>
    <w:rsid w:val="00033B56"/>
    <w:rsid w:val="00045B9A"/>
    <w:rsid w:val="00050204"/>
    <w:rsid w:val="00052063"/>
    <w:rsid w:val="000531C3"/>
    <w:rsid w:val="000659D0"/>
    <w:rsid w:val="000661F4"/>
    <w:rsid w:val="00067A88"/>
    <w:rsid w:val="00070EEC"/>
    <w:rsid w:val="00073116"/>
    <w:rsid w:val="00076B08"/>
    <w:rsid w:val="00076EA6"/>
    <w:rsid w:val="0007720A"/>
    <w:rsid w:val="00080DC6"/>
    <w:rsid w:val="000810FD"/>
    <w:rsid w:val="0008144C"/>
    <w:rsid w:val="000826CF"/>
    <w:rsid w:val="00084D51"/>
    <w:rsid w:val="00084F81"/>
    <w:rsid w:val="00087260"/>
    <w:rsid w:val="000907FE"/>
    <w:rsid w:val="000970FF"/>
    <w:rsid w:val="000971E0"/>
    <w:rsid w:val="000A045F"/>
    <w:rsid w:val="000A2EAF"/>
    <w:rsid w:val="000A3B20"/>
    <w:rsid w:val="000A5165"/>
    <w:rsid w:val="000A67B4"/>
    <w:rsid w:val="000B11A9"/>
    <w:rsid w:val="000B20C9"/>
    <w:rsid w:val="000B3744"/>
    <w:rsid w:val="000B6B30"/>
    <w:rsid w:val="000C0049"/>
    <w:rsid w:val="000C1980"/>
    <w:rsid w:val="000C65FC"/>
    <w:rsid w:val="000C744D"/>
    <w:rsid w:val="000D191E"/>
    <w:rsid w:val="000D6F16"/>
    <w:rsid w:val="000E0A72"/>
    <w:rsid w:val="000E1B95"/>
    <w:rsid w:val="000E3437"/>
    <w:rsid w:val="000E42AC"/>
    <w:rsid w:val="000E7A20"/>
    <w:rsid w:val="000F294D"/>
    <w:rsid w:val="000F797D"/>
    <w:rsid w:val="001001D5"/>
    <w:rsid w:val="00101A5D"/>
    <w:rsid w:val="001024FC"/>
    <w:rsid w:val="0010328E"/>
    <w:rsid w:val="00103C2F"/>
    <w:rsid w:val="0010418E"/>
    <w:rsid w:val="001115CB"/>
    <w:rsid w:val="00111B40"/>
    <w:rsid w:val="00112C7B"/>
    <w:rsid w:val="001139BD"/>
    <w:rsid w:val="00117F7A"/>
    <w:rsid w:val="00126B4A"/>
    <w:rsid w:val="00130802"/>
    <w:rsid w:val="00135504"/>
    <w:rsid w:val="001366D0"/>
    <w:rsid w:val="00137FDA"/>
    <w:rsid w:val="00143561"/>
    <w:rsid w:val="00147A1A"/>
    <w:rsid w:val="001514B2"/>
    <w:rsid w:val="00151980"/>
    <w:rsid w:val="00151B7C"/>
    <w:rsid w:val="00152CF4"/>
    <w:rsid w:val="00157703"/>
    <w:rsid w:val="00157AE7"/>
    <w:rsid w:val="00164D5A"/>
    <w:rsid w:val="00164FE0"/>
    <w:rsid w:val="00166C41"/>
    <w:rsid w:val="0017266A"/>
    <w:rsid w:val="00172D5C"/>
    <w:rsid w:val="00175567"/>
    <w:rsid w:val="0017571A"/>
    <w:rsid w:val="00175F38"/>
    <w:rsid w:val="00177A76"/>
    <w:rsid w:val="00177E66"/>
    <w:rsid w:val="00182764"/>
    <w:rsid w:val="00185FE0"/>
    <w:rsid w:val="001860E2"/>
    <w:rsid w:val="00186A66"/>
    <w:rsid w:val="00191AD5"/>
    <w:rsid w:val="00191D8A"/>
    <w:rsid w:val="001940A1"/>
    <w:rsid w:val="00194F6D"/>
    <w:rsid w:val="00195A22"/>
    <w:rsid w:val="0019613B"/>
    <w:rsid w:val="001A0C25"/>
    <w:rsid w:val="001A1664"/>
    <w:rsid w:val="001A52A2"/>
    <w:rsid w:val="001B02E0"/>
    <w:rsid w:val="001B2AE2"/>
    <w:rsid w:val="001B2EB5"/>
    <w:rsid w:val="001B3132"/>
    <w:rsid w:val="001B7436"/>
    <w:rsid w:val="001C2488"/>
    <w:rsid w:val="001C62E0"/>
    <w:rsid w:val="001C6DBC"/>
    <w:rsid w:val="001D0D4C"/>
    <w:rsid w:val="001D28FE"/>
    <w:rsid w:val="001D4F01"/>
    <w:rsid w:val="001D626B"/>
    <w:rsid w:val="001E0D84"/>
    <w:rsid w:val="001E62F8"/>
    <w:rsid w:val="001E6A68"/>
    <w:rsid w:val="001E7B8B"/>
    <w:rsid w:val="001F42B0"/>
    <w:rsid w:val="001F5699"/>
    <w:rsid w:val="002001A5"/>
    <w:rsid w:val="0020316B"/>
    <w:rsid w:val="00210C92"/>
    <w:rsid w:val="0021270D"/>
    <w:rsid w:val="00212D3B"/>
    <w:rsid w:val="00217210"/>
    <w:rsid w:val="002207E8"/>
    <w:rsid w:val="002241C4"/>
    <w:rsid w:val="002333F7"/>
    <w:rsid w:val="0023354A"/>
    <w:rsid w:val="00237033"/>
    <w:rsid w:val="002404A0"/>
    <w:rsid w:val="00240DF3"/>
    <w:rsid w:val="00243B34"/>
    <w:rsid w:val="00244665"/>
    <w:rsid w:val="00252390"/>
    <w:rsid w:val="00256B6E"/>
    <w:rsid w:val="00256F2A"/>
    <w:rsid w:val="00257662"/>
    <w:rsid w:val="002578E3"/>
    <w:rsid w:val="00260427"/>
    <w:rsid w:val="00261F7E"/>
    <w:rsid w:val="002636A9"/>
    <w:rsid w:val="00264044"/>
    <w:rsid w:val="00264218"/>
    <w:rsid w:val="002653D8"/>
    <w:rsid w:val="00265511"/>
    <w:rsid w:val="00267DFB"/>
    <w:rsid w:val="002725A7"/>
    <w:rsid w:val="00276499"/>
    <w:rsid w:val="00276CA5"/>
    <w:rsid w:val="00280222"/>
    <w:rsid w:val="002802F5"/>
    <w:rsid w:val="00280693"/>
    <w:rsid w:val="002818C8"/>
    <w:rsid w:val="00282912"/>
    <w:rsid w:val="00283C24"/>
    <w:rsid w:val="0028695B"/>
    <w:rsid w:val="0029229B"/>
    <w:rsid w:val="002926E4"/>
    <w:rsid w:val="00292B0A"/>
    <w:rsid w:val="00293D06"/>
    <w:rsid w:val="00293ECF"/>
    <w:rsid w:val="002A0E25"/>
    <w:rsid w:val="002A2CE8"/>
    <w:rsid w:val="002A369B"/>
    <w:rsid w:val="002A50A7"/>
    <w:rsid w:val="002A5C82"/>
    <w:rsid w:val="002A76E7"/>
    <w:rsid w:val="002B0949"/>
    <w:rsid w:val="002B7008"/>
    <w:rsid w:val="002B7770"/>
    <w:rsid w:val="002C406C"/>
    <w:rsid w:val="002C4F19"/>
    <w:rsid w:val="002C5FA6"/>
    <w:rsid w:val="002C6EBC"/>
    <w:rsid w:val="002C702C"/>
    <w:rsid w:val="002D0EBB"/>
    <w:rsid w:val="002D5C84"/>
    <w:rsid w:val="002E03E3"/>
    <w:rsid w:val="002E0BD4"/>
    <w:rsid w:val="002E138D"/>
    <w:rsid w:val="002E47BD"/>
    <w:rsid w:val="002E7521"/>
    <w:rsid w:val="002F0386"/>
    <w:rsid w:val="002F0672"/>
    <w:rsid w:val="002F0A13"/>
    <w:rsid w:val="002F25D4"/>
    <w:rsid w:val="002F3F38"/>
    <w:rsid w:val="002F40D8"/>
    <w:rsid w:val="002F41BE"/>
    <w:rsid w:val="002F4DA8"/>
    <w:rsid w:val="00301620"/>
    <w:rsid w:val="003023F7"/>
    <w:rsid w:val="003113E5"/>
    <w:rsid w:val="00312C1B"/>
    <w:rsid w:val="00313F21"/>
    <w:rsid w:val="00314565"/>
    <w:rsid w:val="00315B01"/>
    <w:rsid w:val="00315CC1"/>
    <w:rsid w:val="00317073"/>
    <w:rsid w:val="0032246C"/>
    <w:rsid w:val="0032261B"/>
    <w:rsid w:val="00324D46"/>
    <w:rsid w:val="00324E9C"/>
    <w:rsid w:val="0032660B"/>
    <w:rsid w:val="00335192"/>
    <w:rsid w:val="00340202"/>
    <w:rsid w:val="00342649"/>
    <w:rsid w:val="0035099A"/>
    <w:rsid w:val="00350D21"/>
    <w:rsid w:val="00351EF5"/>
    <w:rsid w:val="003522C5"/>
    <w:rsid w:val="003528DB"/>
    <w:rsid w:val="003551A0"/>
    <w:rsid w:val="003557FA"/>
    <w:rsid w:val="00355F83"/>
    <w:rsid w:val="003576BE"/>
    <w:rsid w:val="00360F81"/>
    <w:rsid w:val="00361339"/>
    <w:rsid w:val="00363157"/>
    <w:rsid w:val="00364440"/>
    <w:rsid w:val="00365AE5"/>
    <w:rsid w:val="003703B0"/>
    <w:rsid w:val="00370CDB"/>
    <w:rsid w:val="00371AE1"/>
    <w:rsid w:val="003833BB"/>
    <w:rsid w:val="00383ED1"/>
    <w:rsid w:val="0038520A"/>
    <w:rsid w:val="00390104"/>
    <w:rsid w:val="00390F1D"/>
    <w:rsid w:val="003932AC"/>
    <w:rsid w:val="00393D87"/>
    <w:rsid w:val="003A4D9A"/>
    <w:rsid w:val="003A5B2F"/>
    <w:rsid w:val="003A6A31"/>
    <w:rsid w:val="003B0BE2"/>
    <w:rsid w:val="003B5655"/>
    <w:rsid w:val="003B7123"/>
    <w:rsid w:val="003B7712"/>
    <w:rsid w:val="003B7922"/>
    <w:rsid w:val="003C0F2F"/>
    <w:rsid w:val="003C15FE"/>
    <w:rsid w:val="003C56A4"/>
    <w:rsid w:val="003C7FBA"/>
    <w:rsid w:val="003D1904"/>
    <w:rsid w:val="003D2294"/>
    <w:rsid w:val="003D4445"/>
    <w:rsid w:val="003D5E47"/>
    <w:rsid w:val="003F128B"/>
    <w:rsid w:val="003F1544"/>
    <w:rsid w:val="003F5891"/>
    <w:rsid w:val="003F59F6"/>
    <w:rsid w:val="003F63C0"/>
    <w:rsid w:val="00400A5F"/>
    <w:rsid w:val="00403058"/>
    <w:rsid w:val="00404334"/>
    <w:rsid w:val="00404CB7"/>
    <w:rsid w:val="00404FAA"/>
    <w:rsid w:val="00406A63"/>
    <w:rsid w:val="00411A94"/>
    <w:rsid w:val="00412654"/>
    <w:rsid w:val="004130A6"/>
    <w:rsid w:val="00416C0B"/>
    <w:rsid w:val="00416D2D"/>
    <w:rsid w:val="00424FF3"/>
    <w:rsid w:val="00430828"/>
    <w:rsid w:val="00432EB6"/>
    <w:rsid w:val="00435BA0"/>
    <w:rsid w:val="00443011"/>
    <w:rsid w:val="004505C8"/>
    <w:rsid w:val="004518D4"/>
    <w:rsid w:val="0045200F"/>
    <w:rsid w:val="00455E70"/>
    <w:rsid w:val="004605C8"/>
    <w:rsid w:val="00461558"/>
    <w:rsid w:val="004650A0"/>
    <w:rsid w:val="00466983"/>
    <w:rsid w:val="00470DC1"/>
    <w:rsid w:val="0047174A"/>
    <w:rsid w:val="00471DC3"/>
    <w:rsid w:val="00472267"/>
    <w:rsid w:val="004726CC"/>
    <w:rsid w:val="00474D3E"/>
    <w:rsid w:val="004802B7"/>
    <w:rsid w:val="0048497F"/>
    <w:rsid w:val="00491676"/>
    <w:rsid w:val="00491B8F"/>
    <w:rsid w:val="004924D9"/>
    <w:rsid w:val="00494CFC"/>
    <w:rsid w:val="004968A6"/>
    <w:rsid w:val="004A088F"/>
    <w:rsid w:val="004A0ACF"/>
    <w:rsid w:val="004A261F"/>
    <w:rsid w:val="004A46D5"/>
    <w:rsid w:val="004A49BB"/>
    <w:rsid w:val="004A5DAF"/>
    <w:rsid w:val="004A7EC8"/>
    <w:rsid w:val="004B1A63"/>
    <w:rsid w:val="004B771C"/>
    <w:rsid w:val="004B7B23"/>
    <w:rsid w:val="004C304C"/>
    <w:rsid w:val="004C7657"/>
    <w:rsid w:val="004D05DC"/>
    <w:rsid w:val="004D2949"/>
    <w:rsid w:val="004D565D"/>
    <w:rsid w:val="004E071D"/>
    <w:rsid w:val="004E20C7"/>
    <w:rsid w:val="004E3639"/>
    <w:rsid w:val="004E45E0"/>
    <w:rsid w:val="004E4E3C"/>
    <w:rsid w:val="004E6A5E"/>
    <w:rsid w:val="004E6A96"/>
    <w:rsid w:val="004F4C2A"/>
    <w:rsid w:val="004F5588"/>
    <w:rsid w:val="00500B58"/>
    <w:rsid w:val="00502C75"/>
    <w:rsid w:val="00505C2E"/>
    <w:rsid w:val="005112BF"/>
    <w:rsid w:val="0051192C"/>
    <w:rsid w:val="0051256A"/>
    <w:rsid w:val="00517D82"/>
    <w:rsid w:val="00520496"/>
    <w:rsid w:val="005219A9"/>
    <w:rsid w:val="00524007"/>
    <w:rsid w:val="00524D70"/>
    <w:rsid w:val="00531AD4"/>
    <w:rsid w:val="005323E2"/>
    <w:rsid w:val="0053339B"/>
    <w:rsid w:val="00535826"/>
    <w:rsid w:val="00542556"/>
    <w:rsid w:val="00542824"/>
    <w:rsid w:val="00544456"/>
    <w:rsid w:val="00547D4F"/>
    <w:rsid w:val="0055134A"/>
    <w:rsid w:val="00555C12"/>
    <w:rsid w:val="00565A06"/>
    <w:rsid w:val="00566193"/>
    <w:rsid w:val="005704AA"/>
    <w:rsid w:val="0057220B"/>
    <w:rsid w:val="00573912"/>
    <w:rsid w:val="00574651"/>
    <w:rsid w:val="00574826"/>
    <w:rsid w:val="005817C5"/>
    <w:rsid w:val="00592BE8"/>
    <w:rsid w:val="00592E34"/>
    <w:rsid w:val="00593D5D"/>
    <w:rsid w:val="0059466D"/>
    <w:rsid w:val="005A2CF1"/>
    <w:rsid w:val="005A2D49"/>
    <w:rsid w:val="005A4B82"/>
    <w:rsid w:val="005A5AD2"/>
    <w:rsid w:val="005A66D4"/>
    <w:rsid w:val="005B10E9"/>
    <w:rsid w:val="005B1D99"/>
    <w:rsid w:val="005B30F8"/>
    <w:rsid w:val="005B3277"/>
    <w:rsid w:val="005B3839"/>
    <w:rsid w:val="005B4F0F"/>
    <w:rsid w:val="005B5C5D"/>
    <w:rsid w:val="005C2C9C"/>
    <w:rsid w:val="005C479F"/>
    <w:rsid w:val="005C5564"/>
    <w:rsid w:val="005C6FA9"/>
    <w:rsid w:val="005D120C"/>
    <w:rsid w:val="005D182D"/>
    <w:rsid w:val="005D3A2A"/>
    <w:rsid w:val="005D4CF7"/>
    <w:rsid w:val="005D60B6"/>
    <w:rsid w:val="005D6FE5"/>
    <w:rsid w:val="005D78DC"/>
    <w:rsid w:val="005E4C2C"/>
    <w:rsid w:val="005E5F0C"/>
    <w:rsid w:val="005E663C"/>
    <w:rsid w:val="005E73BB"/>
    <w:rsid w:val="005E772F"/>
    <w:rsid w:val="005F141B"/>
    <w:rsid w:val="005F29A1"/>
    <w:rsid w:val="005F5DC5"/>
    <w:rsid w:val="005F7DD4"/>
    <w:rsid w:val="00601109"/>
    <w:rsid w:val="006015F5"/>
    <w:rsid w:val="006150D4"/>
    <w:rsid w:val="00622A66"/>
    <w:rsid w:val="0062665A"/>
    <w:rsid w:val="00632843"/>
    <w:rsid w:val="006371AC"/>
    <w:rsid w:val="006374AD"/>
    <w:rsid w:val="006400C6"/>
    <w:rsid w:val="00640E52"/>
    <w:rsid w:val="00642108"/>
    <w:rsid w:val="00644F99"/>
    <w:rsid w:val="006457FD"/>
    <w:rsid w:val="00645F34"/>
    <w:rsid w:val="00646F17"/>
    <w:rsid w:val="00651CAC"/>
    <w:rsid w:val="00652923"/>
    <w:rsid w:val="006531BE"/>
    <w:rsid w:val="006539E2"/>
    <w:rsid w:val="00653A69"/>
    <w:rsid w:val="00653B8F"/>
    <w:rsid w:val="00661045"/>
    <w:rsid w:val="00661F36"/>
    <w:rsid w:val="00667627"/>
    <w:rsid w:val="00674F15"/>
    <w:rsid w:val="00675FFD"/>
    <w:rsid w:val="00677643"/>
    <w:rsid w:val="0068197B"/>
    <w:rsid w:val="00684247"/>
    <w:rsid w:val="00684EF5"/>
    <w:rsid w:val="00694323"/>
    <w:rsid w:val="00695B05"/>
    <w:rsid w:val="00696775"/>
    <w:rsid w:val="00697A38"/>
    <w:rsid w:val="006A275C"/>
    <w:rsid w:val="006A7C4E"/>
    <w:rsid w:val="006A7D6A"/>
    <w:rsid w:val="006B4AD8"/>
    <w:rsid w:val="006B68B5"/>
    <w:rsid w:val="006C09B5"/>
    <w:rsid w:val="006C59F9"/>
    <w:rsid w:val="006C78A3"/>
    <w:rsid w:val="006D3FB6"/>
    <w:rsid w:val="006D54EF"/>
    <w:rsid w:val="006D70A1"/>
    <w:rsid w:val="006E7CF8"/>
    <w:rsid w:val="00700624"/>
    <w:rsid w:val="00702528"/>
    <w:rsid w:val="00710E96"/>
    <w:rsid w:val="00713B82"/>
    <w:rsid w:val="0071465F"/>
    <w:rsid w:val="00714883"/>
    <w:rsid w:val="007218A0"/>
    <w:rsid w:val="00722C7E"/>
    <w:rsid w:val="00723C65"/>
    <w:rsid w:val="00725E5D"/>
    <w:rsid w:val="007262B9"/>
    <w:rsid w:val="00730627"/>
    <w:rsid w:val="00731959"/>
    <w:rsid w:val="00732020"/>
    <w:rsid w:val="0073416F"/>
    <w:rsid w:val="00737A2C"/>
    <w:rsid w:val="00740D20"/>
    <w:rsid w:val="00744E90"/>
    <w:rsid w:val="00752274"/>
    <w:rsid w:val="0075280C"/>
    <w:rsid w:val="00752B30"/>
    <w:rsid w:val="0075306E"/>
    <w:rsid w:val="007542FE"/>
    <w:rsid w:val="007568EA"/>
    <w:rsid w:val="007601F2"/>
    <w:rsid w:val="00762E16"/>
    <w:rsid w:val="007676F3"/>
    <w:rsid w:val="00767F7A"/>
    <w:rsid w:val="007705C4"/>
    <w:rsid w:val="00773050"/>
    <w:rsid w:val="007734DE"/>
    <w:rsid w:val="007852F5"/>
    <w:rsid w:val="0078766B"/>
    <w:rsid w:val="007905C9"/>
    <w:rsid w:val="00793145"/>
    <w:rsid w:val="007931E4"/>
    <w:rsid w:val="0079596E"/>
    <w:rsid w:val="00797BC8"/>
    <w:rsid w:val="007A28B4"/>
    <w:rsid w:val="007A3F4D"/>
    <w:rsid w:val="007A4EA7"/>
    <w:rsid w:val="007A7BA9"/>
    <w:rsid w:val="007B3CA0"/>
    <w:rsid w:val="007C72A5"/>
    <w:rsid w:val="007C7EF8"/>
    <w:rsid w:val="007D0B66"/>
    <w:rsid w:val="007D1B46"/>
    <w:rsid w:val="007D2761"/>
    <w:rsid w:val="007D7105"/>
    <w:rsid w:val="007E0212"/>
    <w:rsid w:val="007E23F9"/>
    <w:rsid w:val="007E779C"/>
    <w:rsid w:val="007F01BD"/>
    <w:rsid w:val="007F2CBE"/>
    <w:rsid w:val="007F3DFE"/>
    <w:rsid w:val="007F5BFE"/>
    <w:rsid w:val="007F7C98"/>
    <w:rsid w:val="00800490"/>
    <w:rsid w:val="00804C7A"/>
    <w:rsid w:val="008056B9"/>
    <w:rsid w:val="00805A03"/>
    <w:rsid w:val="0081129B"/>
    <w:rsid w:val="0081175D"/>
    <w:rsid w:val="0081309E"/>
    <w:rsid w:val="00815000"/>
    <w:rsid w:val="00824E25"/>
    <w:rsid w:val="0082503B"/>
    <w:rsid w:val="008271C9"/>
    <w:rsid w:val="008313D7"/>
    <w:rsid w:val="0083195E"/>
    <w:rsid w:val="00832ECD"/>
    <w:rsid w:val="00832FA9"/>
    <w:rsid w:val="00834829"/>
    <w:rsid w:val="0083786C"/>
    <w:rsid w:val="008407A9"/>
    <w:rsid w:val="00842C8C"/>
    <w:rsid w:val="00860948"/>
    <w:rsid w:val="0086139C"/>
    <w:rsid w:val="0086232F"/>
    <w:rsid w:val="00865EA2"/>
    <w:rsid w:val="008667A0"/>
    <w:rsid w:val="0086721C"/>
    <w:rsid w:val="00870776"/>
    <w:rsid w:val="008747A4"/>
    <w:rsid w:val="00874C20"/>
    <w:rsid w:val="008771B7"/>
    <w:rsid w:val="008803C5"/>
    <w:rsid w:val="0088099C"/>
    <w:rsid w:val="00887188"/>
    <w:rsid w:val="00891A71"/>
    <w:rsid w:val="008921F9"/>
    <w:rsid w:val="008958AF"/>
    <w:rsid w:val="00895D8F"/>
    <w:rsid w:val="00897616"/>
    <w:rsid w:val="008A099F"/>
    <w:rsid w:val="008A25C6"/>
    <w:rsid w:val="008A2642"/>
    <w:rsid w:val="008A7963"/>
    <w:rsid w:val="008B1109"/>
    <w:rsid w:val="008C1079"/>
    <w:rsid w:val="008C49F1"/>
    <w:rsid w:val="008D45FF"/>
    <w:rsid w:val="008D5A48"/>
    <w:rsid w:val="008D6DF3"/>
    <w:rsid w:val="008E0061"/>
    <w:rsid w:val="008E0433"/>
    <w:rsid w:val="008E32B0"/>
    <w:rsid w:val="008E4BF9"/>
    <w:rsid w:val="008F30AD"/>
    <w:rsid w:val="008F56A0"/>
    <w:rsid w:val="008F5EDA"/>
    <w:rsid w:val="008F6B0E"/>
    <w:rsid w:val="008F7ED3"/>
    <w:rsid w:val="00903AEA"/>
    <w:rsid w:val="00903B0A"/>
    <w:rsid w:val="009056D0"/>
    <w:rsid w:val="009154DD"/>
    <w:rsid w:val="00917556"/>
    <w:rsid w:val="0091781B"/>
    <w:rsid w:val="00917DBC"/>
    <w:rsid w:val="00927A18"/>
    <w:rsid w:val="00927F09"/>
    <w:rsid w:val="00930C25"/>
    <w:rsid w:val="009323C0"/>
    <w:rsid w:val="009363DD"/>
    <w:rsid w:val="00937CF0"/>
    <w:rsid w:val="00940765"/>
    <w:rsid w:val="0094109C"/>
    <w:rsid w:val="00941D78"/>
    <w:rsid w:val="00947BA6"/>
    <w:rsid w:val="00956F35"/>
    <w:rsid w:val="00957062"/>
    <w:rsid w:val="009623D4"/>
    <w:rsid w:val="00966B2B"/>
    <w:rsid w:val="0097191E"/>
    <w:rsid w:val="00977056"/>
    <w:rsid w:val="00980323"/>
    <w:rsid w:val="00983BB3"/>
    <w:rsid w:val="009843CB"/>
    <w:rsid w:val="009911F9"/>
    <w:rsid w:val="00992EEC"/>
    <w:rsid w:val="009934A8"/>
    <w:rsid w:val="009A27D0"/>
    <w:rsid w:val="009A5498"/>
    <w:rsid w:val="009B026B"/>
    <w:rsid w:val="009B056C"/>
    <w:rsid w:val="009B0DFC"/>
    <w:rsid w:val="009B1EC8"/>
    <w:rsid w:val="009C1E05"/>
    <w:rsid w:val="009C3BD1"/>
    <w:rsid w:val="009C72D0"/>
    <w:rsid w:val="009D048B"/>
    <w:rsid w:val="009D15AD"/>
    <w:rsid w:val="009D18FA"/>
    <w:rsid w:val="009D3272"/>
    <w:rsid w:val="009D5870"/>
    <w:rsid w:val="009D61C2"/>
    <w:rsid w:val="009E0D15"/>
    <w:rsid w:val="009E1FFC"/>
    <w:rsid w:val="009E3CC2"/>
    <w:rsid w:val="009E3E92"/>
    <w:rsid w:val="009E42D4"/>
    <w:rsid w:val="009E7BCC"/>
    <w:rsid w:val="009F3629"/>
    <w:rsid w:val="009F3D6B"/>
    <w:rsid w:val="00A073C2"/>
    <w:rsid w:val="00A16869"/>
    <w:rsid w:val="00A168E1"/>
    <w:rsid w:val="00A21551"/>
    <w:rsid w:val="00A231F6"/>
    <w:rsid w:val="00A24F3F"/>
    <w:rsid w:val="00A30AD7"/>
    <w:rsid w:val="00A36D60"/>
    <w:rsid w:val="00A41692"/>
    <w:rsid w:val="00A55D3A"/>
    <w:rsid w:val="00A56093"/>
    <w:rsid w:val="00A561AF"/>
    <w:rsid w:val="00A63CAB"/>
    <w:rsid w:val="00A6636D"/>
    <w:rsid w:val="00A67958"/>
    <w:rsid w:val="00A679BF"/>
    <w:rsid w:val="00A72232"/>
    <w:rsid w:val="00A72556"/>
    <w:rsid w:val="00A748EE"/>
    <w:rsid w:val="00A87AB7"/>
    <w:rsid w:val="00A92705"/>
    <w:rsid w:val="00A94EE4"/>
    <w:rsid w:val="00AA035D"/>
    <w:rsid w:val="00AA2501"/>
    <w:rsid w:val="00AA2933"/>
    <w:rsid w:val="00AA311F"/>
    <w:rsid w:val="00AA52F0"/>
    <w:rsid w:val="00AA54F8"/>
    <w:rsid w:val="00AA6C21"/>
    <w:rsid w:val="00AA7871"/>
    <w:rsid w:val="00AB03EF"/>
    <w:rsid w:val="00AB2D9A"/>
    <w:rsid w:val="00AB3820"/>
    <w:rsid w:val="00AB4B20"/>
    <w:rsid w:val="00AB59EC"/>
    <w:rsid w:val="00AC5BB7"/>
    <w:rsid w:val="00AC6A12"/>
    <w:rsid w:val="00AE0831"/>
    <w:rsid w:val="00AE145D"/>
    <w:rsid w:val="00AE2112"/>
    <w:rsid w:val="00AE2763"/>
    <w:rsid w:val="00AE3AEF"/>
    <w:rsid w:val="00AE4177"/>
    <w:rsid w:val="00AE64F5"/>
    <w:rsid w:val="00AE7173"/>
    <w:rsid w:val="00AF04F0"/>
    <w:rsid w:val="00AF3DF5"/>
    <w:rsid w:val="00AF4C93"/>
    <w:rsid w:val="00B00E75"/>
    <w:rsid w:val="00B01A6E"/>
    <w:rsid w:val="00B0487F"/>
    <w:rsid w:val="00B05204"/>
    <w:rsid w:val="00B05545"/>
    <w:rsid w:val="00B071F3"/>
    <w:rsid w:val="00B07E4C"/>
    <w:rsid w:val="00B10E70"/>
    <w:rsid w:val="00B11E79"/>
    <w:rsid w:val="00B1590E"/>
    <w:rsid w:val="00B174C8"/>
    <w:rsid w:val="00B204B4"/>
    <w:rsid w:val="00B215BE"/>
    <w:rsid w:val="00B215D6"/>
    <w:rsid w:val="00B21C39"/>
    <w:rsid w:val="00B22D5F"/>
    <w:rsid w:val="00B2664E"/>
    <w:rsid w:val="00B301D8"/>
    <w:rsid w:val="00B36E5C"/>
    <w:rsid w:val="00B4053C"/>
    <w:rsid w:val="00B412A5"/>
    <w:rsid w:val="00B412B6"/>
    <w:rsid w:val="00B43634"/>
    <w:rsid w:val="00B438F5"/>
    <w:rsid w:val="00B43B92"/>
    <w:rsid w:val="00B45E4A"/>
    <w:rsid w:val="00B51170"/>
    <w:rsid w:val="00B5117E"/>
    <w:rsid w:val="00B6006C"/>
    <w:rsid w:val="00B6297A"/>
    <w:rsid w:val="00B74434"/>
    <w:rsid w:val="00B761E8"/>
    <w:rsid w:val="00B76E04"/>
    <w:rsid w:val="00B773F3"/>
    <w:rsid w:val="00B804F7"/>
    <w:rsid w:val="00B81394"/>
    <w:rsid w:val="00B875F2"/>
    <w:rsid w:val="00B94F00"/>
    <w:rsid w:val="00B96862"/>
    <w:rsid w:val="00B97643"/>
    <w:rsid w:val="00B97CAE"/>
    <w:rsid w:val="00B97FC6"/>
    <w:rsid w:val="00BA5F69"/>
    <w:rsid w:val="00BA6065"/>
    <w:rsid w:val="00BA6283"/>
    <w:rsid w:val="00BA69A0"/>
    <w:rsid w:val="00BB183E"/>
    <w:rsid w:val="00BB210A"/>
    <w:rsid w:val="00BB27F0"/>
    <w:rsid w:val="00BB2E06"/>
    <w:rsid w:val="00BB5764"/>
    <w:rsid w:val="00BB58B2"/>
    <w:rsid w:val="00BB5A5D"/>
    <w:rsid w:val="00BB73E3"/>
    <w:rsid w:val="00BC05D1"/>
    <w:rsid w:val="00BC0DB7"/>
    <w:rsid w:val="00BC2DB8"/>
    <w:rsid w:val="00BC32CA"/>
    <w:rsid w:val="00BC39CD"/>
    <w:rsid w:val="00BC4DF3"/>
    <w:rsid w:val="00BC551C"/>
    <w:rsid w:val="00BD295F"/>
    <w:rsid w:val="00BD2B35"/>
    <w:rsid w:val="00BD31C0"/>
    <w:rsid w:val="00BD7FDB"/>
    <w:rsid w:val="00BE4F1A"/>
    <w:rsid w:val="00BE56D2"/>
    <w:rsid w:val="00BE6118"/>
    <w:rsid w:val="00BF137A"/>
    <w:rsid w:val="00BF2BA2"/>
    <w:rsid w:val="00BF6529"/>
    <w:rsid w:val="00BF6EA6"/>
    <w:rsid w:val="00C004A9"/>
    <w:rsid w:val="00C00E10"/>
    <w:rsid w:val="00C05AD4"/>
    <w:rsid w:val="00C10479"/>
    <w:rsid w:val="00C11B85"/>
    <w:rsid w:val="00C1689C"/>
    <w:rsid w:val="00C26361"/>
    <w:rsid w:val="00C2652E"/>
    <w:rsid w:val="00C32250"/>
    <w:rsid w:val="00C351EF"/>
    <w:rsid w:val="00C37D6A"/>
    <w:rsid w:val="00C433A9"/>
    <w:rsid w:val="00C51170"/>
    <w:rsid w:val="00C51FC1"/>
    <w:rsid w:val="00C5231D"/>
    <w:rsid w:val="00C56E0A"/>
    <w:rsid w:val="00C5755A"/>
    <w:rsid w:val="00C577F2"/>
    <w:rsid w:val="00C6149B"/>
    <w:rsid w:val="00C618E8"/>
    <w:rsid w:val="00C6456C"/>
    <w:rsid w:val="00C648EC"/>
    <w:rsid w:val="00C6739A"/>
    <w:rsid w:val="00C74B01"/>
    <w:rsid w:val="00C842B2"/>
    <w:rsid w:val="00C91E8B"/>
    <w:rsid w:val="00C926B1"/>
    <w:rsid w:val="00C92F40"/>
    <w:rsid w:val="00C9624E"/>
    <w:rsid w:val="00CA25AD"/>
    <w:rsid w:val="00CA2D05"/>
    <w:rsid w:val="00CA48E1"/>
    <w:rsid w:val="00CA788C"/>
    <w:rsid w:val="00CB1BAE"/>
    <w:rsid w:val="00CB3613"/>
    <w:rsid w:val="00CB4332"/>
    <w:rsid w:val="00CB4A3D"/>
    <w:rsid w:val="00CB568C"/>
    <w:rsid w:val="00CB5931"/>
    <w:rsid w:val="00CB6D51"/>
    <w:rsid w:val="00CC13A0"/>
    <w:rsid w:val="00CC5E2D"/>
    <w:rsid w:val="00CC6B8C"/>
    <w:rsid w:val="00CD177A"/>
    <w:rsid w:val="00CD6153"/>
    <w:rsid w:val="00CE372C"/>
    <w:rsid w:val="00CE72F2"/>
    <w:rsid w:val="00CE7D06"/>
    <w:rsid w:val="00CF34BE"/>
    <w:rsid w:val="00CF4AF3"/>
    <w:rsid w:val="00CF69D5"/>
    <w:rsid w:val="00CF7713"/>
    <w:rsid w:val="00D003EB"/>
    <w:rsid w:val="00D0269E"/>
    <w:rsid w:val="00D03B90"/>
    <w:rsid w:val="00D0412F"/>
    <w:rsid w:val="00D0621A"/>
    <w:rsid w:val="00D079EA"/>
    <w:rsid w:val="00D10558"/>
    <w:rsid w:val="00D1466A"/>
    <w:rsid w:val="00D1479C"/>
    <w:rsid w:val="00D2378B"/>
    <w:rsid w:val="00D26826"/>
    <w:rsid w:val="00D30469"/>
    <w:rsid w:val="00D320E2"/>
    <w:rsid w:val="00D3457A"/>
    <w:rsid w:val="00D366D6"/>
    <w:rsid w:val="00D4061E"/>
    <w:rsid w:val="00D411BC"/>
    <w:rsid w:val="00D42A14"/>
    <w:rsid w:val="00D438BE"/>
    <w:rsid w:val="00D43BD5"/>
    <w:rsid w:val="00D4489E"/>
    <w:rsid w:val="00D46D8D"/>
    <w:rsid w:val="00D4767F"/>
    <w:rsid w:val="00D51063"/>
    <w:rsid w:val="00D55AAD"/>
    <w:rsid w:val="00D56A2C"/>
    <w:rsid w:val="00D616F2"/>
    <w:rsid w:val="00D6578C"/>
    <w:rsid w:val="00D65D41"/>
    <w:rsid w:val="00D7022B"/>
    <w:rsid w:val="00D70746"/>
    <w:rsid w:val="00D73242"/>
    <w:rsid w:val="00D75523"/>
    <w:rsid w:val="00D7566C"/>
    <w:rsid w:val="00D777A2"/>
    <w:rsid w:val="00D84FE3"/>
    <w:rsid w:val="00D9082B"/>
    <w:rsid w:val="00D95A72"/>
    <w:rsid w:val="00DA05D5"/>
    <w:rsid w:val="00DA2905"/>
    <w:rsid w:val="00DA4EB5"/>
    <w:rsid w:val="00DB071E"/>
    <w:rsid w:val="00DB2E57"/>
    <w:rsid w:val="00DB4B7A"/>
    <w:rsid w:val="00DB4F3E"/>
    <w:rsid w:val="00DC0CE9"/>
    <w:rsid w:val="00DC105D"/>
    <w:rsid w:val="00DC1DB8"/>
    <w:rsid w:val="00DC397E"/>
    <w:rsid w:val="00DC4FD0"/>
    <w:rsid w:val="00DC56AE"/>
    <w:rsid w:val="00DD0474"/>
    <w:rsid w:val="00DD1619"/>
    <w:rsid w:val="00DD28A2"/>
    <w:rsid w:val="00DE1FD8"/>
    <w:rsid w:val="00DE2684"/>
    <w:rsid w:val="00DF043C"/>
    <w:rsid w:val="00DF3E31"/>
    <w:rsid w:val="00DF5007"/>
    <w:rsid w:val="00E012ED"/>
    <w:rsid w:val="00E0285F"/>
    <w:rsid w:val="00E041B1"/>
    <w:rsid w:val="00E05F42"/>
    <w:rsid w:val="00E0740D"/>
    <w:rsid w:val="00E108B8"/>
    <w:rsid w:val="00E11387"/>
    <w:rsid w:val="00E124C6"/>
    <w:rsid w:val="00E14D14"/>
    <w:rsid w:val="00E20650"/>
    <w:rsid w:val="00E2118B"/>
    <w:rsid w:val="00E212F0"/>
    <w:rsid w:val="00E231D9"/>
    <w:rsid w:val="00E27495"/>
    <w:rsid w:val="00E40212"/>
    <w:rsid w:val="00E45B73"/>
    <w:rsid w:val="00E45C26"/>
    <w:rsid w:val="00E5208E"/>
    <w:rsid w:val="00E535C9"/>
    <w:rsid w:val="00E55B95"/>
    <w:rsid w:val="00E55D8B"/>
    <w:rsid w:val="00E61C31"/>
    <w:rsid w:val="00E62377"/>
    <w:rsid w:val="00E65939"/>
    <w:rsid w:val="00E6670C"/>
    <w:rsid w:val="00E72985"/>
    <w:rsid w:val="00E72E33"/>
    <w:rsid w:val="00E74AFB"/>
    <w:rsid w:val="00E7740F"/>
    <w:rsid w:val="00E8064C"/>
    <w:rsid w:val="00E8357E"/>
    <w:rsid w:val="00E85BD7"/>
    <w:rsid w:val="00E85C88"/>
    <w:rsid w:val="00E87C10"/>
    <w:rsid w:val="00E937F2"/>
    <w:rsid w:val="00E97B75"/>
    <w:rsid w:val="00EA0AC3"/>
    <w:rsid w:val="00EA0F54"/>
    <w:rsid w:val="00EA17FE"/>
    <w:rsid w:val="00EA3507"/>
    <w:rsid w:val="00EA3612"/>
    <w:rsid w:val="00EA5CE2"/>
    <w:rsid w:val="00EA60C7"/>
    <w:rsid w:val="00EA67D6"/>
    <w:rsid w:val="00EB104C"/>
    <w:rsid w:val="00EB2567"/>
    <w:rsid w:val="00EB43C3"/>
    <w:rsid w:val="00EB4786"/>
    <w:rsid w:val="00EB53A1"/>
    <w:rsid w:val="00EC730F"/>
    <w:rsid w:val="00ED053E"/>
    <w:rsid w:val="00ED3EE8"/>
    <w:rsid w:val="00ED4C87"/>
    <w:rsid w:val="00ED4FAD"/>
    <w:rsid w:val="00ED5C97"/>
    <w:rsid w:val="00ED7AC9"/>
    <w:rsid w:val="00EE05B0"/>
    <w:rsid w:val="00EE2279"/>
    <w:rsid w:val="00EE3D2D"/>
    <w:rsid w:val="00EE4BF1"/>
    <w:rsid w:val="00EE7E70"/>
    <w:rsid w:val="00EF528C"/>
    <w:rsid w:val="00F01E79"/>
    <w:rsid w:val="00F075BE"/>
    <w:rsid w:val="00F1088F"/>
    <w:rsid w:val="00F21479"/>
    <w:rsid w:val="00F223E8"/>
    <w:rsid w:val="00F22BFE"/>
    <w:rsid w:val="00F25E5F"/>
    <w:rsid w:val="00F26531"/>
    <w:rsid w:val="00F26E30"/>
    <w:rsid w:val="00F26FE3"/>
    <w:rsid w:val="00F27EB2"/>
    <w:rsid w:val="00F337F0"/>
    <w:rsid w:val="00F3625A"/>
    <w:rsid w:val="00F3751A"/>
    <w:rsid w:val="00F416CB"/>
    <w:rsid w:val="00F45BBB"/>
    <w:rsid w:val="00F45DA6"/>
    <w:rsid w:val="00F464E5"/>
    <w:rsid w:val="00F5260A"/>
    <w:rsid w:val="00F5495F"/>
    <w:rsid w:val="00F55CAC"/>
    <w:rsid w:val="00F562A4"/>
    <w:rsid w:val="00F563AD"/>
    <w:rsid w:val="00F56576"/>
    <w:rsid w:val="00F6751C"/>
    <w:rsid w:val="00F679A8"/>
    <w:rsid w:val="00F701D8"/>
    <w:rsid w:val="00F76475"/>
    <w:rsid w:val="00F82A84"/>
    <w:rsid w:val="00F82D1C"/>
    <w:rsid w:val="00F92585"/>
    <w:rsid w:val="00F92770"/>
    <w:rsid w:val="00F93D92"/>
    <w:rsid w:val="00F95C63"/>
    <w:rsid w:val="00FA065E"/>
    <w:rsid w:val="00FA0B1E"/>
    <w:rsid w:val="00FA2086"/>
    <w:rsid w:val="00FA2AA2"/>
    <w:rsid w:val="00FA4FF7"/>
    <w:rsid w:val="00FA7292"/>
    <w:rsid w:val="00FA7E9D"/>
    <w:rsid w:val="00FB1B6B"/>
    <w:rsid w:val="00FB70BE"/>
    <w:rsid w:val="00FB75A3"/>
    <w:rsid w:val="00FB7980"/>
    <w:rsid w:val="00FC26A6"/>
    <w:rsid w:val="00FC495A"/>
    <w:rsid w:val="00FD16F5"/>
    <w:rsid w:val="00FD470E"/>
    <w:rsid w:val="00FE1157"/>
    <w:rsid w:val="00FE29A6"/>
    <w:rsid w:val="00FE39DB"/>
    <w:rsid w:val="00FE4A20"/>
    <w:rsid w:val="00FE5DE3"/>
    <w:rsid w:val="00FE7729"/>
    <w:rsid w:val="00FE7817"/>
    <w:rsid w:val="00FF1B47"/>
    <w:rsid w:val="00FF4816"/>
    <w:rsid w:val="00FF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836F"/>
  <w15:docId w15:val="{8F3B8F74-6EF8-4B2F-937F-4C76E54D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EA2"/>
  </w:style>
  <w:style w:type="paragraph" w:styleId="Heading1">
    <w:name w:val="heading 1"/>
    <w:basedOn w:val="Normal"/>
    <w:next w:val="Normal"/>
    <w:link w:val="Heading1Char"/>
    <w:uiPriority w:val="9"/>
    <w:qFormat/>
    <w:rsid w:val="00930C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C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404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C2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30C2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D565D"/>
    <w:pPr>
      <w:ind w:left="720"/>
      <w:contextualSpacing/>
    </w:pPr>
  </w:style>
  <w:style w:type="paragraph" w:styleId="BalloonText">
    <w:name w:val="Balloon Text"/>
    <w:basedOn w:val="Normal"/>
    <w:link w:val="BalloonTextChar"/>
    <w:uiPriority w:val="99"/>
    <w:semiHidden/>
    <w:unhideWhenUsed/>
    <w:rsid w:val="00126B4A"/>
    <w:rPr>
      <w:rFonts w:ascii="Tahoma" w:hAnsi="Tahoma" w:cs="Tahoma"/>
      <w:sz w:val="16"/>
      <w:szCs w:val="16"/>
    </w:rPr>
  </w:style>
  <w:style w:type="character" w:customStyle="1" w:styleId="BalloonTextChar">
    <w:name w:val="Balloon Text Char"/>
    <w:basedOn w:val="DefaultParagraphFont"/>
    <w:link w:val="BalloonText"/>
    <w:uiPriority w:val="99"/>
    <w:semiHidden/>
    <w:rsid w:val="00126B4A"/>
    <w:rPr>
      <w:rFonts w:ascii="Tahoma" w:hAnsi="Tahoma" w:cs="Tahoma"/>
      <w:sz w:val="16"/>
      <w:szCs w:val="16"/>
    </w:rPr>
  </w:style>
  <w:style w:type="character" w:customStyle="1" w:styleId="Heading3Char">
    <w:name w:val="Heading 3 Char"/>
    <w:basedOn w:val="DefaultParagraphFont"/>
    <w:link w:val="Heading3"/>
    <w:uiPriority w:val="9"/>
    <w:rsid w:val="00264044"/>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CB4332"/>
    <w:pPr>
      <w:tabs>
        <w:tab w:val="center" w:pos="4680"/>
        <w:tab w:val="right" w:pos="9360"/>
      </w:tabs>
    </w:pPr>
  </w:style>
  <w:style w:type="character" w:customStyle="1" w:styleId="HeaderChar">
    <w:name w:val="Header Char"/>
    <w:basedOn w:val="DefaultParagraphFont"/>
    <w:link w:val="Header"/>
    <w:uiPriority w:val="99"/>
    <w:rsid w:val="00CB4332"/>
  </w:style>
  <w:style w:type="paragraph" w:styleId="Footer">
    <w:name w:val="footer"/>
    <w:basedOn w:val="Normal"/>
    <w:link w:val="FooterChar"/>
    <w:uiPriority w:val="99"/>
    <w:unhideWhenUsed/>
    <w:rsid w:val="00CB4332"/>
    <w:pPr>
      <w:tabs>
        <w:tab w:val="center" w:pos="4680"/>
        <w:tab w:val="right" w:pos="9360"/>
      </w:tabs>
    </w:pPr>
  </w:style>
  <w:style w:type="character" w:customStyle="1" w:styleId="FooterChar">
    <w:name w:val="Footer Char"/>
    <w:basedOn w:val="DefaultParagraphFont"/>
    <w:link w:val="Footer"/>
    <w:uiPriority w:val="99"/>
    <w:rsid w:val="00CB4332"/>
  </w:style>
  <w:style w:type="paragraph" w:styleId="TOCHeading">
    <w:name w:val="TOC Heading"/>
    <w:basedOn w:val="Heading1"/>
    <w:next w:val="Normal"/>
    <w:uiPriority w:val="39"/>
    <w:semiHidden/>
    <w:unhideWhenUsed/>
    <w:qFormat/>
    <w:rsid w:val="006371AC"/>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6371AC"/>
    <w:pPr>
      <w:spacing w:after="100"/>
    </w:pPr>
  </w:style>
  <w:style w:type="paragraph" w:styleId="TOC2">
    <w:name w:val="toc 2"/>
    <w:basedOn w:val="Normal"/>
    <w:next w:val="Normal"/>
    <w:autoRedefine/>
    <w:uiPriority w:val="39"/>
    <w:unhideWhenUsed/>
    <w:rsid w:val="006371AC"/>
    <w:pPr>
      <w:spacing w:after="100"/>
      <w:ind w:left="220"/>
    </w:pPr>
  </w:style>
  <w:style w:type="character" w:styleId="Hyperlink">
    <w:name w:val="Hyperlink"/>
    <w:basedOn w:val="DefaultParagraphFont"/>
    <w:uiPriority w:val="99"/>
    <w:unhideWhenUsed/>
    <w:rsid w:val="006371AC"/>
    <w:rPr>
      <w:color w:val="0563C1" w:themeColor="hyperlink"/>
      <w:u w:val="single"/>
    </w:rPr>
  </w:style>
  <w:style w:type="paragraph" w:styleId="FootnoteText">
    <w:name w:val="footnote text"/>
    <w:basedOn w:val="Normal"/>
    <w:link w:val="FootnoteTextChar"/>
    <w:uiPriority w:val="99"/>
    <w:semiHidden/>
    <w:unhideWhenUsed/>
    <w:rsid w:val="00151B7C"/>
    <w:rPr>
      <w:sz w:val="20"/>
      <w:szCs w:val="20"/>
    </w:rPr>
  </w:style>
  <w:style w:type="character" w:customStyle="1" w:styleId="FootnoteTextChar">
    <w:name w:val="Footnote Text Char"/>
    <w:basedOn w:val="DefaultParagraphFont"/>
    <w:link w:val="FootnoteText"/>
    <w:uiPriority w:val="99"/>
    <w:semiHidden/>
    <w:rsid w:val="00151B7C"/>
    <w:rPr>
      <w:sz w:val="20"/>
      <w:szCs w:val="20"/>
    </w:rPr>
  </w:style>
  <w:style w:type="character" w:styleId="FootnoteReference">
    <w:name w:val="footnote reference"/>
    <w:semiHidden/>
    <w:rsid w:val="00151B7C"/>
    <w:rPr>
      <w:rFonts w:ascii="Arial" w:hAnsi="Arial"/>
      <w:position w:val="6"/>
      <w:sz w:val="16"/>
    </w:rPr>
  </w:style>
  <w:style w:type="paragraph" w:styleId="NormalWeb">
    <w:name w:val="Normal (Web)"/>
    <w:basedOn w:val="Normal"/>
    <w:uiPriority w:val="99"/>
    <w:semiHidden/>
    <w:unhideWhenUsed/>
    <w:rsid w:val="00D9082B"/>
    <w:pPr>
      <w:spacing w:after="225" w:line="330" w:lineRule="atLeast"/>
    </w:pPr>
    <w:rPr>
      <w:rFonts w:ascii="Times New Roman" w:eastAsia="Times New Roman" w:hAnsi="Times New Roman" w:cs="Times New Roman"/>
      <w:sz w:val="21"/>
      <w:szCs w:val="21"/>
    </w:rPr>
  </w:style>
  <w:style w:type="paragraph" w:styleId="TOC3">
    <w:name w:val="toc 3"/>
    <w:basedOn w:val="Normal"/>
    <w:next w:val="Normal"/>
    <w:autoRedefine/>
    <w:uiPriority w:val="39"/>
    <w:unhideWhenUsed/>
    <w:rsid w:val="00B05204"/>
    <w:pPr>
      <w:spacing w:after="100"/>
      <w:ind w:left="440"/>
    </w:pPr>
  </w:style>
  <w:style w:type="character" w:styleId="CommentReference">
    <w:name w:val="annotation reference"/>
    <w:basedOn w:val="DefaultParagraphFont"/>
    <w:uiPriority w:val="99"/>
    <w:semiHidden/>
    <w:unhideWhenUsed/>
    <w:rsid w:val="00BF2BA2"/>
    <w:rPr>
      <w:sz w:val="16"/>
      <w:szCs w:val="16"/>
    </w:rPr>
  </w:style>
  <w:style w:type="paragraph" w:styleId="CommentText">
    <w:name w:val="annotation text"/>
    <w:basedOn w:val="Normal"/>
    <w:link w:val="CommentTextChar"/>
    <w:uiPriority w:val="99"/>
    <w:semiHidden/>
    <w:unhideWhenUsed/>
    <w:rsid w:val="00BF2BA2"/>
    <w:rPr>
      <w:sz w:val="20"/>
      <w:szCs w:val="20"/>
    </w:rPr>
  </w:style>
  <w:style w:type="character" w:customStyle="1" w:styleId="CommentTextChar">
    <w:name w:val="Comment Text Char"/>
    <w:basedOn w:val="DefaultParagraphFont"/>
    <w:link w:val="CommentText"/>
    <w:uiPriority w:val="99"/>
    <w:semiHidden/>
    <w:rsid w:val="00BF2BA2"/>
    <w:rPr>
      <w:sz w:val="20"/>
      <w:szCs w:val="20"/>
    </w:rPr>
  </w:style>
  <w:style w:type="paragraph" w:styleId="CommentSubject">
    <w:name w:val="annotation subject"/>
    <w:basedOn w:val="CommentText"/>
    <w:next w:val="CommentText"/>
    <w:link w:val="CommentSubjectChar"/>
    <w:uiPriority w:val="99"/>
    <w:semiHidden/>
    <w:unhideWhenUsed/>
    <w:rsid w:val="00BF2BA2"/>
    <w:rPr>
      <w:b/>
      <w:bCs/>
    </w:rPr>
  </w:style>
  <w:style w:type="character" w:customStyle="1" w:styleId="CommentSubjectChar">
    <w:name w:val="Comment Subject Char"/>
    <w:basedOn w:val="CommentTextChar"/>
    <w:link w:val="CommentSubject"/>
    <w:uiPriority w:val="99"/>
    <w:semiHidden/>
    <w:rsid w:val="00BF2BA2"/>
    <w:rPr>
      <w:b/>
      <w:bCs/>
      <w:sz w:val="20"/>
      <w:szCs w:val="20"/>
    </w:rPr>
  </w:style>
  <w:style w:type="character" w:styleId="FollowedHyperlink">
    <w:name w:val="FollowedHyperlink"/>
    <w:basedOn w:val="DefaultParagraphFont"/>
    <w:uiPriority w:val="99"/>
    <w:semiHidden/>
    <w:unhideWhenUsed/>
    <w:rsid w:val="00D4767F"/>
    <w:rPr>
      <w:color w:val="954F72" w:themeColor="followedHyperlink"/>
      <w:u w:val="single"/>
    </w:rPr>
  </w:style>
  <w:style w:type="paragraph" w:customStyle="1" w:styleId="xmsonormal">
    <w:name w:val="x_msonormal"/>
    <w:basedOn w:val="Normal"/>
    <w:rsid w:val="00283C2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49593">
      <w:bodyDiv w:val="1"/>
      <w:marLeft w:val="0"/>
      <w:marRight w:val="0"/>
      <w:marTop w:val="0"/>
      <w:marBottom w:val="0"/>
      <w:divBdr>
        <w:top w:val="none" w:sz="0" w:space="0" w:color="auto"/>
        <w:left w:val="none" w:sz="0" w:space="0" w:color="auto"/>
        <w:bottom w:val="none" w:sz="0" w:space="0" w:color="auto"/>
        <w:right w:val="none" w:sz="0" w:space="0" w:color="auto"/>
      </w:divBdr>
    </w:div>
    <w:div w:id="518199118">
      <w:bodyDiv w:val="1"/>
      <w:marLeft w:val="0"/>
      <w:marRight w:val="0"/>
      <w:marTop w:val="0"/>
      <w:marBottom w:val="0"/>
      <w:divBdr>
        <w:top w:val="none" w:sz="0" w:space="0" w:color="auto"/>
        <w:left w:val="none" w:sz="0" w:space="0" w:color="auto"/>
        <w:bottom w:val="none" w:sz="0" w:space="0" w:color="auto"/>
        <w:right w:val="none" w:sz="0" w:space="0" w:color="auto"/>
      </w:divBdr>
    </w:div>
    <w:div w:id="568538987">
      <w:bodyDiv w:val="1"/>
      <w:marLeft w:val="0"/>
      <w:marRight w:val="0"/>
      <w:marTop w:val="0"/>
      <w:marBottom w:val="0"/>
      <w:divBdr>
        <w:top w:val="none" w:sz="0" w:space="0" w:color="auto"/>
        <w:left w:val="none" w:sz="0" w:space="0" w:color="auto"/>
        <w:bottom w:val="none" w:sz="0" w:space="0" w:color="auto"/>
        <w:right w:val="none" w:sz="0" w:space="0" w:color="auto"/>
      </w:divBdr>
    </w:div>
    <w:div w:id="574826533">
      <w:bodyDiv w:val="1"/>
      <w:marLeft w:val="0"/>
      <w:marRight w:val="0"/>
      <w:marTop w:val="0"/>
      <w:marBottom w:val="0"/>
      <w:divBdr>
        <w:top w:val="none" w:sz="0" w:space="0" w:color="auto"/>
        <w:left w:val="none" w:sz="0" w:space="0" w:color="auto"/>
        <w:bottom w:val="none" w:sz="0" w:space="0" w:color="auto"/>
        <w:right w:val="none" w:sz="0" w:space="0" w:color="auto"/>
      </w:divBdr>
    </w:div>
    <w:div w:id="996493769">
      <w:bodyDiv w:val="1"/>
      <w:marLeft w:val="0"/>
      <w:marRight w:val="0"/>
      <w:marTop w:val="0"/>
      <w:marBottom w:val="0"/>
      <w:divBdr>
        <w:top w:val="none" w:sz="0" w:space="0" w:color="auto"/>
        <w:left w:val="none" w:sz="0" w:space="0" w:color="auto"/>
        <w:bottom w:val="none" w:sz="0" w:space="0" w:color="auto"/>
        <w:right w:val="none" w:sz="0" w:space="0" w:color="auto"/>
      </w:divBdr>
      <w:divsChild>
        <w:div w:id="1099444022">
          <w:marLeft w:val="0"/>
          <w:marRight w:val="0"/>
          <w:marTop w:val="0"/>
          <w:marBottom w:val="0"/>
          <w:divBdr>
            <w:top w:val="none" w:sz="0" w:space="0" w:color="auto"/>
            <w:left w:val="none" w:sz="0" w:space="0" w:color="auto"/>
            <w:bottom w:val="none" w:sz="0" w:space="0" w:color="auto"/>
            <w:right w:val="none" w:sz="0" w:space="0" w:color="auto"/>
          </w:divBdr>
          <w:divsChild>
            <w:div w:id="1348675582">
              <w:marLeft w:val="0"/>
              <w:marRight w:val="0"/>
              <w:marTop w:val="0"/>
              <w:marBottom w:val="0"/>
              <w:divBdr>
                <w:top w:val="none" w:sz="0" w:space="0" w:color="auto"/>
                <w:left w:val="none" w:sz="0" w:space="0" w:color="auto"/>
                <w:bottom w:val="none" w:sz="0" w:space="0" w:color="auto"/>
                <w:right w:val="none" w:sz="0" w:space="0" w:color="auto"/>
              </w:divBdr>
              <w:divsChild>
                <w:div w:id="196234027">
                  <w:marLeft w:val="0"/>
                  <w:marRight w:val="0"/>
                  <w:marTop w:val="0"/>
                  <w:marBottom w:val="0"/>
                  <w:divBdr>
                    <w:top w:val="none" w:sz="0" w:space="0" w:color="auto"/>
                    <w:left w:val="none" w:sz="0" w:space="0" w:color="auto"/>
                    <w:bottom w:val="none" w:sz="0" w:space="0" w:color="auto"/>
                    <w:right w:val="none" w:sz="0" w:space="0" w:color="auto"/>
                  </w:divBdr>
                  <w:divsChild>
                    <w:div w:id="1114977227">
                      <w:marLeft w:val="0"/>
                      <w:marRight w:val="0"/>
                      <w:marTop w:val="0"/>
                      <w:marBottom w:val="0"/>
                      <w:divBdr>
                        <w:top w:val="none" w:sz="0" w:space="0" w:color="auto"/>
                        <w:left w:val="none" w:sz="0" w:space="0" w:color="auto"/>
                        <w:bottom w:val="none" w:sz="0" w:space="0" w:color="auto"/>
                        <w:right w:val="none" w:sz="0" w:space="0" w:color="auto"/>
                      </w:divBdr>
                      <w:divsChild>
                        <w:div w:id="979991486">
                          <w:marLeft w:val="0"/>
                          <w:marRight w:val="0"/>
                          <w:marTop w:val="0"/>
                          <w:marBottom w:val="0"/>
                          <w:divBdr>
                            <w:top w:val="none" w:sz="0" w:space="0" w:color="auto"/>
                            <w:left w:val="none" w:sz="0" w:space="0" w:color="auto"/>
                            <w:bottom w:val="none" w:sz="0" w:space="0" w:color="auto"/>
                            <w:right w:val="none" w:sz="0" w:space="0" w:color="auto"/>
                          </w:divBdr>
                          <w:divsChild>
                            <w:div w:id="1494876932">
                              <w:marLeft w:val="0"/>
                              <w:marRight w:val="0"/>
                              <w:marTop w:val="0"/>
                              <w:marBottom w:val="0"/>
                              <w:divBdr>
                                <w:top w:val="none" w:sz="0" w:space="0" w:color="auto"/>
                                <w:left w:val="none" w:sz="0" w:space="0" w:color="auto"/>
                                <w:bottom w:val="none" w:sz="0" w:space="0" w:color="auto"/>
                                <w:right w:val="none" w:sz="0" w:space="0" w:color="auto"/>
                              </w:divBdr>
                              <w:divsChild>
                                <w:div w:id="57024106">
                                  <w:marLeft w:val="0"/>
                                  <w:marRight w:val="0"/>
                                  <w:marTop w:val="0"/>
                                  <w:marBottom w:val="0"/>
                                  <w:divBdr>
                                    <w:top w:val="none" w:sz="0" w:space="0" w:color="auto"/>
                                    <w:left w:val="none" w:sz="0" w:space="0" w:color="auto"/>
                                    <w:bottom w:val="none" w:sz="0" w:space="0" w:color="auto"/>
                                    <w:right w:val="none" w:sz="0" w:space="0" w:color="auto"/>
                                  </w:divBdr>
                                  <w:divsChild>
                                    <w:div w:id="2141723683">
                                      <w:marLeft w:val="0"/>
                                      <w:marRight w:val="0"/>
                                      <w:marTop w:val="0"/>
                                      <w:marBottom w:val="0"/>
                                      <w:divBdr>
                                        <w:top w:val="none" w:sz="0" w:space="0" w:color="auto"/>
                                        <w:left w:val="none" w:sz="0" w:space="0" w:color="auto"/>
                                        <w:bottom w:val="none" w:sz="0" w:space="0" w:color="auto"/>
                                        <w:right w:val="none" w:sz="0" w:space="0" w:color="auto"/>
                                      </w:divBdr>
                                      <w:divsChild>
                                        <w:div w:id="1010639984">
                                          <w:marLeft w:val="0"/>
                                          <w:marRight w:val="0"/>
                                          <w:marTop w:val="0"/>
                                          <w:marBottom w:val="0"/>
                                          <w:divBdr>
                                            <w:top w:val="none" w:sz="0" w:space="0" w:color="auto"/>
                                            <w:left w:val="none" w:sz="0" w:space="0" w:color="auto"/>
                                            <w:bottom w:val="none" w:sz="0" w:space="0" w:color="auto"/>
                                            <w:right w:val="none" w:sz="0" w:space="0" w:color="auto"/>
                                          </w:divBdr>
                                          <w:divsChild>
                                            <w:div w:id="964000228">
                                              <w:marLeft w:val="0"/>
                                              <w:marRight w:val="0"/>
                                              <w:marTop w:val="0"/>
                                              <w:marBottom w:val="0"/>
                                              <w:divBdr>
                                                <w:top w:val="none" w:sz="0" w:space="0" w:color="auto"/>
                                                <w:left w:val="none" w:sz="0" w:space="0" w:color="auto"/>
                                                <w:bottom w:val="none" w:sz="0" w:space="0" w:color="auto"/>
                                                <w:right w:val="none" w:sz="0" w:space="0" w:color="auto"/>
                                              </w:divBdr>
                                              <w:divsChild>
                                                <w:div w:id="5830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165967">
      <w:bodyDiv w:val="1"/>
      <w:marLeft w:val="0"/>
      <w:marRight w:val="0"/>
      <w:marTop w:val="0"/>
      <w:marBottom w:val="0"/>
      <w:divBdr>
        <w:top w:val="none" w:sz="0" w:space="0" w:color="auto"/>
        <w:left w:val="none" w:sz="0" w:space="0" w:color="auto"/>
        <w:bottom w:val="none" w:sz="0" w:space="0" w:color="auto"/>
        <w:right w:val="none" w:sz="0" w:space="0" w:color="auto"/>
      </w:divBdr>
    </w:div>
    <w:div w:id="1101028088">
      <w:bodyDiv w:val="1"/>
      <w:marLeft w:val="120"/>
      <w:marRight w:val="120"/>
      <w:marTop w:val="120"/>
      <w:marBottom w:val="120"/>
      <w:divBdr>
        <w:top w:val="none" w:sz="0" w:space="0" w:color="auto"/>
        <w:left w:val="none" w:sz="0" w:space="0" w:color="auto"/>
        <w:bottom w:val="none" w:sz="0" w:space="0" w:color="auto"/>
        <w:right w:val="none" w:sz="0" w:space="0" w:color="auto"/>
      </w:divBdr>
    </w:div>
    <w:div w:id="1119496149">
      <w:bodyDiv w:val="1"/>
      <w:marLeft w:val="0"/>
      <w:marRight w:val="0"/>
      <w:marTop w:val="0"/>
      <w:marBottom w:val="0"/>
      <w:divBdr>
        <w:top w:val="none" w:sz="0" w:space="0" w:color="auto"/>
        <w:left w:val="none" w:sz="0" w:space="0" w:color="auto"/>
        <w:bottom w:val="none" w:sz="0" w:space="0" w:color="auto"/>
        <w:right w:val="none" w:sz="0" w:space="0" w:color="auto"/>
      </w:divBdr>
    </w:div>
    <w:div w:id="1221865076">
      <w:bodyDiv w:val="1"/>
      <w:marLeft w:val="0"/>
      <w:marRight w:val="0"/>
      <w:marTop w:val="0"/>
      <w:marBottom w:val="0"/>
      <w:divBdr>
        <w:top w:val="none" w:sz="0" w:space="0" w:color="auto"/>
        <w:left w:val="none" w:sz="0" w:space="0" w:color="auto"/>
        <w:bottom w:val="none" w:sz="0" w:space="0" w:color="auto"/>
        <w:right w:val="none" w:sz="0" w:space="0" w:color="auto"/>
      </w:divBdr>
      <w:divsChild>
        <w:div w:id="2102946395">
          <w:marLeft w:val="0"/>
          <w:marRight w:val="0"/>
          <w:marTop w:val="0"/>
          <w:marBottom w:val="0"/>
          <w:divBdr>
            <w:top w:val="none" w:sz="0" w:space="0" w:color="auto"/>
            <w:left w:val="none" w:sz="0" w:space="0" w:color="auto"/>
            <w:bottom w:val="none" w:sz="0" w:space="0" w:color="auto"/>
            <w:right w:val="none" w:sz="0" w:space="0" w:color="auto"/>
          </w:divBdr>
          <w:divsChild>
            <w:div w:id="1800495961">
              <w:marLeft w:val="0"/>
              <w:marRight w:val="0"/>
              <w:marTop w:val="0"/>
              <w:marBottom w:val="0"/>
              <w:divBdr>
                <w:top w:val="none" w:sz="0" w:space="0" w:color="auto"/>
                <w:left w:val="none" w:sz="0" w:space="0" w:color="auto"/>
                <w:bottom w:val="none" w:sz="0" w:space="0" w:color="auto"/>
                <w:right w:val="none" w:sz="0" w:space="0" w:color="auto"/>
              </w:divBdr>
              <w:divsChild>
                <w:div w:id="74867752">
                  <w:marLeft w:val="0"/>
                  <w:marRight w:val="0"/>
                  <w:marTop w:val="0"/>
                  <w:marBottom w:val="0"/>
                  <w:divBdr>
                    <w:top w:val="single" w:sz="36" w:space="0" w:color="EAEAEA"/>
                    <w:left w:val="single" w:sz="36" w:space="0" w:color="EAEAEA"/>
                    <w:bottom w:val="single" w:sz="36" w:space="0" w:color="EAEAEA"/>
                    <w:right w:val="single" w:sz="36" w:space="0" w:color="EAEAEA"/>
                  </w:divBdr>
                  <w:divsChild>
                    <w:div w:id="501092583">
                      <w:marLeft w:val="0"/>
                      <w:marRight w:val="0"/>
                      <w:marTop w:val="0"/>
                      <w:marBottom w:val="0"/>
                      <w:divBdr>
                        <w:top w:val="none" w:sz="0" w:space="0" w:color="auto"/>
                        <w:left w:val="none" w:sz="0" w:space="0" w:color="auto"/>
                        <w:bottom w:val="none" w:sz="0" w:space="0" w:color="auto"/>
                        <w:right w:val="none" w:sz="0" w:space="0" w:color="auto"/>
                      </w:divBdr>
                      <w:divsChild>
                        <w:div w:id="324011312">
                          <w:marLeft w:val="0"/>
                          <w:marRight w:val="0"/>
                          <w:marTop w:val="0"/>
                          <w:marBottom w:val="0"/>
                          <w:divBdr>
                            <w:top w:val="none" w:sz="0" w:space="0" w:color="auto"/>
                            <w:left w:val="none" w:sz="0" w:space="0" w:color="auto"/>
                            <w:bottom w:val="none" w:sz="0" w:space="0" w:color="auto"/>
                            <w:right w:val="none" w:sz="0" w:space="0" w:color="auto"/>
                          </w:divBdr>
                          <w:divsChild>
                            <w:div w:id="786123318">
                              <w:marLeft w:val="0"/>
                              <w:marRight w:val="0"/>
                              <w:marTop w:val="0"/>
                              <w:marBottom w:val="0"/>
                              <w:divBdr>
                                <w:top w:val="none" w:sz="0" w:space="0" w:color="auto"/>
                                <w:left w:val="none" w:sz="0" w:space="0" w:color="auto"/>
                                <w:bottom w:val="none" w:sz="0" w:space="0" w:color="auto"/>
                                <w:right w:val="none" w:sz="0" w:space="0" w:color="auto"/>
                              </w:divBdr>
                              <w:divsChild>
                                <w:div w:id="2122188975">
                                  <w:marLeft w:val="0"/>
                                  <w:marRight w:val="0"/>
                                  <w:marTop w:val="0"/>
                                  <w:marBottom w:val="0"/>
                                  <w:divBdr>
                                    <w:top w:val="none" w:sz="0" w:space="0" w:color="auto"/>
                                    <w:left w:val="none" w:sz="0" w:space="0" w:color="auto"/>
                                    <w:bottom w:val="none" w:sz="0" w:space="0" w:color="auto"/>
                                    <w:right w:val="none" w:sz="0" w:space="0" w:color="auto"/>
                                  </w:divBdr>
                                  <w:divsChild>
                                    <w:div w:id="950358068">
                                      <w:marLeft w:val="0"/>
                                      <w:marRight w:val="0"/>
                                      <w:marTop w:val="0"/>
                                      <w:marBottom w:val="0"/>
                                      <w:divBdr>
                                        <w:top w:val="none" w:sz="0" w:space="0" w:color="auto"/>
                                        <w:left w:val="none" w:sz="0" w:space="0" w:color="auto"/>
                                        <w:bottom w:val="none" w:sz="0" w:space="0" w:color="auto"/>
                                        <w:right w:val="none" w:sz="0" w:space="0" w:color="auto"/>
                                      </w:divBdr>
                                      <w:divsChild>
                                        <w:div w:id="11411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860660">
      <w:bodyDiv w:val="1"/>
      <w:marLeft w:val="0"/>
      <w:marRight w:val="0"/>
      <w:marTop w:val="0"/>
      <w:marBottom w:val="0"/>
      <w:divBdr>
        <w:top w:val="none" w:sz="0" w:space="0" w:color="auto"/>
        <w:left w:val="none" w:sz="0" w:space="0" w:color="auto"/>
        <w:bottom w:val="none" w:sz="0" w:space="0" w:color="auto"/>
        <w:right w:val="none" w:sz="0" w:space="0" w:color="auto"/>
      </w:divBdr>
      <w:divsChild>
        <w:div w:id="1066143527">
          <w:marLeft w:val="0"/>
          <w:marRight w:val="0"/>
          <w:marTop w:val="0"/>
          <w:marBottom w:val="0"/>
          <w:divBdr>
            <w:top w:val="none" w:sz="0" w:space="0" w:color="auto"/>
            <w:left w:val="none" w:sz="0" w:space="0" w:color="auto"/>
            <w:bottom w:val="none" w:sz="0" w:space="0" w:color="auto"/>
            <w:right w:val="none" w:sz="0" w:space="0" w:color="auto"/>
          </w:divBdr>
          <w:divsChild>
            <w:div w:id="469858407">
              <w:marLeft w:val="0"/>
              <w:marRight w:val="0"/>
              <w:marTop w:val="0"/>
              <w:marBottom w:val="0"/>
              <w:divBdr>
                <w:top w:val="none" w:sz="0" w:space="0" w:color="auto"/>
                <w:left w:val="none" w:sz="0" w:space="0" w:color="auto"/>
                <w:bottom w:val="none" w:sz="0" w:space="0" w:color="auto"/>
                <w:right w:val="none" w:sz="0" w:space="0" w:color="auto"/>
              </w:divBdr>
              <w:divsChild>
                <w:div w:id="1129787006">
                  <w:marLeft w:val="0"/>
                  <w:marRight w:val="0"/>
                  <w:marTop w:val="0"/>
                  <w:marBottom w:val="0"/>
                  <w:divBdr>
                    <w:top w:val="single" w:sz="36" w:space="0" w:color="EAEAEA"/>
                    <w:left w:val="single" w:sz="36" w:space="0" w:color="EAEAEA"/>
                    <w:bottom w:val="single" w:sz="36" w:space="0" w:color="EAEAEA"/>
                    <w:right w:val="single" w:sz="36" w:space="0" w:color="EAEAEA"/>
                  </w:divBdr>
                  <w:divsChild>
                    <w:div w:id="1284537778">
                      <w:marLeft w:val="0"/>
                      <w:marRight w:val="0"/>
                      <w:marTop w:val="0"/>
                      <w:marBottom w:val="0"/>
                      <w:divBdr>
                        <w:top w:val="none" w:sz="0" w:space="0" w:color="auto"/>
                        <w:left w:val="none" w:sz="0" w:space="0" w:color="auto"/>
                        <w:bottom w:val="none" w:sz="0" w:space="0" w:color="auto"/>
                        <w:right w:val="none" w:sz="0" w:space="0" w:color="auto"/>
                      </w:divBdr>
                      <w:divsChild>
                        <w:div w:id="1571841333">
                          <w:marLeft w:val="0"/>
                          <w:marRight w:val="0"/>
                          <w:marTop w:val="0"/>
                          <w:marBottom w:val="0"/>
                          <w:divBdr>
                            <w:top w:val="none" w:sz="0" w:space="0" w:color="auto"/>
                            <w:left w:val="none" w:sz="0" w:space="0" w:color="auto"/>
                            <w:bottom w:val="none" w:sz="0" w:space="0" w:color="auto"/>
                            <w:right w:val="none" w:sz="0" w:space="0" w:color="auto"/>
                          </w:divBdr>
                          <w:divsChild>
                            <w:div w:id="2036231031">
                              <w:marLeft w:val="0"/>
                              <w:marRight w:val="0"/>
                              <w:marTop w:val="0"/>
                              <w:marBottom w:val="0"/>
                              <w:divBdr>
                                <w:top w:val="none" w:sz="0" w:space="0" w:color="auto"/>
                                <w:left w:val="none" w:sz="0" w:space="0" w:color="auto"/>
                                <w:bottom w:val="none" w:sz="0" w:space="0" w:color="auto"/>
                                <w:right w:val="none" w:sz="0" w:space="0" w:color="auto"/>
                              </w:divBdr>
                              <w:divsChild>
                                <w:div w:id="379019160">
                                  <w:marLeft w:val="0"/>
                                  <w:marRight w:val="0"/>
                                  <w:marTop w:val="0"/>
                                  <w:marBottom w:val="0"/>
                                  <w:divBdr>
                                    <w:top w:val="none" w:sz="0" w:space="0" w:color="auto"/>
                                    <w:left w:val="none" w:sz="0" w:space="0" w:color="auto"/>
                                    <w:bottom w:val="none" w:sz="0" w:space="0" w:color="auto"/>
                                    <w:right w:val="none" w:sz="0" w:space="0" w:color="auto"/>
                                  </w:divBdr>
                                  <w:divsChild>
                                    <w:div w:id="1610232309">
                                      <w:marLeft w:val="0"/>
                                      <w:marRight w:val="0"/>
                                      <w:marTop w:val="0"/>
                                      <w:marBottom w:val="0"/>
                                      <w:divBdr>
                                        <w:top w:val="none" w:sz="0" w:space="0" w:color="auto"/>
                                        <w:left w:val="none" w:sz="0" w:space="0" w:color="auto"/>
                                        <w:bottom w:val="none" w:sz="0" w:space="0" w:color="auto"/>
                                        <w:right w:val="none" w:sz="0" w:space="0" w:color="auto"/>
                                      </w:divBdr>
                                      <w:divsChild>
                                        <w:div w:id="687483709">
                                          <w:marLeft w:val="0"/>
                                          <w:marRight w:val="0"/>
                                          <w:marTop w:val="0"/>
                                          <w:marBottom w:val="0"/>
                                          <w:divBdr>
                                            <w:top w:val="none" w:sz="0" w:space="0" w:color="auto"/>
                                            <w:left w:val="none" w:sz="0" w:space="0" w:color="auto"/>
                                            <w:bottom w:val="none" w:sz="0" w:space="0" w:color="auto"/>
                                            <w:right w:val="none" w:sz="0" w:space="0" w:color="auto"/>
                                          </w:divBdr>
                                          <w:divsChild>
                                            <w:div w:id="151877821">
                                              <w:marLeft w:val="0"/>
                                              <w:marRight w:val="0"/>
                                              <w:marTop w:val="0"/>
                                              <w:marBottom w:val="0"/>
                                              <w:divBdr>
                                                <w:top w:val="none" w:sz="0" w:space="0" w:color="auto"/>
                                                <w:left w:val="none" w:sz="0" w:space="0" w:color="auto"/>
                                                <w:bottom w:val="none" w:sz="0" w:space="0" w:color="auto"/>
                                                <w:right w:val="none" w:sz="0" w:space="0" w:color="auto"/>
                                              </w:divBdr>
                                              <w:divsChild>
                                                <w:div w:id="6073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587657">
      <w:bodyDiv w:val="1"/>
      <w:marLeft w:val="0"/>
      <w:marRight w:val="0"/>
      <w:marTop w:val="0"/>
      <w:marBottom w:val="0"/>
      <w:divBdr>
        <w:top w:val="none" w:sz="0" w:space="0" w:color="auto"/>
        <w:left w:val="none" w:sz="0" w:space="0" w:color="auto"/>
        <w:bottom w:val="none" w:sz="0" w:space="0" w:color="auto"/>
        <w:right w:val="none" w:sz="0" w:space="0" w:color="auto"/>
      </w:divBdr>
    </w:div>
    <w:div w:id="1696613053">
      <w:bodyDiv w:val="1"/>
      <w:marLeft w:val="0"/>
      <w:marRight w:val="0"/>
      <w:marTop w:val="0"/>
      <w:marBottom w:val="0"/>
      <w:divBdr>
        <w:top w:val="none" w:sz="0" w:space="0" w:color="auto"/>
        <w:left w:val="none" w:sz="0" w:space="0" w:color="auto"/>
        <w:bottom w:val="none" w:sz="0" w:space="0" w:color="auto"/>
        <w:right w:val="none" w:sz="0" w:space="0" w:color="auto"/>
      </w:divBdr>
    </w:div>
    <w:div w:id="1909463277">
      <w:bodyDiv w:val="1"/>
      <w:marLeft w:val="0"/>
      <w:marRight w:val="0"/>
      <w:marTop w:val="0"/>
      <w:marBottom w:val="0"/>
      <w:divBdr>
        <w:top w:val="none" w:sz="0" w:space="0" w:color="auto"/>
        <w:left w:val="none" w:sz="0" w:space="0" w:color="auto"/>
        <w:bottom w:val="none" w:sz="0" w:space="0" w:color="auto"/>
        <w:right w:val="none" w:sz="0" w:space="0" w:color="auto"/>
      </w:divBdr>
    </w:div>
    <w:div w:id="1992638146">
      <w:bodyDiv w:val="1"/>
      <w:marLeft w:val="0"/>
      <w:marRight w:val="0"/>
      <w:marTop w:val="0"/>
      <w:marBottom w:val="0"/>
      <w:divBdr>
        <w:top w:val="none" w:sz="0" w:space="0" w:color="auto"/>
        <w:left w:val="none" w:sz="0" w:space="0" w:color="auto"/>
        <w:bottom w:val="none" w:sz="0" w:space="0" w:color="auto"/>
        <w:right w:val="none" w:sz="0" w:space="0" w:color="auto"/>
      </w:divBdr>
    </w:div>
    <w:div w:id="2052655041">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sChild>
        <w:div w:id="1000935492">
          <w:marLeft w:val="0"/>
          <w:marRight w:val="0"/>
          <w:marTop w:val="0"/>
          <w:marBottom w:val="0"/>
          <w:divBdr>
            <w:top w:val="none" w:sz="0" w:space="0" w:color="auto"/>
            <w:left w:val="none" w:sz="0" w:space="0" w:color="auto"/>
            <w:bottom w:val="none" w:sz="0" w:space="0" w:color="auto"/>
            <w:right w:val="none" w:sz="0" w:space="0" w:color="auto"/>
          </w:divBdr>
          <w:divsChild>
            <w:div w:id="1438023223">
              <w:marLeft w:val="0"/>
              <w:marRight w:val="0"/>
              <w:marTop w:val="0"/>
              <w:marBottom w:val="0"/>
              <w:divBdr>
                <w:top w:val="none" w:sz="0" w:space="0" w:color="auto"/>
                <w:left w:val="none" w:sz="0" w:space="0" w:color="auto"/>
                <w:bottom w:val="none" w:sz="0" w:space="0" w:color="auto"/>
                <w:right w:val="none" w:sz="0" w:space="0" w:color="auto"/>
              </w:divBdr>
              <w:divsChild>
                <w:div w:id="1451168284">
                  <w:marLeft w:val="0"/>
                  <w:marRight w:val="0"/>
                  <w:marTop w:val="0"/>
                  <w:marBottom w:val="0"/>
                  <w:divBdr>
                    <w:top w:val="single" w:sz="36" w:space="0" w:color="EAEAEA"/>
                    <w:left w:val="single" w:sz="36" w:space="0" w:color="EAEAEA"/>
                    <w:bottom w:val="single" w:sz="36" w:space="0" w:color="EAEAEA"/>
                    <w:right w:val="single" w:sz="36" w:space="0" w:color="EAEAEA"/>
                  </w:divBdr>
                  <w:divsChild>
                    <w:div w:id="1675569204">
                      <w:marLeft w:val="0"/>
                      <w:marRight w:val="0"/>
                      <w:marTop w:val="0"/>
                      <w:marBottom w:val="0"/>
                      <w:divBdr>
                        <w:top w:val="none" w:sz="0" w:space="0" w:color="auto"/>
                        <w:left w:val="none" w:sz="0" w:space="0" w:color="auto"/>
                        <w:bottom w:val="none" w:sz="0" w:space="0" w:color="auto"/>
                        <w:right w:val="none" w:sz="0" w:space="0" w:color="auto"/>
                      </w:divBdr>
                      <w:divsChild>
                        <w:div w:id="502282303">
                          <w:marLeft w:val="0"/>
                          <w:marRight w:val="0"/>
                          <w:marTop w:val="0"/>
                          <w:marBottom w:val="0"/>
                          <w:divBdr>
                            <w:top w:val="none" w:sz="0" w:space="0" w:color="auto"/>
                            <w:left w:val="none" w:sz="0" w:space="0" w:color="auto"/>
                            <w:bottom w:val="none" w:sz="0" w:space="0" w:color="auto"/>
                            <w:right w:val="none" w:sz="0" w:space="0" w:color="auto"/>
                          </w:divBdr>
                          <w:divsChild>
                            <w:div w:id="274601269">
                              <w:marLeft w:val="0"/>
                              <w:marRight w:val="0"/>
                              <w:marTop w:val="0"/>
                              <w:marBottom w:val="0"/>
                              <w:divBdr>
                                <w:top w:val="none" w:sz="0" w:space="0" w:color="auto"/>
                                <w:left w:val="none" w:sz="0" w:space="0" w:color="auto"/>
                                <w:bottom w:val="none" w:sz="0" w:space="0" w:color="auto"/>
                                <w:right w:val="none" w:sz="0" w:space="0" w:color="auto"/>
                              </w:divBdr>
                              <w:divsChild>
                                <w:div w:id="1305575420">
                                  <w:marLeft w:val="0"/>
                                  <w:marRight w:val="0"/>
                                  <w:marTop w:val="0"/>
                                  <w:marBottom w:val="0"/>
                                  <w:divBdr>
                                    <w:top w:val="none" w:sz="0" w:space="0" w:color="auto"/>
                                    <w:left w:val="none" w:sz="0" w:space="0" w:color="auto"/>
                                    <w:bottom w:val="none" w:sz="0" w:space="0" w:color="auto"/>
                                    <w:right w:val="none" w:sz="0" w:space="0" w:color="auto"/>
                                  </w:divBdr>
                                  <w:divsChild>
                                    <w:div w:id="1430278288">
                                      <w:marLeft w:val="0"/>
                                      <w:marRight w:val="0"/>
                                      <w:marTop w:val="0"/>
                                      <w:marBottom w:val="0"/>
                                      <w:divBdr>
                                        <w:top w:val="none" w:sz="0" w:space="0" w:color="auto"/>
                                        <w:left w:val="none" w:sz="0" w:space="0" w:color="auto"/>
                                        <w:bottom w:val="none" w:sz="0" w:space="0" w:color="auto"/>
                                        <w:right w:val="none" w:sz="0" w:space="0" w:color="auto"/>
                                      </w:divBdr>
                                      <w:divsChild>
                                        <w:div w:id="1647317689">
                                          <w:marLeft w:val="0"/>
                                          <w:marRight w:val="0"/>
                                          <w:marTop w:val="0"/>
                                          <w:marBottom w:val="0"/>
                                          <w:divBdr>
                                            <w:top w:val="none" w:sz="0" w:space="0" w:color="auto"/>
                                            <w:left w:val="none" w:sz="0" w:space="0" w:color="auto"/>
                                            <w:bottom w:val="none" w:sz="0" w:space="0" w:color="auto"/>
                                            <w:right w:val="none" w:sz="0" w:space="0" w:color="auto"/>
                                          </w:divBdr>
                                          <w:divsChild>
                                            <w:div w:id="1553693804">
                                              <w:marLeft w:val="0"/>
                                              <w:marRight w:val="0"/>
                                              <w:marTop w:val="0"/>
                                              <w:marBottom w:val="0"/>
                                              <w:divBdr>
                                                <w:top w:val="none" w:sz="0" w:space="0" w:color="auto"/>
                                                <w:left w:val="none" w:sz="0" w:space="0" w:color="auto"/>
                                                <w:bottom w:val="none" w:sz="0" w:space="0" w:color="auto"/>
                                                <w:right w:val="none" w:sz="0" w:space="0" w:color="auto"/>
                                              </w:divBdr>
                                              <w:divsChild>
                                                <w:div w:id="9491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5F092-75C0-4697-A3ED-CE6302C0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 Marcelynas</dc:creator>
  <cp:lastModifiedBy>Kimberly White</cp:lastModifiedBy>
  <cp:revision>8</cp:revision>
  <cp:lastPrinted>2019-09-26T17:55:00Z</cp:lastPrinted>
  <dcterms:created xsi:type="dcterms:W3CDTF">2023-03-31T18:46:00Z</dcterms:created>
  <dcterms:modified xsi:type="dcterms:W3CDTF">2023-09-21T02:08:00Z</dcterms:modified>
</cp:coreProperties>
</file>