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E14B52B" w14:textId="77777777" w:rsidR="00152A4A" w:rsidRDefault="00DC68AF" w:rsidP="00152A4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3B4C" wp14:editId="07E6B9B7">
                <wp:simplePos x="0" y="0"/>
                <wp:positionH relativeFrom="column">
                  <wp:posOffset>-243840</wp:posOffset>
                </wp:positionH>
                <wp:positionV relativeFrom="paragraph">
                  <wp:posOffset>-696595</wp:posOffset>
                </wp:positionV>
                <wp:extent cx="5943600" cy="123698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D365F" w14:textId="77777777" w:rsidR="007A3192" w:rsidRDefault="007A3192" w:rsidP="00152A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A05A9" wp14:editId="62D80F04">
                                  <wp:extent cx="6412865" cy="1139825"/>
                                  <wp:effectExtent l="0" t="0" r="698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865" cy="113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6633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2pt;margin-top:-54.85pt;width:468pt;height:97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tgAIAAA4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" stroked="f">
                <v:textbox style="mso-fit-shape-to-text:t">
                  <w:txbxContent>
                    <w:p w14:paraId="63DD365F" w14:textId="77777777" w:rsidR="007A3192" w:rsidRDefault="007A3192" w:rsidP="00152A4A">
                      <w:r>
                        <w:rPr>
                          <w:noProof/>
                        </w:rPr>
                        <w:drawing>
                          <wp:inline distT="0" distB="0" distL="0" distR="0" wp14:anchorId="4F9A05A9" wp14:editId="62D80F04">
                            <wp:extent cx="6412865" cy="1139825"/>
                            <wp:effectExtent l="0" t="0" r="698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2865" cy="113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771A8C" w14:textId="77777777" w:rsidR="007C5B8A" w:rsidRDefault="007C5B8A" w:rsidP="007C5B8A">
      <w:pPr>
        <w:jc w:val="center"/>
        <w:rPr>
          <w:szCs w:val="24"/>
        </w:rPr>
      </w:pPr>
    </w:p>
    <w:p w14:paraId="1342444E" w14:textId="77777777" w:rsidR="00B426F2" w:rsidRPr="002B7ECD" w:rsidRDefault="00B426F2" w:rsidP="007C5B8A">
      <w:pPr>
        <w:jc w:val="center"/>
        <w:rPr>
          <w:szCs w:val="24"/>
        </w:rPr>
      </w:pPr>
    </w:p>
    <w:p w14:paraId="704316D6" w14:textId="77777777" w:rsidR="00B426F2" w:rsidRPr="00B426F2" w:rsidRDefault="00B426F2" w:rsidP="00B426F2">
      <w:pPr>
        <w:jc w:val="center"/>
        <w:rPr>
          <w:szCs w:val="24"/>
        </w:rPr>
      </w:pPr>
      <w:r w:rsidRPr="00B426F2">
        <w:rPr>
          <w:szCs w:val="24"/>
        </w:rPr>
        <w:t>CONNECTICUT DISTRIBUTED GENERATION TECHNICAL WORKING GROUP</w:t>
      </w:r>
    </w:p>
    <w:p w14:paraId="58CFF9EA" w14:textId="77777777" w:rsidR="00B426F2" w:rsidRDefault="00B426F2" w:rsidP="007C5B8A">
      <w:pPr>
        <w:jc w:val="center"/>
        <w:rPr>
          <w:szCs w:val="24"/>
          <w:u w:val="single"/>
        </w:rPr>
      </w:pPr>
    </w:p>
    <w:p w14:paraId="3DB36EAF" w14:textId="3F025A34" w:rsidR="007C5B8A" w:rsidRPr="002B7ECD" w:rsidRDefault="003A094D" w:rsidP="007C5B8A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REGULAR MEETING AGENDA</w:t>
      </w:r>
    </w:p>
    <w:p w14:paraId="27A9FFE6" w14:textId="4ABE9249" w:rsidR="007C5B8A" w:rsidRPr="002B7ECD" w:rsidRDefault="00B40579" w:rsidP="007C5B8A">
      <w:pPr>
        <w:jc w:val="center"/>
        <w:rPr>
          <w:szCs w:val="24"/>
        </w:rPr>
      </w:pPr>
      <w:r>
        <w:rPr>
          <w:szCs w:val="24"/>
        </w:rPr>
        <w:t>Tuesday</w:t>
      </w:r>
      <w:r w:rsidR="00B426F2">
        <w:rPr>
          <w:szCs w:val="24"/>
        </w:rPr>
        <w:t xml:space="preserve">, </w:t>
      </w:r>
      <w:r w:rsidR="00282546">
        <w:rPr>
          <w:szCs w:val="24"/>
        </w:rPr>
        <w:t>October</w:t>
      </w:r>
      <w:r>
        <w:rPr>
          <w:szCs w:val="24"/>
        </w:rPr>
        <w:t xml:space="preserve"> </w:t>
      </w:r>
      <w:r w:rsidR="00282546">
        <w:rPr>
          <w:szCs w:val="24"/>
        </w:rPr>
        <w:t>19</w:t>
      </w:r>
      <w:r w:rsidR="00B426F2" w:rsidRPr="00B426F2">
        <w:rPr>
          <w:szCs w:val="24"/>
        </w:rPr>
        <w:t>, 2021</w:t>
      </w:r>
    </w:p>
    <w:p w14:paraId="3FCAE99B" w14:textId="687BCEA0" w:rsidR="00126A02" w:rsidRPr="00B426F2" w:rsidRDefault="00126A02" w:rsidP="00E553DF">
      <w:pPr>
        <w:jc w:val="center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9:00 AM – </w:t>
      </w:r>
      <w:r w:rsidR="00255DC5">
        <w:rPr>
          <w:rFonts w:cs="Arial"/>
          <w:szCs w:val="24"/>
        </w:rPr>
        <w:t>10:3</w:t>
      </w:r>
      <w:r w:rsidR="00644830">
        <w:rPr>
          <w:rFonts w:cs="Arial"/>
          <w:szCs w:val="24"/>
        </w:rPr>
        <w:t>0</w:t>
      </w:r>
      <w:r w:rsidRPr="00B426F2">
        <w:rPr>
          <w:rFonts w:cs="Arial"/>
          <w:szCs w:val="24"/>
        </w:rPr>
        <w:t xml:space="preserve"> </w:t>
      </w:r>
      <w:r w:rsidR="00282546">
        <w:rPr>
          <w:rFonts w:cs="Arial"/>
          <w:szCs w:val="24"/>
        </w:rPr>
        <w:t>A</w:t>
      </w:r>
      <w:r w:rsidRPr="00B426F2">
        <w:rPr>
          <w:rFonts w:cs="Arial"/>
          <w:szCs w:val="24"/>
        </w:rPr>
        <w:t>M</w:t>
      </w:r>
    </w:p>
    <w:p w14:paraId="03D58092" w14:textId="60E16983" w:rsidR="00E553DF" w:rsidRDefault="00346B97" w:rsidP="00255DC5">
      <w:pPr>
        <w:pStyle w:val="ListParagraph"/>
        <w:ind w:left="0"/>
        <w:jc w:val="center"/>
        <w:rPr>
          <w:rFonts w:cs="Arial"/>
          <w:i/>
          <w:szCs w:val="24"/>
        </w:rPr>
      </w:pPr>
      <w:r>
        <w:rPr>
          <w:rFonts w:cs="Arial"/>
          <w:szCs w:val="24"/>
        </w:rPr>
        <w:t xml:space="preserve">Location: </w:t>
      </w:r>
      <w:hyperlink r:id="rId13" w:history="1">
        <w:r w:rsidRPr="00346B97">
          <w:rPr>
            <w:rStyle w:val="Hyperlink"/>
            <w:rFonts w:cs="Arial"/>
            <w:szCs w:val="24"/>
          </w:rPr>
          <w:t>Microsoft Teams</w:t>
        </w:r>
      </w:hyperlink>
    </w:p>
    <w:p w14:paraId="12263EBE" w14:textId="77777777" w:rsidR="003B425F" w:rsidRPr="00BF0AAC" w:rsidRDefault="003B425F" w:rsidP="00E553DF">
      <w:pPr>
        <w:pStyle w:val="ListParagraph"/>
        <w:ind w:left="1080"/>
        <w:jc w:val="center"/>
        <w:rPr>
          <w:rFonts w:cs="Arial"/>
          <w:i/>
          <w:szCs w:val="24"/>
        </w:rPr>
      </w:pPr>
    </w:p>
    <w:p w14:paraId="7FDAC00D" w14:textId="10CC5DE9" w:rsidR="00B426F2" w:rsidRDefault="00B426F2" w:rsidP="00126A02">
      <w:pPr>
        <w:jc w:val="both"/>
        <w:rPr>
          <w:rFonts w:cs="Arial"/>
          <w:szCs w:val="24"/>
        </w:rPr>
      </w:pPr>
    </w:p>
    <w:p w14:paraId="0281FFB7" w14:textId="6ADB6071" w:rsidR="00A86777" w:rsidRDefault="00126A02" w:rsidP="00126A02">
      <w:pPr>
        <w:jc w:val="both"/>
        <w:rPr>
          <w:rFonts w:cs="Arial"/>
          <w:b/>
          <w:szCs w:val="24"/>
        </w:rPr>
      </w:pPr>
      <w:r w:rsidRPr="00B426F2">
        <w:rPr>
          <w:rFonts w:cs="Arial"/>
          <w:b/>
          <w:szCs w:val="24"/>
        </w:rPr>
        <w:t>9:00 AM – 9:</w:t>
      </w:r>
      <w:r w:rsidR="005F0251">
        <w:rPr>
          <w:rFonts w:cs="Arial"/>
          <w:b/>
          <w:szCs w:val="24"/>
        </w:rPr>
        <w:t>0</w:t>
      </w:r>
      <w:r w:rsidRPr="00B426F2">
        <w:rPr>
          <w:rFonts w:cs="Arial"/>
          <w:b/>
          <w:szCs w:val="24"/>
        </w:rPr>
        <w:t>5 AM</w:t>
      </w:r>
      <w:r w:rsidRPr="00B426F2">
        <w:rPr>
          <w:rFonts w:cs="Arial"/>
          <w:b/>
          <w:szCs w:val="24"/>
        </w:rPr>
        <w:tab/>
      </w:r>
      <w:r w:rsidRPr="00B426F2">
        <w:rPr>
          <w:rFonts w:cs="Arial"/>
          <w:b/>
          <w:szCs w:val="24"/>
        </w:rPr>
        <w:tab/>
        <w:t>Introduction</w:t>
      </w:r>
      <w:r w:rsidR="005F0251">
        <w:rPr>
          <w:rFonts w:cs="Arial"/>
          <w:b/>
          <w:szCs w:val="24"/>
        </w:rPr>
        <w:t xml:space="preserve"> and Adoption of Meeting Minutes</w:t>
      </w:r>
    </w:p>
    <w:p w14:paraId="4BF689CE" w14:textId="77777777" w:rsidR="00BF0AAC" w:rsidRDefault="00BF0AAC" w:rsidP="00126A02">
      <w:pPr>
        <w:jc w:val="both"/>
        <w:rPr>
          <w:rFonts w:cs="Arial"/>
          <w:b/>
          <w:szCs w:val="24"/>
        </w:rPr>
      </w:pPr>
    </w:p>
    <w:p w14:paraId="43C2E216" w14:textId="0CE1F796" w:rsidR="00081B26" w:rsidRDefault="00081B26" w:rsidP="00081B26">
      <w:pPr>
        <w:ind w:left="2880" w:hanging="28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Solar plus Storage Discussion</w:t>
      </w:r>
      <w:r w:rsidR="00A7057F">
        <w:rPr>
          <w:rFonts w:cs="Arial"/>
          <w:b/>
          <w:szCs w:val="24"/>
        </w:rPr>
        <w:t>(9:05 AM – 10:</w:t>
      </w:r>
      <w:r w:rsidR="00644830">
        <w:rPr>
          <w:rFonts w:cs="Arial"/>
          <w:b/>
          <w:szCs w:val="24"/>
        </w:rPr>
        <w:t>30</w:t>
      </w:r>
      <w:r w:rsidR="00A7057F">
        <w:rPr>
          <w:rFonts w:cs="Arial"/>
          <w:b/>
          <w:szCs w:val="24"/>
        </w:rPr>
        <w:t xml:space="preserve"> AM)</w:t>
      </w:r>
    </w:p>
    <w:p w14:paraId="50FF8A76" w14:textId="3BEA6352" w:rsidR="00282546" w:rsidRPr="00103775" w:rsidRDefault="00C73E26" w:rsidP="00081B26">
      <w:pPr>
        <w:pStyle w:val="ListParagraph"/>
        <w:numPr>
          <w:ilvl w:val="0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szCs w:val="24"/>
        </w:rPr>
        <w:t>Battery storage program</w:t>
      </w:r>
    </w:p>
    <w:p w14:paraId="7E7648F5" w14:textId="065DCB77" w:rsidR="00A7057F" w:rsidRPr="00103775" w:rsidRDefault="00A7057F" w:rsidP="00A7057F">
      <w:pPr>
        <w:pStyle w:val="ListParagraph"/>
        <w:numPr>
          <w:ilvl w:val="1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szCs w:val="24"/>
        </w:rPr>
        <w:t>One question for storage projects in interconnection queue is whether or not they export</w:t>
      </w:r>
    </w:p>
    <w:p w14:paraId="7BA40208" w14:textId="00380602" w:rsidR="00A7057F" w:rsidRPr="00103775" w:rsidRDefault="00A7057F" w:rsidP="00A7057F">
      <w:pPr>
        <w:pStyle w:val="ListParagraph"/>
        <w:numPr>
          <w:ilvl w:val="1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szCs w:val="24"/>
        </w:rPr>
        <w:t xml:space="preserve">IEEE interconnection guidelines are agnostic to technology (150 kw hydro plant is the same as a 150 kw battery from an interconnection perspective if they both </w:t>
      </w:r>
      <w:proofErr w:type="gramStart"/>
      <w:r w:rsidRPr="00103775">
        <w:rPr>
          <w:rFonts w:cs="Arial"/>
          <w:szCs w:val="24"/>
        </w:rPr>
        <w:t>export</w:t>
      </w:r>
      <w:proofErr w:type="gramEnd"/>
      <w:r w:rsidRPr="00103775">
        <w:rPr>
          <w:rFonts w:cs="Arial"/>
          <w:szCs w:val="24"/>
        </w:rPr>
        <w:t xml:space="preserve">, </w:t>
      </w:r>
      <w:r w:rsidR="00255DC5" w:rsidRPr="00103775">
        <w:rPr>
          <w:rFonts w:cs="Arial"/>
          <w:szCs w:val="24"/>
        </w:rPr>
        <w:t>regardless of policy/tariffs</w:t>
      </w:r>
      <w:r w:rsidRPr="00103775">
        <w:rPr>
          <w:rFonts w:cs="Arial"/>
          <w:szCs w:val="24"/>
        </w:rPr>
        <w:t>)</w:t>
      </w:r>
    </w:p>
    <w:p w14:paraId="7BAD30D0" w14:textId="77777777" w:rsidR="00A7057F" w:rsidRPr="00103775" w:rsidRDefault="00A7057F" w:rsidP="00A7057F">
      <w:pPr>
        <w:pStyle w:val="ListParagraph"/>
        <w:numPr>
          <w:ilvl w:val="1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bCs/>
          <w:szCs w:val="24"/>
        </w:rPr>
        <w:t>Non-exporting DER still can have an impact on distribution system, though larger systems will have more of a significant impact than smaller residential systems</w:t>
      </w:r>
      <w:r w:rsidRPr="00103775">
        <w:rPr>
          <w:rFonts w:cs="Arial"/>
          <w:szCs w:val="24"/>
        </w:rPr>
        <w:t xml:space="preserve"> </w:t>
      </w:r>
    </w:p>
    <w:p w14:paraId="556C39D3" w14:textId="7B0CD331" w:rsidR="006C5B2F" w:rsidRPr="00103775" w:rsidRDefault="00A7057F" w:rsidP="006C5B2F">
      <w:pPr>
        <w:pStyle w:val="ListParagraph"/>
        <w:numPr>
          <w:ilvl w:val="1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szCs w:val="24"/>
        </w:rPr>
        <w:t>Technical implications of export switch – transfer switch need to be</w:t>
      </w:r>
      <w:r w:rsidR="006C5B2F" w:rsidRPr="00103775">
        <w:rPr>
          <w:rFonts w:cs="Arial"/>
          <w:szCs w:val="24"/>
        </w:rPr>
        <w:t xml:space="preserve"> an approved device</w:t>
      </w:r>
      <w:r w:rsidR="008D1641">
        <w:rPr>
          <w:rFonts w:cs="Arial"/>
          <w:szCs w:val="24"/>
        </w:rPr>
        <w:t xml:space="preserve"> and scheme</w:t>
      </w:r>
      <w:r w:rsidR="006C5B2F" w:rsidRPr="00103775">
        <w:rPr>
          <w:rFonts w:cs="Arial"/>
          <w:szCs w:val="24"/>
        </w:rPr>
        <w:t>, not just a meter socket</w:t>
      </w:r>
      <w:r w:rsidR="008D1641">
        <w:rPr>
          <w:rFonts w:cs="Arial"/>
          <w:szCs w:val="24"/>
        </w:rPr>
        <w:t xml:space="preserve"> switch</w:t>
      </w:r>
      <w:r w:rsidR="002B5E27" w:rsidRPr="00103775">
        <w:rPr>
          <w:rFonts w:cs="Arial"/>
          <w:szCs w:val="24"/>
        </w:rPr>
        <w:t xml:space="preserve">. </w:t>
      </w:r>
      <w:r w:rsidR="008D1641">
        <w:rPr>
          <w:rFonts w:cs="Arial"/>
          <w:szCs w:val="24"/>
        </w:rPr>
        <w:t>Devices/configurations c</w:t>
      </w:r>
      <w:r w:rsidR="002B5E27" w:rsidRPr="00103775">
        <w:rPr>
          <w:rFonts w:cs="Arial"/>
          <w:szCs w:val="24"/>
        </w:rPr>
        <w:t xml:space="preserve">an sometimes require a technical review to make sure </w:t>
      </w:r>
      <w:r w:rsidR="008D1641">
        <w:rPr>
          <w:rFonts w:cs="Arial"/>
          <w:szCs w:val="24"/>
        </w:rPr>
        <w:t>they are</w:t>
      </w:r>
      <w:r w:rsidR="002B5E27" w:rsidRPr="00103775">
        <w:rPr>
          <w:rFonts w:cs="Arial"/>
          <w:szCs w:val="24"/>
        </w:rPr>
        <w:t xml:space="preserve"> approved for safety/handling by utility employees.  </w:t>
      </w:r>
    </w:p>
    <w:p w14:paraId="42A61E33" w14:textId="4DD0E694" w:rsidR="002B5E27" w:rsidRPr="00103775" w:rsidRDefault="002B5E27" w:rsidP="002B5E27">
      <w:pPr>
        <w:pStyle w:val="ListParagraph"/>
        <w:numPr>
          <w:ilvl w:val="2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szCs w:val="24"/>
        </w:rPr>
        <w:t>Eversource doesn’t currently have a list of approved devices, but some are under review</w:t>
      </w:r>
    </w:p>
    <w:p w14:paraId="6C4175F1" w14:textId="187EFD4D" w:rsidR="00A7057F" w:rsidRPr="00103775" w:rsidRDefault="006C5B2F" w:rsidP="00A7057F">
      <w:pPr>
        <w:pStyle w:val="ListParagraph"/>
        <w:numPr>
          <w:ilvl w:val="1"/>
          <w:numId w:val="21"/>
        </w:numPr>
        <w:jc w:val="both"/>
        <w:rPr>
          <w:rFonts w:cs="Arial"/>
          <w:bCs/>
          <w:szCs w:val="24"/>
        </w:rPr>
      </w:pPr>
      <w:r w:rsidRPr="00103775">
        <w:rPr>
          <w:rFonts w:cs="Arial"/>
          <w:bCs/>
          <w:szCs w:val="24"/>
        </w:rPr>
        <w:t xml:space="preserve">Export window </w:t>
      </w:r>
      <w:r w:rsidR="00255DC5" w:rsidRPr="00103775">
        <w:rPr>
          <w:rFonts w:cs="Arial"/>
          <w:bCs/>
          <w:szCs w:val="24"/>
        </w:rPr>
        <w:t xml:space="preserve">for program </w:t>
      </w:r>
      <w:r w:rsidRPr="00103775">
        <w:rPr>
          <w:rFonts w:cs="Arial"/>
          <w:bCs/>
          <w:szCs w:val="24"/>
        </w:rPr>
        <w:t>needs to be reevaluated annually, since demand may shift (DERMS/AMI may also affect how energy dispatch is controlled)</w:t>
      </w:r>
      <w:r w:rsidR="007D30C9">
        <w:rPr>
          <w:rFonts w:cs="Arial"/>
          <w:bCs/>
          <w:szCs w:val="24"/>
        </w:rPr>
        <w:t xml:space="preserve">; current passive dispatch window is set to run from 1500 to 2000 (3-8pm) hours. </w:t>
      </w:r>
    </w:p>
    <w:p w14:paraId="1E13ACA4" w14:textId="73AB0401" w:rsidR="00C73E26" w:rsidRPr="00103775" w:rsidRDefault="007D30C9" w:rsidP="00A7057F">
      <w:pPr>
        <w:pStyle w:val="ListParagraph"/>
        <w:numPr>
          <w:ilvl w:val="1"/>
          <w:numId w:val="2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Ideally, </w:t>
      </w:r>
      <w:r w:rsidR="00C73E26" w:rsidRPr="00103775">
        <w:rPr>
          <w:rFonts w:cs="Arial"/>
          <w:bCs/>
          <w:szCs w:val="24"/>
        </w:rPr>
        <w:t>Eversource would prefer battery storage program to target certain circuits</w:t>
      </w:r>
      <w:r>
        <w:rPr>
          <w:rFonts w:cs="Arial"/>
          <w:bCs/>
          <w:szCs w:val="24"/>
        </w:rPr>
        <w:t xml:space="preserve"> where dispatch would have positive effects</w:t>
      </w:r>
      <w:r w:rsidR="00C73E26" w:rsidRPr="00103775">
        <w:rPr>
          <w:rFonts w:cs="Arial"/>
          <w:bCs/>
          <w:szCs w:val="24"/>
        </w:rPr>
        <w:t xml:space="preserve"> (to be published in HCA and storage docket that indicates what circuits would not be impacted)</w:t>
      </w:r>
    </w:p>
    <w:p w14:paraId="1F8AB2E5" w14:textId="5B4808A9" w:rsidR="00C73E26" w:rsidRPr="00103775" w:rsidRDefault="00C73E26" w:rsidP="00A7057F">
      <w:pPr>
        <w:pStyle w:val="ListParagraph"/>
        <w:numPr>
          <w:ilvl w:val="1"/>
          <w:numId w:val="21"/>
        </w:numPr>
        <w:jc w:val="both"/>
        <w:rPr>
          <w:rFonts w:cs="Arial"/>
          <w:bCs/>
          <w:szCs w:val="24"/>
        </w:rPr>
      </w:pPr>
      <w:r w:rsidRPr="00103775">
        <w:rPr>
          <w:rFonts w:cs="Arial"/>
          <w:bCs/>
          <w:szCs w:val="24"/>
        </w:rPr>
        <w:t>Battery storage program from CT Green Bank will first be targeting existing solar customers</w:t>
      </w:r>
    </w:p>
    <w:p w14:paraId="75811DFF" w14:textId="4098B648" w:rsidR="00C73E26" w:rsidRPr="00103775" w:rsidRDefault="00255DC5" w:rsidP="00A7057F">
      <w:pPr>
        <w:pStyle w:val="ListParagraph"/>
        <w:numPr>
          <w:ilvl w:val="1"/>
          <w:numId w:val="21"/>
        </w:numPr>
        <w:jc w:val="both"/>
        <w:rPr>
          <w:rFonts w:cs="Arial"/>
          <w:bCs/>
          <w:szCs w:val="24"/>
        </w:rPr>
      </w:pPr>
      <w:r w:rsidRPr="00103775">
        <w:rPr>
          <w:rFonts w:cs="Arial"/>
          <w:bCs/>
          <w:szCs w:val="24"/>
        </w:rPr>
        <w:t>Discussion on p</w:t>
      </w:r>
      <w:r w:rsidR="00C73E26" w:rsidRPr="00103775">
        <w:rPr>
          <w:rFonts w:cs="Arial"/>
          <w:bCs/>
          <w:szCs w:val="24"/>
        </w:rPr>
        <w:t>otential scenario of customer who want</w:t>
      </w:r>
      <w:r w:rsidRPr="00103775">
        <w:rPr>
          <w:rFonts w:cs="Arial"/>
          <w:bCs/>
          <w:szCs w:val="24"/>
        </w:rPr>
        <w:t>s</w:t>
      </w:r>
      <w:r w:rsidR="00C73E26" w:rsidRPr="00103775">
        <w:rPr>
          <w:rFonts w:cs="Arial"/>
          <w:bCs/>
          <w:szCs w:val="24"/>
        </w:rPr>
        <w:t xml:space="preserve"> to use PV with battery storage:</w:t>
      </w:r>
    </w:p>
    <w:p w14:paraId="00E12646" w14:textId="275FFE28" w:rsidR="00383349" w:rsidRDefault="00C73E26" w:rsidP="00C73E26">
      <w:pPr>
        <w:pStyle w:val="ListParagraph"/>
        <w:numPr>
          <w:ilvl w:val="2"/>
          <w:numId w:val="21"/>
        </w:numPr>
        <w:jc w:val="both"/>
        <w:rPr>
          <w:rFonts w:cs="Arial"/>
          <w:bCs/>
          <w:szCs w:val="24"/>
        </w:rPr>
      </w:pPr>
      <w:r w:rsidRPr="00103775">
        <w:rPr>
          <w:rFonts w:cs="Arial"/>
          <w:bCs/>
          <w:szCs w:val="24"/>
        </w:rPr>
        <w:t>If battery and PV are not installed at same time, customer can either apply for interconnection of both or one first; potential problem unfolds if customer only applies to first interconnect solar</w:t>
      </w:r>
      <w:r w:rsidR="00255DC5" w:rsidRPr="00103775">
        <w:rPr>
          <w:rFonts w:cs="Arial"/>
          <w:bCs/>
          <w:szCs w:val="24"/>
        </w:rPr>
        <w:t>;</w:t>
      </w:r>
      <w:r w:rsidRPr="00103775">
        <w:rPr>
          <w:rFonts w:cs="Arial"/>
          <w:bCs/>
          <w:szCs w:val="24"/>
        </w:rPr>
        <w:t xml:space="preserve"> if other interconnection applications </w:t>
      </w:r>
      <w:r w:rsidR="002B5E27" w:rsidRPr="00103775">
        <w:rPr>
          <w:rFonts w:cs="Arial"/>
          <w:bCs/>
          <w:szCs w:val="24"/>
        </w:rPr>
        <w:t>come online in the area</w:t>
      </w:r>
      <w:r w:rsidRPr="00103775">
        <w:rPr>
          <w:rFonts w:cs="Arial"/>
          <w:bCs/>
          <w:szCs w:val="24"/>
        </w:rPr>
        <w:t xml:space="preserve">, there is an increased risk of </w:t>
      </w:r>
      <w:r w:rsidR="002B5E27" w:rsidRPr="00103775">
        <w:rPr>
          <w:rFonts w:cs="Arial"/>
          <w:bCs/>
          <w:szCs w:val="24"/>
        </w:rPr>
        <w:t>“</w:t>
      </w:r>
      <w:r w:rsidRPr="00103775">
        <w:rPr>
          <w:rFonts w:cs="Arial"/>
          <w:bCs/>
          <w:szCs w:val="24"/>
        </w:rPr>
        <w:t>triggering</w:t>
      </w:r>
      <w:r w:rsidR="002B5E27" w:rsidRPr="00103775">
        <w:rPr>
          <w:rFonts w:cs="Arial"/>
          <w:bCs/>
          <w:szCs w:val="24"/>
        </w:rPr>
        <w:t>”</w:t>
      </w:r>
      <w:r w:rsidRPr="00103775">
        <w:rPr>
          <w:rFonts w:cs="Arial"/>
          <w:bCs/>
          <w:szCs w:val="24"/>
        </w:rPr>
        <w:t xml:space="preserve"> an upgrade</w:t>
      </w:r>
      <w:r w:rsidR="002B5E27" w:rsidRPr="00103775">
        <w:rPr>
          <w:rFonts w:cs="Arial"/>
          <w:bCs/>
          <w:szCs w:val="24"/>
        </w:rPr>
        <w:t xml:space="preserve"> when the customer later applies for battery storage</w:t>
      </w:r>
      <w:r w:rsidR="00F47293" w:rsidRPr="00103775">
        <w:rPr>
          <w:rFonts w:cs="Arial"/>
          <w:bCs/>
          <w:szCs w:val="24"/>
        </w:rPr>
        <w:t xml:space="preserve">. </w:t>
      </w:r>
    </w:p>
    <w:p w14:paraId="4771F01F" w14:textId="77777777" w:rsidR="00383349" w:rsidRDefault="00F47293" w:rsidP="00C73E26">
      <w:pPr>
        <w:pStyle w:val="ListParagraph"/>
        <w:numPr>
          <w:ilvl w:val="2"/>
          <w:numId w:val="21"/>
        </w:numPr>
        <w:jc w:val="both"/>
        <w:rPr>
          <w:rFonts w:cs="Arial"/>
          <w:bCs/>
          <w:szCs w:val="24"/>
        </w:rPr>
      </w:pPr>
      <w:r w:rsidRPr="00103775">
        <w:rPr>
          <w:rFonts w:cs="Arial"/>
          <w:bCs/>
          <w:szCs w:val="24"/>
        </w:rPr>
        <w:lastRenderedPageBreak/>
        <w:t xml:space="preserve">The dilemma </w:t>
      </w:r>
      <w:r w:rsidR="00383349">
        <w:rPr>
          <w:rFonts w:cs="Arial"/>
          <w:bCs/>
          <w:szCs w:val="24"/>
        </w:rPr>
        <w:t xml:space="preserve">for applicants </w:t>
      </w:r>
      <w:r w:rsidRPr="00103775">
        <w:rPr>
          <w:rFonts w:cs="Arial"/>
          <w:bCs/>
          <w:szCs w:val="24"/>
        </w:rPr>
        <w:t xml:space="preserve">is that </w:t>
      </w:r>
      <w:r w:rsidR="008D1641">
        <w:rPr>
          <w:rFonts w:cs="Arial"/>
          <w:bCs/>
          <w:szCs w:val="24"/>
        </w:rPr>
        <w:t xml:space="preserve">simultaneously applying for </w:t>
      </w:r>
      <w:r w:rsidR="00383349">
        <w:rPr>
          <w:rFonts w:cs="Arial"/>
          <w:bCs/>
          <w:szCs w:val="24"/>
        </w:rPr>
        <w:t>solar</w:t>
      </w:r>
      <w:r w:rsidRPr="00103775">
        <w:rPr>
          <w:rFonts w:cs="Arial"/>
          <w:bCs/>
          <w:szCs w:val="24"/>
        </w:rPr>
        <w:t xml:space="preserve"> plus s</w:t>
      </w:r>
      <w:r w:rsidR="00383349">
        <w:rPr>
          <w:rFonts w:cs="Arial"/>
          <w:bCs/>
          <w:szCs w:val="24"/>
        </w:rPr>
        <w:t>torage</w:t>
      </w:r>
      <w:r w:rsidRPr="00103775">
        <w:rPr>
          <w:rFonts w:cs="Arial"/>
          <w:bCs/>
          <w:szCs w:val="24"/>
        </w:rPr>
        <w:t xml:space="preserve"> might more likely trigger an upgrade</w:t>
      </w:r>
      <w:r w:rsidR="007D30C9">
        <w:rPr>
          <w:rFonts w:cs="Arial"/>
          <w:bCs/>
          <w:szCs w:val="24"/>
        </w:rPr>
        <w:t>, which the customer would have to pay for even though it may take several additional months to install the battery</w:t>
      </w:r>
      <w:r w:rsidRPr="00103775">
        <w:rPr>
          <w:rFonts w:cs="Arial"/>
          <w:bCs/>
          <w:szCs w:val="24"/>
        </w:rPr>
        <w:t>.</w:t>
      </w:r>
      <w:r w:rsidR="007D30C9">
        <w:rPr>
          <w:rFonts w:cs="Arial"/>
          <w:bCs/>
          <w:szCs w:val="24"/>
        </w:rPr>
        <w:t xml:space="preserve">  </w:t>
      </w:r>
      <w:r w:rsidR="00770A31">
        <w:rPr>
          <w:rFonts w:cs="Arial"/>
          <w:bCs/>
          <w:szCs w:val="24"/>
        </w:rPr>
        <w:t>(</w:t>
      </w:r>
      <w:r w:rsidR="007D30C9">
        <w:rPr>
          <w:rFonts w:cs="Arial"/>
          <w:bCs/>
          <w:szCs w:val="24"/>
        </w:rPr>
        <w:t>There is currently a 9-12 month lead time on batteries.</w:t>
      </w:r>
      <w:r w:rsidR="00770A31">
        <w:rPr>
          <w:rFonts w:cs="Arial"/>
          <w:bCs/>
          <w:szCs w:val="24"/>
        </w:rPr>
        <w:t>)</w:t>
      </w:r>
      <w:r w:rsidR="007D30C9">
        <w:rPr>
          <w:rFonts w:cs="Arial"/>
          <w:bCs/>
          <w:szCs w:val="24"/>
        </w:rPr>
        <w:t xml:space="preserve"> </w:t>
      </w:r>
      <w:r w:rsidRPr="00103775">
        <w:rPr>
          <w:rFonts w:cs="Arial"/>
          <w:bCs/>
          <w:szCs w:val="24"/>
        </w:rPr>
        <w:t xml:space="preserve"> </w:t>
      </w:r>
    </w:p>
    <w:p w14:paraId="6D04B137" w14:textId="63AEE41C" w:rsidR="00C73E26" w:rsidRDefault="00F47293" w:rsidP="00C73E26">
      <w:pPr>
        <w:pStyle w:val="ListParagraph"/>
        <w:numPr>
          <w:ilvl w:val="2"/>
          <w:numId w:val="21"/>
        </w:numPr>
        <w:jc w:val="both"/>
        <w:rPr>
          <w:rFonts w:cs="Arial"/>
          <w:bCs/>
          <w:szCs w:val="24"/>
        </w:rPr>
      </w:pPr>
      <w:r w:rsidRPr="00103775">
        <w:rPr>
          <w:rFonts w:cs="Arial"/>
          <w:bCs/>
          <w:szCs w:val="24"/>
        </w:rPr>
        <w:t>If</w:t>
      </w:r>
      <w:r w:rsidR="007D30C9">
        <w:rPr>
          <w:rFonts w:cs="Arial"/>
          <w:bCs/>
          <w:szCs w:val="24"/>
        </w:rPr>
        <w:t xml:space="preserve"> the battery is</w:t>
      </w:r>
      <w:r w:rsidRPr="00103775">
        <w:rPr>
          <w:rFonts w:cs="Arial"/>
          <w:bCs/>
          <w:szCs w:val="24"/>
        </w:rPr>
        <w:t xml:space="preserve"> </w:t>
      </w:r>
      <w:r w:rsidR="007D30C9">
        <w:rPr>
          <w:rFonts w:cs="Arial"/>
          <w:bCs/>
          <w:szCs w:val="24"/>
        </w:rPr>
        <w:t xml:space="preserve">installed in a </w:t>
      </w:r>
      <w:r w:rsidRPr="00103775">
        <w:rPr>
          <w:rFonts w:cs="Arial"/>
          <w:bCs/>
          <w:szCs w:val="24"/>
        </w:rPr>
        <w:t>non-export</w:t>
      </w:r>
      <w:r w:rsidR="007D30C9">
        <w:rPr>
          <w:rFonts w:cs="Arial"/>
          <w:bCs/>
          <w:szCs w:val="24"/>
        </w:rPr>
        <w:t xml:space="preserve"> configuration</w:t>
      </w:r>
      <w:r w:rsidRPr="00103775">
        <w:rPr>
          <w:rFonts w:cs="Arial"/>
          <w:bCs/>
          <w:szCs w:val="24"/>
        </w:rPr>
        <w:t xml:space="preserve"> it doesn’t </w:t>
      </w:r>
      <w:r w:rsidR="007D30C9">
        <w:rPr>
          <w:rFonts w:cs="Arial"/>
          <w:bCs/>
          <w:szCs w:val="24"/>
        </w:rPr>
        <w:t>affect the need for a distribution system</w:t>
      </w:r>
      <w:r w:rsidRPr="00103775">
        <w:rPr>
          <w:rFonts w:cs="Arial"/>
          <w:bCs/>
          <w:szCs w:val="24"/>
        </w:rPr>
        <w:t xml:space="preserve"> upgrade.</w:t>
      </w:r>
    </w:p>
    <w:p w14:paraId="57BABBBC" w14:textId="41909E51" w:rsidR="00282546" w:rsidRPr="00103775" w:rsidRDefault="00F06C93" w:rsidP="00081B26">
      <w:pPr>
        <w:pStyle w:val="ListParagraph"/>
        <w:numPr>
          <w:ilvl w:val="0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szCs w:val="24"/>
        </w:rPr>
        <w:t>Distribution s</w:t>
      </w:r>
      <w:r w:rsidR="00081B26" w:rsidRPr="00103775">
        <w:rPr>
          <w:rFonts w:cs="Arial"/>
          <w:szCs w:val="24"/>
        </w:rPr>
        <w:t>ystem upgrades</w:t>
      </w:r>
    </w:p>
    <w:p w14:paraId="2D3B1E93" w14:textId="4C35B16A" w:rsidR="00081B26" w:rsidRPr="00103775" w:rsidRDefault="00282546" w:rsidP="00282546">
      <w:pPr>
        <w:pStyle w:val="ListParagraph"/>
        <w:numPr>
          <w:ilvl w:val="1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szCs w:val="24"/>
        </w:rPr>
        <w:t>C</w:t>
      </w:r>
      <w:r w:rsidR="00081B26" w:rsidRPr="00103775">
        <w:rPr>
          <w:rFonts w:cs="Arial"/>
          <w:szCs w:val="24"/>
        </w:rPr>
        <w:t xml:space="preserve">an </w:t>
      </w:r>
      <w:r w:rsidR="002A7193" w:rsidRPr="00103775">
        <w:rPr>
          <w:rFonts w:cs="Arial"/>
          <w:szCs w:val="24"/>
        </w:rPr>
        <w:t xml:space="preserve">battery </w:t>
      </w:r>
      <w:r w:rsidR="00081B26" w:rsidRPr="00103775">
        <w:rPr>
          <w:rFonts w:cs="Arial"/>
          <w:szCs w:val="24"/>
        </w:rPr>
        <w:t xml:space="preserve">export settings be modified to mitigate </w:t>
      </w:r>
      <w:r w:rsidR="00F06C93" w:rsidRPr="00103775">
        <w:rPr>
          <w:rFonts w:cs="Arial"/>
          <w:szCs w:val="24"/>
        </w:rPr>
        <w:t xml:space="preserve">the need for </w:t>
      </w:r>
      <w:r w:rsidR="002A7193" w:rsidRPr="00103775">
        <w:rPr>
          <w:rFonts w:cs="Arial"/>
          <w:szCs w:val="24"/>
        </w:rPr>
        <w:t>certain upgrades</w:t>
      </w:r>
      <w:r w:rsidRPr="00103775">
        <w:rPr>
          <w:rFonts w:cs="Arial"/>
          <w:szCs w:val="24"/>
        </w:rPr>
        <w:t>?</w:t>
      </w:r>
    </w:p>
    <w:p w14:paraId="7DEB6E26" w14:textId="6945B44D" w:rsidR="002B5E27" w:rsidRPr="00103775" w:rsidRDefault="002B5E27" w:rsidP="002B5E27">
      <w:pPr>
        <w:pStyle w:val="ListParagraph"/>
        <w:numPr>
          <w:ilvl w:val="2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szCs w:val="24"/>
        </w:rPr>
        <w:t>Eversource is hesitant to do that under present circumstances</w:t>
      </w:r>
    </w:p>
    <w:p w14:paraId="4FDC4823" w14:textId="26686533" w:rsidR="002A7193" w:rsidRDefault="00282546" w:rsidP="00282546">
      <w:pPr>
        <w:pStyle w:val="ListParagraph"/>
        <w:numPr>
          <w:ilvl w:val="0"/>
          <w:numId w:val="21"/>
        </w:numPr>
        <w:jc w:val="both"/>
        <w:rPr>
          <w:rFonts w:cs="Arial"/>
          <w:szCs w:val="24"/>
        </w:rPr>
      </w:pPr>
      <w:r w:rsidRPr="00103775">
        <w:rPr>
          <w:rFonts w:cs="Arial"/>
          <w:szCs w:val="24"/>
        </w:rPr>
        <w:t>Standalone storage – charging, discharging and netting</w:t>
      </w:r>
    </w:p>
    <w:p w14:paraId="0DFF12AC" w14:textId="7888031E" w:rsidR="007D30C9" w:rsidRDefault="007D30C9" w:rsidP="007D30C9">
      <w:pPr>
        <w:pStyle w:val="ListParagraph"/>
        <w:numPr>
          <w:ilvl w:val="1"/>
          <w:numId w:val="21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Non-renewable kW hours are not eligible for net metering; under current tariff structure, sales from a standalone battery would be made under Rate 980</w:t>
      </w:r>
    </w:p>
    <w:p w14:paraId="14EC90A2" w14:textId="10E2DC71" w:rsidR="00770A31" w:rsidRPr="004C34DA" w:rsidRDefault="00770A31" w:rsidP="004C34DA">
      <w:pPr>
        <w:jc w:val="both"/>
        <w:rPr>
          <w:rFonts w:cs="Arial"/>
          <w:b/>
          <w:szCs w:val="24"/>
        </w:rPr>
      </w:pPr>
      <w:r w:rsidRPr="004C34DA">
        <w:rPr>
          <w:rFonts w:cs="Arial"/>
          <w:b/>
          <w:szCs w:val="24"/>
        </w:rPr>
        <w:t>Brief discussion on IEEE-1547 Implementation</w:t>
      </w:r>
    </w:p>
    <w:p w14:paraId="6A2F865B" w14:textId="3B3FA840" w:rsidR="00770A31" w:rsidRPr="00103775" w:rsidRDefault="00770A31" w:rsidP="00770A31">
      <w:pPr>
        <w:pStyle w:val="ListParagraph"/>
        <w:numPr>
          <w:ilvl w:val="1"/>
          <w:numId w:val="21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Plan is to follow recommendations of MA TSRG unless a member of this working group raises concerns with one of the MA proposals or wants to address an area not yet covered by MA.</w:t>
      </w:r>
    </w:p>
    <w:p w14:paraId="6C0E2928" w14:textId="764DE741" w:rsidR="00BA1D64" w:rsidRDefault="00BA1D64" w:rsidP="00126A02">
      <w:pPr>
        <w:jc w:val="both"/>
        <w:rPr>
          <w:rFonts w:cs="Arial"/>
          <w:b/>
          <w:szCs w:val="24"/>
        </w:rPr>
      </w:pPr>
    </w:p>
    <w:p w14:paraId="4AA673C2" w14:textId="6EB3B363" w:rsidR="00FD7B4B" w:rsidRDefault="00FD7B4B" w:rsidP="00126A02">
      <w:pPr>
        <w:jc w:val="both"/>
        <w:rPr>
          <w:rFonts w:cs="Arial"/>
          <w:b/>
          <w:szCs w:val="24"/>
        </w:rPr>
      </w:pPr>
    </w:p>
    <w:p w14:paraId="3EE3C0FD" w14:textId="581F3BA9" w:rsidR="00FF18CF" w:rsidRPr="008E151E" w:rsidRDefault="00FF18CF" w:rsidP="008E151E">
      <w:pPr>
        <w:jc w:val="both"/>
        <w:rPr>
          <w:rFonts w:cs="Arial"/>
          <w:szCs w:val="24"/>
        </w:rPr>
      </w:pPr>
    </w:p>
    <w:p w14:paraId="3DAC83D3" w14:textId="1E4A0321" w:rsidR="004E6C31" w:rsidRDefault="004E6C31" w:rsidP="00126A02">
      <w:pPr>
        <w:jc w:val="both"/>
        <w:rPr>
          <w:rFonts w:cs="Arial"/>
          <w:b/>
          <w:szCs w:val="24"/>
        </w:rPr>
      </w:pPr>
    </w:p>
    <w:p w14:paraId="3244BFFB" w14:textId="77777777" w:rsidR="00336B04" w:rsidRPr="00336B04" w:rsidRDefault="00336B04" w:rsidP="00336B04">
      <w:pPr>
        <w:pStyle w:val="ListParagraph"/>
        <w:jc w:val="both"/>
        <w:rPr>
          <w:rFonts w:cs="Arial"/>
          <w:szCs w:val="24"/>
          <w:u w:val="single"/>
        </w:rPr>
      </w:pPr>
    </w:p>
    <w:sectPr w:rsidR="00336B04" w:rsidRPr="00336B04" w:rsidSect="0067222B">
      <w:footerReference w:type="first" r:id="rId14"/>
      <w:pgSz w:w="12240" w:h="15840" w:code="1"/>
      <w:pgMar w:top="1440" w:right="1440" w:bottom="1440" w:left="1440" w:header="720" w:footer="720" w:gutter="0"/>
      <w:paperSrc w:first="3" w:other="3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EEB9" w14:textId="77777777" w:rsidR="002C5FFD" w:rsidRDefault="002C5FFD" w:rsidP="00327991">
      <w:r>
        <w:separator/>
      </w:r>
    </w:p>
  </w:endnote>
  <w:endnote w:type="continuationSeparator" w:id="0">
    <w:p w14:paraId="676180B4" w14:textId="77777777" w:rsidR="002C5FFD" w:rsidRDefault="002C5FFD" w:rsidP="0032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7418" w14:textId="77777777" w:rsidR="007A3192" w:rsidRPr="0067222B" w:rsidRDefault="007A3192" w:rsidP="00680B7C">
    <w:pPr>
      <w:tabs>
        <w:tab w:val="center" w:pos="4680"/>
        <w:tab w:val="right" w:pos="9360"/>
      </w:tabs>
      <w:jc w:val="center"/>
      <w:rPr>
        <w:rFonts w:ascii="Bodoni MT" w:hAnsi="Bodoni MT" w:cs="AngsanaUPC"/>
        <w:b/>
        <w:color w:val="1F497D"/>
        <w:sz w:val="20"/>
        <w:szCs w:val="20"/>
      </w:rPr>
    </w:pPr>
    <w:r w:rsidRPr="0067222B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14:paraId="5EA571FE" w14:textId="77777777" w:rsidR="007A3192" w:rsidRPr="009200CE" w:rsidRDefault="007A3192" w:rsidP="00680B7C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 w:rsidRPr="009200CE">
      <w:rPr>
        <w:rFonts w:ascii="Bodoni MT" w:hAnsi="Bodoni MT"/>
        <w:color w:val="1F497D"/>
        <w:sz w:val="18"/>
        <w:szCs w:val="18"/>
      </w:rPr>
      <w:t>An Equal Opportunity Employer</w:t>
    </w:r>
  </w:p>
  <w:p w14:paraId="0C12FCBC" w14:textId="77777777" w:rsidR="007A3192" w:rsidRPr="0067222B" w:rsidRDefault="007A3192" w:rsidP="0067222B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8F32B" w14:textId="77777777" w:rsidR="002C5FFD" w:rsidRDefault="002C5FFD" w:rsidP="00327991">
      <w:r>
        <w:separator/>
      </w:r>
    </w:p>
  </w:footnote>
  <w:footnote w:type="continuationSeparator" w:id="0">
    <w:p w14:paraId="0D65EF03" w14:textId="77777777" w:rsidR="002C5FFD" w:rsidRDefault="002C5FFD" w:rsidP="0032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1F26176"/>
    <w:multiLevelType w:val="hybridMultilevel"/>
    <w:tmpl w:val="73ACF2F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36745A3"/>
    <w:multiLevelType w:val="hybridMultilevel"/>
    <w:tmpl w:val="51D4B3B6"/>
    <w:lvl w:ilvl="0" w:tplc="200824C8"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51C4076"/>
    <w:multiLevelType w:val="multilevel"/>
    <w:tmpl w:val="66B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B2321"/>
    <w:multiLevelType w:val="hybridMultilevel"/>
    <w:tmpl w:val="DA7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6C1C"/>
    <w:multiLevelType w:val="hybridMultilevel"/>
    <w:tmpl w:val="8868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27938"/>
    <w:multiLevelType w:val="hybridMultilevel"/>
    <w:tmpl w:val="7C5A0CCE"/>
    <w:lvl w:ilvl="0" w:tplc="281C33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DE3116"/>
    <w:multiLevelType w:val="hybridMultilevel"/>
    <w:tmpl w:val="4AC8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E4430"/>
    <w:multiLevelType w:val="multilevel"/>
    <w:tmpl w:val="44C46ECA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350"/>
        </w:tabs>
        <w:ind w:left="99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505E5E8D"/>
    <w:multiLevelType w:val="hybridMultilevel"/>
    <w:tmpl w:val="1BB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35681"/>
    <w:multiLevelType w:val="hybridMultilevel"/>
    <w:tmpl w:val="D318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A6503"/>
    <w:multiLevelType w:val="hybridMultilevel"/>
    <w:tmpl w:val="D3E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5387C"/>
    <w:multiLevelType w:val="hybridMultilevel"/>
    <w:tmpl w:val="422046FC"/>
    <w:lvl w:ilvl="0" w:tplc="281C33F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8C70ED7"/>
    <w:multiLevelType w:val="multilevel"/>
    <w:tmpl w:val="103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CD5F15"/>
    <w:multiLevelType w:val="multilevel"/>
    <w:tmpl w:val="E1D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607431"/>
    <w:multiLevelType w:val="hybridMultilevel"/>
    <w:tmpl w:val="884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E93"/>
    <w:multiLevelType w:val="hybridMultilevel"/>
    <w:tmpl w:val="F83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41CFD"/>
    <w:multiLevelType w:val="hybridMultilevel"/>
    <w:tmpl w:val="ECD06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76848"/>
    <w:multiLevelType w:val="hybridMultilevel"/>
    <w:tmpl w:val="9BF8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2645"/>
    <w:multiLevelType w:val="hybridMultilevel"/>
    <w:tmpl w:val="C8D2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7"/>
  </w:num>
  <w:num w:numId="4">
    <w:abstractNumId w:val="6"/>
  </w:num>
  <w:num w:numId="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>
    <w:abstractNumId w:val="7"/>
  </w:num>
  <w:num w:numId="7">
    <w:abstractNumId w:val="19"/>
  </w:num>
  <w:num w:numId="8">
    <w:abstractNumId w:val="4"/>
  </w:num>
  <w:num w:numId="9">
    <w:abstractNumId w:val="11"/>
  </w:num>
  <w:num w:numId="10">
    <w:abstractNumId w:val="10"/>
  </w:num>
  <w:num w:numId="11">
    <w:abstractNumId w:val="18"/>
  </w:num>
  <w:num w:numId="12">
    <w:abstractNumId w:val="16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15"/>
  </w:num>
  <w:num w:numId="18">
    <w:abstractNumId w:val="9"/>
  </w:num>
  <w:num w:numId="19">
    <w:abstractNumId w:val="1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2"/>
    <w:rsid w:val="00004F7C"/>
    <w:rsid w:val="00011B6C"/>
    <w:rsid w:val="00016489"/>
    <w:rsid w:val="00030F6A"/>
    <w:rsid w:val="0004217E"/>
    <w:rsid w:val="000756BF"/>
    <w:rsid w:val="000773DA"/>
    <w:rsid w:val="000801B8"/>
    <w:rsid w:val="00081B26"/>
    <w:rsid w:val="00083166"/>
    <w:rsid w:val="00084364"/>
    <w:rsid w:val="00093D63"/>
    <w:rsid w:val="000A613A"/>
    <w:rsid w:val="000A77D2"/>
    <w:rsid w:val="000B5E67"/>
    <w:rsid w:val="000D58E6"/>
    <w:rsid w:val="000E54CF"/>
    <w:rsid w:val="00100ADE"/>
    <w:rsid w:val="0010296C"/>
    <w:rsid w:val="00103775"/>
    <w:rsid w:val="0011108E"/>
    <w:rsid w:val="001140C0"/>
    <w:rsid w:val="00116DE4"/>
    <w:rsid w:val="00124B5C"/>
    <w:rsid w:val="00126A02"/>
    <w:rsid w:val="00132E6C"/>
    <w:rsid w:val="00134972"/>
    <w:rsid w:val="00141745"/>
    <w:rsid w:val="00151031"/>
    <w:rsid w:val="00152A4A"/>
    <w:rsid w:val="00156E59"/>
    <w:rsid w:val="00165354"/>
    <w:rsid w:val="00166334"/>
    <w:rsid w:val="0016637C"/>
    <w:rsid w:val="0018405E"/>
    <w:rsid w:val="001840EA"/>
    <w:rsid w:val="001A1782"/>
    <w:rsid w:val="001A2A63"/>
    <w:rsid w:val="001A534F"/>
    <w:rsid w:val="001A5AB8"/>
    <w:rsid w:val="001B6D95"/>
    <w:rsid w:val="001B7D77"/>
    <w:rsid w:val="001C6AA1"/>
    <w:rsid w:val="001E12AB"/>
    <w:rsid w:val="001E7BF2"/>
    <w:rsid w:val="001F2792"/>
    <w:rsid w:val="00201472"/>
    <w:rsid w:val="00255DC5"/>
    <w:rsid w:val="00280AC2"/>
    <w:rsid w:val="00282546"/>
    <w:rsid w:val="0028491F"/>
    <w:rsid w:val="002A0AB9"/>
    <w:rsid w:val="002A6F77"/>
    <w:rsid w:val="002A7193"/>
    <w:rsid w:val="002B25E0"/>
    <w:rsid w:val="002B5E27"/>
    <w:rsid w:val="002B6CAE"/>
    <w:rsid w:val="002C267A"/>
    <w:rsid w:val="002C5FFD"/>
    <w:rsid w:val="002D1E9B"/>
    <w:rsid w:val="002D2E71"/>
    <w:rsid w:val="002E1D3C"/>
    <w:rsid w:val="002F6A85"/>
    <w:rsid w:val="00325A95"/>
    <w:rsid w:val="00327991"/>
    <w:rsid w:val="00331438"/>
    <w:rsid w:val="00335923"/>
    <w:rsid w:val="00336B04"/>
    <w:rsid w:val="00337AEA"/>
    <w:rsid w:val="0034500B"/>
    <w:rsid w:val="00346B97"/>
    <w:rsid w:val="003506F4"/>
    <w:rsid w:val="00351CE5"/>
    <w:rsid w:val="00353B8D"/>
    <w:rsid w:val="00354FA1"/>
    <w:rsid w:val="00354FF0"/>
    <w:rsid w:val="003561F1"/>
    <w:rsid w:val="00356939"/>
    <w:rsid w:val="00365121"/>
    <w:rsid w:val="00376609"/>
    <w:rsid w:val="00383349"/>
    <w:rsid w:val="00383F95"/>
    <w:rsid w:val="00384372"/>
    <w:rsid w:val="00397B63"/>
    <w:rsid w:val="003A094D"/>
    <w:rsid w:val="003A18CB"/>
    <w:rsid w:val="003A7383"/>
    <w:rsid w:val="003B0613"/>
    <w:rsid w:val="003B425F"/>
    <w:rsid w:val="003C2E7E"/>
    <w:rsid w:val="003D0D0E"/>
    <w:rsid w:val="00426E4D"/>
    <w:rsid w:val="00434A1B"/>
    <w:rsid w:val="0043679C"/>
    <w:rsid w:val="004408CB"/>
    <w:rsid w:val="00440FF7"/>
    <w:rsid w:val="004A1200"/>
    <w:rsid w:val="004B5283"/>
    <w:rsid w:val="004C0DF5"/>
    <w:rsid w:val="004C34DA"/>
    <w:rsid w:val="004C4771"/>
    <w:rsid w:val="004D1AFF"/>
    <w:rsid w:val="004E15E0"/>
    <w:rsid w:val="004E35C6"/>
    <w:rsid w:val="004E67C1"/>
    <w:rsid w:val="004E6C31"/>
    <w:rsid w:val="004E75FF"/>
    <w:rsid w:val="004F4298"/>
    <w:rsid w:val="004F6183"/>
    <w:rsid w:val="005046D3"/>
    <w:rsid w:val="00506BA3"/>
    <w:rsid w:val="00540C90"/>
    <w:rsid w:val="00552D3F"/>
    <w:rsid w:val="0055444A"/>
    <w:rsid w:val="0056049A"/>
    <w:rsid w:val="005637FB"/>
    <w:rsid w:val="005653A2"/>
    <w:rsid w:val="00576A79"/>
    <w:rsid w:val="00577D4C"/>
    <w:rsid w:val="0058123A"/>
    <w:rsid w:val="00593B8B"/>
    <w:rsid w:val="005A29A0"/>
    <w:rsid w:val="005A2DDB"/>
    <w:rsid w:val="005A7669"/>
    <w:rsid w:val="005B7A46"/>
    <w:rsid w:val="005C670B"/>
    <w:rsid w:val="005D76C6"/>
    <w:rsid w:val="005E29EF"/>
    <w:rsid w:val="005E599B"/>
    <w:rsid w:val="005F0251"/>
    <w:rsid w:val="005F2F6F"/>
    <w:rsid w:val="005F3C90"/>
    <w:rsid w:val="005F7A09"/>
    <w:rsid w:val="00605397"/>
    <w:rsid w:val="006274EC"/>
    <w:rsid w:val="00631E03"/>
    <w:rsid w:val="00643D71"/>
    <w:rsid w:val="00644830"/>
    <w:rsid w:val="006456CE"/>
    <w:rsid w:val="00664F63"/>
    <w:rsid w:val="00670A31"/>
    <w:rsid w:val="00671846"/>
    <w:rsid w:val="0067222B"/>
    <w:rsid w:val="00676F0E"/>
    <w:rsid w:val="00677719"/>
    <w:rsid w:val="00680B7C"/>
    <w:rsid w:val="00681341"/>
    <w:rsid w:val="00681487"/>
    <w:rsid w:val="006817FF"/>
    <w:rsid w:val="00687235"/>
    <w:rsid w:val="00691508"/>
    <w:rsid w:val="0069356B"/>
    <w:rsid w:val="00695AFC"/>
    <w:rsid w:val="006A1AEB"/>
    <w:rsid w:val="006A1E14"/>
    <w:rsid w:val="006A28F0"/>
    <w:rsid w:val="006A5563"/>
    <w:rsid w:val="006A798C"/>
    <w:rsid w:val="006B67EE"/>
    <w:rsid w:val="006C5B2F"/>
    <w:rsid w:val="006C7FDA"/>
    <w:rsid w:val="006E2647"/>
    <w:rsid w:val="006E2CF3"/>
    <w:rsid w:val="006F1E1D"/>
    <w:rsid w:val="006F5C1D"/>
    <w:rsid w:val="007338BA"/>
    <w:rsid w:val="00737564"/>
    <w:rsid w:val="00737C20"/>
    <w:rsid w:val="00737EF8"/>
    <w:rsid w:val="007406B8"/>
    <w:rsid w:val="00754D1A"/>
    <w:rsid w:val="00770A31"/>
    <w:rsid w:val="00780B5A"/>
    <w:rsid w:val="007825DB"/>
    <w:rsid w:val="0078501F"/>
    <w:rsid w:val="00796042"/>
    <w:rsid w:val="007A3192"/>
    <w:rsid w:val="007A4C07"/>
    <w:rsid w:val="007A63CC"/>
    <w:rsid w:val="007A6439"/>
    <w:rsid w:val="007B2F17"/>
    <w:rsid w:val="007C2627"/>
    <w:rsid w:val="007C5B8A"/>
    <w:rsid w:val="007C7898"/>
    <w:rsid w:val="007C7AA7"/>
    <w:rsid w:val="007D30C9"/>
    <w:rsid w:val="007D51DD"/>
    <w:rsid w:val="007E0A18"/>
    <w:rsid w:val="007E221A"/>
    <w:rsid w:val="007E36E2"/>
    <w:rsid w:val="00803E2C"/>
    <w:rsid w:val="00807ED6"/>
    <w:rsid w:val="00810E21"/>
    <w:rsid w:val="0081277D"/>
    <w:rsid w:val="008248D3"/>
    <w:rsid w:val="00834BCC"/>
    <w:rsid w:val="0084017E"/>
    <w:rsid w:val="008417F4"/>
    <w:rsid w:val="008620BA"/>
    <w:rsid w:val="00867BC1"/>
    <w:rsid w:val="00875237"/>
    <w:rsid w:val="00882F45"/>
    <w:rsid w:val="00886E8F"/>
    <w:rsid w:val="00895934"/>
    <w:rsid w:val="008A3873"/>
    <w:rsid w:val="008A402F"/>
    <w:rsid w:val="008B204E"/>
    <w:rsid w:val="008B38F9"/>
    <w:rsid w:val="008C7F73"/>
    <w:rsid w:val="008D1641"/>
    <w:rsid w:val="008D7E56"/>
    <w:rsid w:val="008E151E"/>
    <w:rsid w:val="00900BC8"/>
    <w:rsid w:val="00913981"/>
    <w:rsid w:val="00913C44"/>
    <w:rsid w:val="009200CE"/>
    <w:rsid w:val="009232E1"/>
    <w:rsid w:val="0092597C"/>
    <w:rsid w:val="00927F0C"/>
    <w:rsid w:val="00936856"/>
    <w:rsid w:val="00941C1F"/>
    <w:rsid w:val="00951FE4"/>
    <w:rsid w:val="00953080"/>
    <w:rsid w:val="009546C2"/>
    <w:rsid w:val="00975AC5"/>
    <w:rsid w:val="00982FCB"/>
    <w:rsid w:val="00983C3E"/>
    <w:rsid w:val="00990E84"/>
    <w:rsid w:val="009971A8"/>
    <w:rsid w:val="009A6920"/>
    <w:rsid w:val="009B64F1"/>
    <w:rsid w:val="009D4730"/>
    <w:rsid w:val="009E3479"/>
    <w:rsid w:val="00A07C1A"/>
    <w:rsid w:val="00A14AB3"/>
    <w:rsid w:val="00A1797B"/>
    <w:rsid w:val="00A24230"/>
    <w:rsid w:val="00A417E6"/>
    <w:rsid w:val="00A4266A"/>
    <w:rsid w:val="00A7057F"/>
    <w:rsid w:val="00A70EAE"/>
    <w:rsid w:val="00A82579"/>
    <w:rsid w:val="00A86777"/>
    <w:rsid w:val="00AD3F46"/>
    <w:rsid w:val="00AD51B3"/>
    <w:rsid w:val="00AE7C0B"/>
    <w:rsid w:val="00AF26CB"/>
    <w:rsid w:val="00B00091"/>
    <w:rsid w:val="00B05EFD"/>
    <w:rsid w:val="00B13BBB"/>
    <w:rsid w:val="00B26312"/>
    <w:rsid w:val="00B305D4"/>
    <w:rsid w:val="00B40579"/>
    <w:rsid w:val="00B4124C"/>
    <w:rsid w:val="00B426F2"/>
    <w:rsid w:val="00B535DD"/>
    <w:rsid w:val="00B53F4A"/>
    <w:rsid w:val="00B72787"/>
    <w:rsid w:val="00B9109F"/>
    <w:rsid w:val="00BA1D64"/>
    <w:rsid w:val="00BA27DD"/>
    <w:rsid w:val="00BA74F2"/>
    <w:rsid w:val="00BB2CC7"/>
    <w:rsid w:val="00BC6E56"/>
    <w:rsid w:val="00BC7227"/>
    <w:rsid w:val="00BC79CE"/>
    <w:rsid w:val="00BD4DEB"/>
    <w:rsid w:val="00BE1A70"/>
    <w:rsid w:val="00BE2076"/>
    <w:rsid w:val="00BF0AAC"/>
    <w:rsid w:val="00C136DC"/>
    <w:rsid w:val="00C300B5"/>
    <w:rsid w:val="00C373A2"/>
    <w:rsid w:val="00C4198A"/>
    <w:rsid w:val="00C442C2"/>
    <w:rsid w:val="00C53C24"/>
    <w:rsid w:val="00C5773E"/>
    <w:rsid w:val="00C60889"/>
    <w:rsid w:val="00C7111C"/>
    <w:rsid w:val="00C73CE7"/>
    <w:rsid w:val="00C73E26"/>
    <w:rsid w:val="00C7727B"/>
    <w:rsid w:val="00C83075"/>
    <w:rsid w:val="00CA1F38"/>
    <w:rsid w:val="00CA22C5"/>
    <w:rsid w:val="00CA3986"/>
    <w:rsid w:val="00CD5159"/>
    <w:rsid w:val="00CF1F3F"/>
    <w:rsid w:val="00CF667B"/>
    <w:rsid w:val="00D006F6"/>
    <w:rsid w:val="00D21D01"/>
    <w:rsid w:val="00D27733"/>
    <w:rsid w:val="00D3222C"/>
    <w:rsid w:val="00D4046E"/>
    <w:rsid w:val="00D460F6"/>
    <w:rsid w:val="00D64765"/>
    <w:rsid w:val="00D85A3A"/>
    <w:rsid w:val="00D85E39"/>
    <w:rsid w:val="00D86EA9"/>
    <w:rsid w:val="00D969F3"/>
    <w:rsid w:val="00DA2309"/>
    <w:rsid w:val="00DB448B"/>
    <w:rsid w:val="00DC68AF"/>
    <w:rsid w:val="00DC6D40"/>
    <w:rsid w:val="00DD1059"/>
    <w:rsid w:val="00DD735D"/>
    <w:rsid w:val="00DE0E38"/>
    <w:rsid w:val="00DF5F8D"/>
    <w:rsid w:val="00DF7EF5"/>
    <w:rsid w:val="00E048E2"/>
    <w:rsid w:val="00E04E83"/>
    <w:rsid w:val="00E05B48"/>
    <w:rsid w:val="00E2447C"/>
    <w:rsid w:val="00E306C8"/>
    <w:rsid w:val="00E553DF"/>
    <w:rsid w:val="00E6086B"/>
    <w:rsid w:val="00E70117"/>
    <w:rsid w:val="00E873AE"/>
    <w:rsid w:val="00E91AA6"/>
    <w:rsid w:val="00E95DDC"/>
    <w:rsid w:val="00E970D1"/>
    <w:rsid w:val="00EA0ECC"/>
    <w:rsid w:val="00EA6F0E"/>
    <w:rsid w:val="00EC0D27"/>
    <w:rsid w:val="00EC0DF7"/>
    <w:rsid w:val="00EC103F"/>
    <w:rsid w:val="00EC295A"/>
    <w:rsid w:val="00EC7A55"/>
    <w:rsid w:val="00ED0239"/>
    <w:rsid w:val="00EF40C8"/>
    <w:rsid w:val="00EF79FB"/>
    <w:rsid w:val="00F06C93"/>
    <w:rsid w:val="00F10EFF"/>
    <w:rsid w:val="00F302A9"/>
    <w:rsid w:val="00F32FE2"/>
    <w:rsid w:val="00F45502"/>
    <w:rsid w:val="00F47293"/>
    <w:rsid w:val="00F72437"/>
    <w:rsid w:val="00F74194"/>
    <w:rsid w:val="00F93AE5"/>
    <w:rsid w:val="00F94511"/>
    <w:rsid w:val="00F960B5"/>
    <w:rsid w:val="00FB0E70"/>
    <w:rsid w:val="00FB1867"/>
    <w:rsid w:val="00FB6A85"/>
    <w:rsid w:val="00FB7E2D"/>
    <w:rsid w:val="00FC4404"/>
    <w:rsid w:val="00FC77A5"/>
    <w:rsid w:val="00FD7B4B"/>
    <w:rsid w:val="00FF18CF"/>
    <w:rsid w:val="01845703"/>
    <w:rsid w:val="1C498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5E9B5"/>
  <w15:docId w15:val="{5CBD79A3-63F9-47D3-88A7-E879085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0C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6489"/>
    <w:pPr>
      <w:numPr>
        <w:numId w:val="1"/>
      </w:numPr>
      <w:tabs>
        <w:tab w:val="left" w:pos="720"/>
      </w:tabs>
      <w:jc w:val="both"/>
      <w:outlineLvl w:val="0"/>
    </w:pPr>
    <w:rPr>
      <w:rFonts w:eastAsia="Times New Roman"/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016489"/>
    <w:pPr>
      <w:numPr>
        <w:ilvl w:val="1"/>
        <w:numId w:val="1"/>
      </w:numPr>
      <w:tabs>
        <w:tab w:val="left" w:pos="720"/>
      </w:tabs>
      <w:jc w:val="both"/>
      <w:outlineLvl w:val="1"/>
    </w:pPr>
    <w:rPr>
      <w:rFonts w:eastAsia="Times New Roman"/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016489"/>
    <w:pPr>
      <w:numPr>
        <w:ilvl w:val="2"/>
        <w:numId w:val="1"/>
      </w:numPr>
      <w:tabs>
        <w:tab w:val="left" w:pos="720"/>
      </w:tabs>
      <w:jc w:val="both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6489"/>
    <w:pPr>
      <w:numPr>
        <w:ilvl w:val="3"/>
        <w:numId w:val="1"/>
      </w:numPr>
      <w:tabs>
        <w:tab w:val="left" w:pos="720"/>
      </w:tabs>
      <w:jc w:val="both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16489"/>
    <w:pPr>
      <w:numPr>
        <w:ilvl w:val="4"/>
        <w:numId w:val="1"/>
      </w:numPr>
      <w:tabs>
        <w:tab w:val="left" w:pos="720"/>
      </w:tabs>
      <w:jc w:val="both"/>
      <w:outlineLvl w:val="4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99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991"/>
    <w:rPr>
      <w:rFonts w:ascii="Arial" w:hAnsi="Arial"/>
      <w:sz w:val="24"/>
    </w:rPr>
  </w:style>
  <w:style w:type="character" w:styleId="Hyperlink">
    <w:name w:val="Hyperlink"/>
    <w:uiPriority w:val="99"/>
    <w:unhideWhenUsed/>
    <w:rsid w:val="003279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4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6489"/>
    <w:rPr>
      <w:rFonts w:ascii="Arial" w:hAnsi="Arial"/>
    </w:rPr>
  </w:style>
  <w:style w:type="character" w:customStyle="1" w:styleId="Heading1Char">
    <w:name w:val="Heading 1 Char"/>
    <w:link w:val="Heading1"/>
    <w:rsid w:val="00016489"/>
    <w:rPr>
      <w:rFonts w:ascii="Arial" w:eastAsia="Times New Roman" w:hAnsi="Arial"/>
      <w:b/>
      <w:caps/>
      <w:sz w:val="24"/>
    </w:rPr>
  </w:style>
  <w:style w:type="character" w:customStyle="1" w:styleId="Heading2Char">
    <w:name w:val="Heading 2 Char"/>
    <w:link w:val="Heading2"/>
    <w:rsid w:val="00016489"/>
    <w:rPr>
      <w:rFonts w:ascii="Arial" w:eastAsia="Times New Roman" w:hAnsi="Arial"/>
      <w:b/>
      <w:smallCaps/>
      <w:sz w:val="24"/>
    </w:rPr>
  </w:style>
  <w:style w:type="character" w:customStyle="1" w:styleId="Heading3Char">
    <w:name w:val="Heading 3 Char"/>
    <w:link w:val="Heading3"/>
    <w:rsid w:val="00016489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rsid w:val="0001648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rsid w:val="00016489"/>
    <w:rPr>
      <w:rFonts w:ascii="Arial" w:eastAsia="Times New Roman" w:hAnsi="Arial"/>
      <w:b/>
      <w:sz w:val="24"/>
    </w:rPr>
  </w:style>
  <w:style w:type="character" w:styleId="FootnoteReference">
    <w:name w:val="footnote reference"/>
    <w:semiHidden/>
    <w:rsid w:val="00016489"/>
    <w:rPr>
      <w:rFonts w:ascii="Arial" w:hAnsi="Arial"/>
      <w:position w:val="6"/>
      <w:sz w:val="16"/>
    </w:rPr>
  </w:style>
  <w:style w:type="numbering" w:customStyle="1" w:styleId="Decision">
    <w:name w:val="Decision"/>
    <w:rsid w:val="0001648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79C"/>
    <w:rPr>
      <w:rFonts w:ascii="Arial" w:hAnsi="Arial"/>
      <w:sz w:val="24"/>
      <w:szCs w:val="22"/>
    </w:rPr>
  </w:style>
  <w:style w:type="paragraph" w:styleId="Title">
    <w:name w:val="Title"/>
    <w:basedOn w:val="Normal"/>
    <w:link w:val="TitleChar"/>
    <w:qFormat/>
    <w:rsid w:val="00152A4A"/>
    <w:pPr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152A4A"/>
    <w:rPr>
      <w:rFonts w:ascii="Arial" w:eastAsia="Times New Roman" w:hAnsi="Arial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126A02"/>
    <w:pPr>
      <w:ind w:left="720"/>
      <w:contextualSpacing/>
    </w:pPr>
    <w:rPr>
      <w:rFonts w:eastAsiaTheme="minorHAnsi" w:cstheme="minorBidi"/>
    </w:rPr>
  </w:style>
  <w:style w:type="paragraph" w:customStyle="1" w:styleId="Quick1">
    <w:name w:val="Quick 1."/>
    <w:basedOn w:val="Normal"/>
    <w:rsid w:val="00126A02"/>
    <w:pPr>
      <w:widowControl w:val="0"/>
      <w:numPr>
        <w:numId w:val="5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B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798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6A798C"/>
  </w:style>
  <w:style w:type="character" w:customStyle="1" w:styleId="spellingerror">
    <w:name w:val="spellingerror"/>
    <w:basedOn w:val="DefaultParagraphFont"/>
    <w:rsid w:val="006A798C"/>
  </w:style>
  <w:style w:type="character" w:customStyle="1" w:styleId="eop">
    <w:name w:val="eop"/>
    <w:basedOn w:val="DefaultParagraphFont"/>
    <w:rsid w:val="006A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NzBjOGIyNTEtMTlkNi00NzcwLWIzYWQtNDJiNjBmZWNjYWNl%40thread.v2/0?context=%7b%22Tid%22%3a%22118b7cfa-a3dd-48b9-b026-31ff69bb738b%22%2c%22Oid%22%3a%227b76f256-8082-43d7-9e39-e140c20fe073%22%7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50D960BD17A4C84C378FF478A2E91" ma:contentTypeVersion="2" ma:contentTypeDescription="Create a new document." ma:contentTypeScope="" ma:versionID="d36cbb0918f989ee8cf01a3077da76ed">
  <xsd:schema xmlns:xsd="http://www.w3.org/2001/XMLSchema" xmlns:xs="http://www.w3.org/2001/XMLSchema" xmlns:p="http://schemas.microsoft.com/office/2006/metadata/properties" xmlns:ns3="01d178fc-aace-4d06-8b61-57daa5c7bca1" targetNamespace="http://schemas.microsoft.com/office/2006/metadata/properties" ma:root="true" ma:fieldsID="05de3dd1af2d854918bb29602b9c45a2" ns3:_="">
    <xsd:import namespace="01d178fc-aace-4d06-8b61-57daa5c7b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78fc-aace-4d06-8b61-57daa5c7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15E2-C1DC-472C-B62E-5473C2BAB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998F5-6D16-4740-A8B3-26C85245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78fc-aace-4d06-8b61-57daa5c7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88983-69C9-4D2D-834B-2CDE7B5E1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B22376-387E-4F96-8AAC-1D83295C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Bergman</dc:creator>
  <cp:lastModifiedBy>Alexander, Zachary</cp:lastModifiedBy>
  <cp:revision>2</cp:revision>
  <cp:lastPrinted>2015-02-26T16:45:00Z</cp:lastPrinted>
  <dcterms:created xsi:type="dcterms:W3CDTF">2021-11-09T14:24:00Z</dcterms:created>
  <dcterms:modified xsi:type="dcterms:W3CDTF">2021-11-09T14:24:00Z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0x0101004A650D960BD17A4C84C378FF478A2E91</vt:lpwstr>
  </property>
</Properties>
</file>