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4B52B" w14:textId="77777777" w:rsidR="00152A4A" w:rsidRDefault="00DC68AF" w:rsidP="002A667B">
      <w:pPr>
        <w:pStyle w:val="Title"/>
        <w:spacing w:line="247" w:lineRule="auto"/>
      </w:pPr>
      <w:r>
        <w:rPr>
          <w:noProof/>
        </w:rPr>
        <mc:AlternateContent>
          <mc:Choice Requires="wps">
            <w:drawing>
              <wp:anchor distT="0" distB="0" distL="114300" distR="114300" simplePos="0" relativeHeight="251657728" behindDoc="0" locked="0" layoutInCell="1" allowOverlap="1" wp14:anchorId="66633B4C" wp14:editId="07E6B9B7">
                <wp:simplePos x="0" y="0"/>
                <wp:positionH relativeFrom="column">
                  <wp:posOffset>-243840</wp:posOffset>
                </wp:positionH>
                <wp:positionV relativeFrom="paragraph">
                  <wp:posOffset>-696595</wp:posOffset>
                </wp:positionV>
                <wp:extent cx="5943600" cy="123698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D365F" w14:textId="77777777" w:rsidR="007A3192" w:rsidRDefault="007A3192" w:rsidP="00152A4A">
                            <w:r>
                              <w:rPr>
                                <w:noProof/>
                              </w:rPr>
                              <w:drawing>
                                <wp:inline distT="0" distB="0" distL="0" distR="0" wp14:anchorId="4F9A05A9" wp14:editId="62D80F04">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633B4C" id="_x0000_t202" coordsize="21600,21600" o:spt="202" path="m,l,21600r21600,l21600,xe">
                <v:stroke joinstyle="miter"/>
                <v:path gradientshapeok="t" o:connecttype="rect"/>
              </v:shapetype>
              <v:shape id="Text Box 6" o:spid="_x0000_s1026" type="#_x0000_t202" style="position:absolute;left:0;text-align:left;margin-left:-19.2pt;margin-top:-54.85pt;width:468pt;height:9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" stroked="f">
                <v:textbox style="mso-fit-shape-to-text:t">
                  <w:txbxContent>
                    <w:p w14:paraId="63DD365F" w14:textId="77777777" w:rsidR="007A3192" w:rsidRDefault="007A3192" w:rsidP="00152A4A">
                      <w:r>
                        <w:rPr>
                          <w:noProof/>
                        </w:rPr>
                        <w:drawing>
                          <wp:inline distT="0" distB="0" distL="0" distR="0" wp14:anchorId="4F9A05A9" wp14:editId="62D80F04">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v:textbox>
              </v:shape>
            </w:pict>
          </mc:Fallback>
        </mc:AlternateContent>
      </w:r>
    </w:p>
    <w:p w14:paraId="2B771A8C" w14:textId="77777777" w:rsidR="007C5B8A" w:rsidRDefault="007C5B8A" w:rsidP="002A667B">
      <w:pPr>
        <w:spacing w:line="247" w:lineRule="auto"/>
        <w:jc w:val="center"/>
        <w:rPr>
          <w:szCs w:val="24"/>
        </w:rPr>
      </w:pPr>
    </w:p>
    <w:p w14:paraId="1342444E" w14:textId="77777777" w:rsidR="00B426F2" w:rsidRPr="002B7ECD" w:rsidRDefault="00B426F2" w:rsidP="002A667B">
      <w:pPr>
        <w:spacing w:line="247" w:lineRule="auto"/>
        <w:jc w:val="center"/>
        <w:rPr>
          <w:szCs w:val="24"/>
        </w:rPr>
      </w:pPr>
    </w:p>
    <w:p w14:paraId="704316D6" w14:textId="77777777" w:rsidR="00B426F2" w:rsidRPr="00B426F2" w:rsidRDefault="00B426F2" w:rsidP="002A667B">
      <w:pPr>
        <w:spacing w:line="247" w:lineRule="auto"/>
        <w:jc w:val="center"/>
        <w:rPr>
          <w:szCs w:val="24"/>
        </w:rPr>
      </w:pPr>
      <w:r w:rsidRPr="00B426F2">
        <w:rPr>
          <w:szCs w:val="24"/>
        </w:rPr>
        <w:t>CONNECTICUT DISTRIBUTED GENERATION TECHNICAL WORKING GROUP</w:t>
      </w:r>
    </w:p>
    <w:p w14:paraId="58CFF9EA" w14:textId="77777777" w:rsidR="00B426F2" w:rsidRDefault="00B426F2" w:rsidP="002A667B">
      <w:pPr>
        <w:spacing w:line="247" w:lineRule="auto"/>
        <w:jc w:val="center"/>
        <w:rPr>
          <w:szCs w:val="24"/>
          <w:u w:val="single"/>
        </w:rPr>
      </w:pPr>
    </w:p>
    <w:p w14:paraId="3DB36EAF" w14:textId="3F025A34" w:rsidR="007C5B8A" w:rsidRPr="002B7ECD" w:rsidRDefault="003A094D" w:rsidP="002A667B">
      <w:pPr>
        <w:spacing w:line="247" w:lineRule="auto"/>
        <w:jc w:val="center"/>
        <w:rPr>
          <w:szCs w:val="24"/>
          <w:u w:val="single"/>
        </w:rPr>
      </w:pPr>
      <w:r>
        <w:rPr>
          <w:szCs w:val="24"/>
          <w:u w:val="single"/>
        </w:rPr>
        <w:t>REGULAR MEETING AGENDA</w:t>
      </w:r>
    </w:p>
    <w:p w14:paraId="27A9FFE6" w14:textId="20005E3F" w:rsidR="007C5B8A" w:rsidRPr="002B7ECD" w:rsidRDefault="0093634B" w:rsidP="002A667B">
      <w:pPr>
        <w:spacing w:line="247" w:lineRule="auto"/>
        <w:jc w:val="center"/>
        <w:rPr>
          <w:szCs w:val="24"/>
        </w:rPr>
      </w:pPr>
      <w:r>
        <w:rPr>
          <w:szCs w:val="24"/>
        </w:rPr>
        <w:t>Wedne</w:t>
      </w:r>
      <w:r w:rsidR="00B40579">
        <w:rPr>
          <w:szCs w:val="24"/>
        </w:rPr>
        <w:t>sday</w:t>
      </w:r>
      <w:r w:rsidR="00B426F2">
        <w:rPr>
          <w:szCs w:val="24"/>
        </w:rPr>
        <w:t xml:space="preserve">, </w:t>
      </w:r>
      <w:r>
        <w:rPr>
          <w:szCs w:val="24"/>
        </w:rPr>
        <w:t>January</w:t>
      </w:r>
      <w:r w:rsidR="00B40579">
        <w:rPr>
          <w:szCs w:val="24"/>
        </w:rPr>
        <w:t xml:space="preserve"> </w:t>
      </w:r>
      <w:r w:rsidR="00282546">
        <w:rPr>
          <w:szCs w:val="24"/>
        </w:rPr>
        <w:t>19</w:t>
      </w:r>
      <w:r w:rsidR="00B426F2" w:rsidRPr="00B426F2">
        <w:rPr>
          <w:szCs w:val="24"/>
        </w:rPr>
        <w:t>, 202</w:t>
      </w:r>
      <w:r>
        <w:rPr>
          <w:szCs w:val="24"/>
        </w:rPr>
        <w:t>2</w:t>
      </w:r>
    </w:p>
    <w:p w14:paraId="3FCAE99B" w14:textId="321373CD" w:rsidR="00126A02" w:rsidRPr="00B426F2" w:rsidRDefault="00126A02" w:rsidP="002A667B">
      <w:pPr>
        <w:spacing w:line="247" w:lineRule="auto"/>
        <w:jc w:val="center"/>
        <w:rPr>
          <w:rFonts w:cs="Arial"/>
          <w:szCs w:val="24"/>
        </w:rPr>
      </w:pPr>
      <w:r w:rsidRPr="00B426F2">
        <w:rPr>
          <w:rFonts w:cs="Arial"/>
          <w:szCs w:val="24"/>
        </w:rPr>
        <w:t xml:space="preserve">9:00 AM – </w:t>
      </w:r>
      <w:r w:rsidR="00255DC5">
        <w:rPr>
          <w:rFonts w:cs="Arial"/>
          <w:szCs w:val="24"/>
        </w:rPr>
        <w:t>1</w:t>
      </w:r>
      <w:r w:rsidR="00604717">
        <w:rPr>
          <w:rFonts w:cs="Arial"/>
          <w:szCs w:val="24"/>
        </w:rPr>
        <w:t>1</w:t>
      </w:r>
      <w:r w:rsidR="00255DC5">
        <w:rPr>
          <w:rFonts w:cs="Arial"/>
          <w:szCs w:val="24"/>
        </w:rPr>
        <w:t>:</w:t>
      </w:r>
      <w:r w:rsidR="00604717">
        <w:rPr>
          <w:rFonts w:cs="Arial"/>
          <w:szCs w:val="24"/>
        </w:rPr>
        <w:t>0</w:t>
      </w:r>
      <w:r w:rsidR="00644830">
        <w:rPr>
          <w:rFonts w:cs="Arial"/>
          <w:szCs w:val="24"/>
        </w:rPr>
        <w:t>0</w:t>
      </w:r>
      <w:r w:rsidRPr="00B426F2">
        <w:rPr>
          <w:rFonts w:cs="Arial"/>
          <w:szCs w:val="24"/>
        </w:rPr>
        <w:t xml:space="preserve"> </w:t>
      </w:r>
      <w:r w:rsidR="00282546">
        <w:rPr>
          <w:rFonts w:cs="Arial"/>
          <w:szCs w:val="24"/>
        </w:rPr>
        <w:t>A</w:t>
      </w:r>
      <w:r w:rsidRPr="00B426F2">
        <w:rPr>
          <w:rFonts w:cs="Arial"/>
          <w:szCs w:val="24"/>
        </w:rPr>
        <w:t>M</w:t>
      </w:r>
    </w:p>
    <w:p w14:paraId="03D58092" w14:textId="1E0B9A2F" w:rsidR="00E553DF" w:rsidRDefault="00346B97" w:rsidP="002A667B">
      <w:pPr>
        <w:pStyle w:val="ListParagraph"/>
        <w:spacing w:line="247" w:lineRule="auto"/>
        <w:ind w:left="0"/>
        <w:jc w:val="center"/>
        <w:rPr>
          <w:rFonts w:cs="Arial"/>
          <w:i/>
          <w:szCs w:val="24"/>
        </w:rPr>
      </w:pPr>
      <w:r>
        <w:rPr>
          <w:rFonts w:cs="Arial"/>
          <w:szCs w:val="24"/>
        </w:rPr>
        <w:t xml:space="preserve">Location: </w:t>
      </w:r>
      <w:r w:rsidRPr="001F368F">
        <w:rPr>
          <w:rFonts w:cs="Arial"/>
          <w:szCs w:val="24"/>
        </w:rPr>
        <w:t>Microsoft Teams</w:t>
      </w:r>
    </w:p>
    <w:p w14:paraId="12263EBE" w14:textId="77777777" w:rsidR="003B425F" w:rsidRPr="00BF0AAC" w:rsidRDefault="003B425F" w:rsidP="002A667B">
      <w:pPr>
        <w:pStyle w:val="ListParagraph"/>
        <w:spacing w:line="247" w:lineRule="auto"/>
        <w:ind w:left="1080"/>
        <w:jc w:val="center"/>
        <w:rPr>
          <w:rFonts w:cs="Arial"/>
          <w:i/>
          <w:szCs w:val="24"/>
        </w:rPr>
      </w:pPr>
    </w:p>
    <w:p w14:paraId="7FDAC00D" w14:textId="10CC5DE9" w:rsidR="00B426F2" w:rsidRDefault="00B426F2" w:rsidP="002A667B">
      <w:pPr>
        <w:spacing w:line="247" w:lineRule="auto"/>
        <w:jc w:val="both"/>
        <w:rPr>
          <w:rFonts w:cs="Arial"/>
          <w:szCs w:val="24"/>
        </w:rPr>
      </w:pPr>
    </w:p>
    <w:p w14:paraId="0281FFB7" w14:textId="6ADB6071" w:rsidR="00A86777" w:rsidRDefault="00126A02" w:rsidP="002A667B">
      <w:pPr>
        <w:spacing w:line="247" w:lineRule="auto"/>
        <w:jc w:val="both"/>
        <w:rPr>
          <w:rFonts w:cs="Arial"/>
          <w:b/>
          <w:szCs w:val="24"/>
        </w:rPr>
      </w:pPr>
      <w:r w:rsidRPr="00B426F2">
        <w:rPr>
          <w:rFonts w:cs="Arial"/>
          <w:b/>
          <w:szCs w:val="24"/>
        </w:rPr>
        <w:t>9:00 AM – 9:</w:t>
      </w:r>
      <w:r w:rsidR="005F0251">
        <w:rPr>
          <w:rFonts w:cs="Arial"/>
          <w:b/>
          <w:szCs w:val="24"/>
        </w:rPr>
        <w:t>0</w:t>
      </w:r>
      <w:r w:rsidRPr="00B426F2">
        <w:rPr>
          <w:rFonts w:cs="Arial"/>
          <w:b/>
          <w:szCs w:val="24"/>
        </w:rPr>
        <w:t>5 AM</w:t>
      </w:r>
      <w:r w:rsidRPr="00B426F2">
        <w:rPr>
          <w:rFonts w:cs="Arial"/>
          <w:b/>
          <w:szCs w:val="24"/>
        </w:rPr>
        <w:tab/>
      </w:r>
      <w:r w:rsidRPr="00B426F2">
        <w:rPr>
          <w:rFonts w:cs="Arial"/>
          <w:b/>
          <w:szCs w:val="24"/>
        </w:rPr>
        <w:tab/>
        <w:t>Introduction</w:t>
      </w:r>
      <w:r w:rsidR="005F0251">
        <w:rPr>
          <w:rFonts w:cs="Arial"/>
          <w:b/>
          <w:szCs w:val="24"/>
        </w:rPr>
        <w:t xml:space="preserve"> and Adoption of Meeting Minutes</w:t>
      </w:r>
    </w:p>
    <w:p w14:paraId="4BF689CE" w14:textId="0EBC5775" w:rsidR="00BF0AAC" w:rsidRPr="003163CD" w:rsidRDefault="00D371DA" w:rsidP="002A667B">
      <w:pPr>
        <w:pStyle w:val="ListParagraph"/>
        <w:numPr>
          <w:ilvl w:val="0"/>
          <w:numId w:val="22"/>
        </w:numPr>
        <w:spacing w:line="247" w:lineRule="auto"/>
        <w:jc w:val="both"/>
        <w:rPr>
          <w:rFonts w:cs="Arial"/>
          <w:b/>
          <w:szCs w:val="24"/>
        </w:rPr>
      </w:pPr>
      <w:r>
        <w:rPr>
          <w:rFonts w:cs="Arial"/>
          <w:szCs w:val="24"/>
        </w:rPr>
        <w:t>Education subcommittee is planning on meeting later this month</w:t>
      </w:r>
    </w:p>
    <w:p w14:paraId="6EE062A9" w14:textId="77777777" w:rsidR="003163CD" w:rsidRDefault="003163CD" w:rsidP="002A667B">
      <w:pPr>
        <w:spacing w:line="247" w:lineRule="auto"/>
        <w:jc w:val="both"/>
        <w:rPr>
          <w:rFonts w:cs="Arial"/>
          <w:b/>
          <w:szCs w:val="24"/>
        </w:rPr>
      </w:pPr>
    </w:p>
    <w:p w14:paraId="43C2E216" w14:textId="74E0461A" w:rsidR="00081B26" w:rsidRDefault="003A35D3" w:rsidP="002A667B">
      <w:pPr>
        <w:spacing w:line="247" w:lineRule="auto"/>
        <w:ind w:left="2880" w:hanging="2880"/>
        <w:jc w:val="both"/>
        <w:rPr>
          <w:rFonts w:cs="Arial"/>
          <w:b/>
          <w:szCs w:val="24"/>
        </w:rPr>
      </w:pPr>
      <w:r>
        <w:rPr>
          <w:rFonts w:cs="Arial"/>
          <w:b/>
          <w:szCs w:val="24"/>
        </w:rPr>
        <w:t>Eversource Demo of Upgraded Hosting Capacity Map</w:t>
      </w:r>
    </w:p>
    <w:p w14:paraId="50FF8A76" w14:textId="0B478852" w:rsidR="00282546" w:rsidRDefault="00CB6FEE" w:rsidP="002A667B">
      <w:pPr>
        <w:pStyle w:val="ListParagraph"/>
        <w:numPr>
          <w:ilvl w:val="0"/>
          <w:numId w:val="21"/>
        </w:numPr>
        <w:spacing w:line="247" w:lineRule="auto"/>
        <w:jc w:val="both"/>
        <w:rPr>
          <w:rFonts w:cs="Arial"/>
          <w:szCs w:val="24"/>
        </w:rPr>
      </w:pPr>
      <w:r>
        <w:rPr>
          <w:rFonts w:cs="Arial"/>
          <w:szCs w:val="24"/>
        </w:rPr>
        <w:t>Eversource presented a demo of its upgraded hosting capacity map (HCM) which is currently in development but is likely to be released in the next few weeks</w:t>
      </w:r>
    </w:p>
    <w:p w14:paraId="022D6FD8" w14:textId="345E1733" w:rsidR="00CB6FEE" w:rsidRDefault="00CB6FEE" w:rsidP="002A667B">
      <w:pPr>
        <w:pStyle w:val="ListParagraph"/>
        <w:numPr>
          <w:ilvl w:val="0"/>
          <w:numId w:val="21"/>
        </w:numPr>
        <w:spacing w:line="247" w:lineRule="auto"/>
        <w:jc w:val="both"/>
        <w:rPr>
          <w:rFonts w:cs="Arial"/>
          <w:szCs w:val="24"/>
        </w:rPr>
      </w:pPr>
      <w:r>
        <w:rPr>
          <w:rFonts w:cs="Arial"/>
          <w:szCs w:val="24"/>
        </w:rPr>
        <w:t>The new HCM has the following features:</w:t>
      </w:r>
    </w:p>
    <w:p w14:paraId="18ACC9DC" w14:textId="0C3F8831" w:rsidR="00CB6FEE" w:rsidRDefault="00CB6FEE" w:rsidP="002A667B">
      <w:pPr>
        <w:pStyle w:val="ListParagraph"/>
        <w:numPr>
          <w:ilvl w:val="1"/>
          <w:numId w:val="21"/>
        </w:numPr>
        <w:spacing w:line="247" w:lineRule="auto"/>
        <w:jc w:val="both"/>
        <w:rPr>
          <w:rFonts w:cs="Arial"/>
          <w:szCs w:val="24"/>
        </w:rPr>
      </w:pPr>
      <w:r>
        <w:rPr>
          <w:rFonts w:cs="Arial"/>
          <w:szCs w:val="24"/>
        </w:rPr>
        <w:t>Shows the changes in capacity on a given circuit as you move farther from the substation</w:t>
      </w:r>
    </w:p>
    <w:p w14:paraId="2414D903" w14:textId="615E7196" w:rsidR="00CB6FEE" w:rsidRDefault="00BF797E" w:rsidP="002A667B">
      <w:pPr>
        <w:pStyle w:val="ListParagraph"/>
        <w:numPr>
          <w:ilvl w:val="1"/>
          <w:numId w:val="21"/>
        </w:numPr>
        <w:spacing w:line="247" w:lineRule="auto"/>
        <w:jc w:val="both"/>
        <w:rPr>
          <w:rFonts w:cs="Arial"/>
          <w:szCs w:val="24"/>
        </w:rPr>
      </w:pPr>
      <w:r>
        <w:rPr>
          <w:rFonts w:cs="Arial"/>
          <w:szCs w:val="24"/>
        </w:rPr>
        <w:t>Added a measurement tool, which can be used to create rough estimates of upgrade costs for existing single phase (assuming $1M per mile)</w:t>
      </w:r>
    </w:p>
    <w:p w14:paraId="442C9001" w14:textId="68B88741" w:rsidR="00BF797E" w:rsidRDefault="00BF797E" w:rsidP="002A667B">
      <w:pPr>
        <w:pStyle w:val="ListParagraph"/>
        <w:numPr>
          <w:ilvl w:val="1"/>
          <w:numId w:val="21"/>
        </w:numPr>
        <w:spacing w:line="247" w:lineRule="auto"/>
        <w:jc w:val="both"/>
        <w:rPr>
          <w:rFonts w:cs="Arial"/>
          <w:szCs w:val="24"/>
        </w:rPr>
      </w:pPr>
      <w:r>
        <w:rPr>
          <w:rFonts w:cs="Arial"/>
          <w:szCs w:val="24"/>
        </w:rPr>
        <w:t>Added overlays: satellite, navigation, etc.</w:t>
      </w:r>
    </w:p>
    <w:p w14:paraId="0A29A8E6" w14:textId="0B3415F4" w:rsidR="00BF797E" w:rsidRDefault="00BF797E" w:rsidP="002A667B">
      <w:pPr>
        <w:pStyle w:val="ListParagraph"/>
        <w:numPr>
          <w:ilvl w:val="1"/>
          <w:numId w:val="21"/>
        </w:numPr>
        <w:spacing w:line="247" w:lineRule="auto"/>
        <w:jc w:val="both"/>
        <w:rPr>
          <w:rFonts w:cs="Arial"/>
          <w:szCs w:val="24"/>
        </w:rPr>
      </w:pPr>
      <w:r>
        <w:rPr>
          <w:rFonts w:cs="Arial"/>
          <w:szCs w:val="24"/>
        </w:rPr>
        <w:t>The new map has 400-500x the information of the prior version</w:t>
      </w:r>
    </w:p>
    <w:p w14:paraId="683AE065" w14:textId="0A7A0BC1" w:rsidR="00BF797E" w:rsidRDefault="00BF797E" w:rsidP="002A667B">
      <w:pPr>
        <w:pStyle w:val="ListParagraph"/>
        <w:numPr>
          <w:ilvl w:val="1"/>
          <w:numId w:val="21"/>
        </w:numPr>
        <w:spacing w:line="247" w:lineRule="auto"/>
        <w:jc w:val="both"/>
        <w:rPr>
          <w:rFonts w:cs="Arial"/>
          <w:szCs w:val="24"/>
        </w:rPr>
      </w:pPr>
      <w:r>
        <w:rPr>
          <w:rFonts w:cs="Arial"/>
          <w:szCs w:val="24"/>
        </w:rPr>
        <w:t>3-phase service drops are now included</w:t>
      </w:r>
    </w:p>
    <w:p w14:paraId="0721A855" w14:textId="6F4F62F0" w:rsidR="00BF797E" w:rsidRDefault="000040C1" w:rsidP="002A667B">
      <w:pPr>
        <w:pStyle w:val="ListParagraph"/>
        <w:numPr>
          <w:ilvl w:val="1"/>
          <w:numId w:val="21"/>
        </w:numPr>
        <w:spacing w:line="247" w:lineRule="auto"/>
        <w:jc w:val="both"/>
        <w:rPr>
          <w:rFonts w:cs="Arial"/>
          <w:szCs w:val="24"/>
        </w:rPr>
      </w:pPr>
      <w:r>
        <w:rPr>
          <w:rFonts w:cs="Arial"/>
          <w:szCs w:val="24"/>
        </w:rPr>
        <w:t>If applicable, d</w:t>
      </w:r>
      <w:r w:rsidR="00B94E81">
        <w:rPr>
          <w:rFonts w:cs="Arial"/>
          <w:szCs w:val="24"/>
        </w:rPr>
        <w:t xml:space="preserve">istribution </w:t>
      </w:r>
      <w:r>
        <w:rPr>
          <w:rFonts w:cs="Arial"/>
          <w:szCs w:val="24"/>
        </w:rPr>
        <w:t xml:space="preserve">substation circuit names are now shown as well as bulk circuit names </w:t>
      </w:r>
    </w:p>
    <w:p w14:paraId="5D4C3186" w14:textId="77777777" w:rsidR="005B55B1" w:rsidRDefault="005B55B1" w:rsidP="002A667B">
      <w:pPr>
        <w:pStyle w:val="ListParagraph"/>
        <w:numPr>
          <w:ilvl w:val="1"/>
          <w:numId w:val="21"/>
        </w:numPr>
        <w:spacing w:line="247" w:lineRule="auto"/>
        <w:jc w:val="both"/>
        <w:rPr>
          <w:rFonts w:cs="Arial"/>
          <w:szCs w:val="24"/>
        </w:rPr>
      </w:pPr>
      <w:r>
        <w:rPr>
          <w:rFonts w:cs="Arial"/>
          <w:szCs w:val="24"/>
        </w:rPr>
        <w:t xml:space="preserve">The maps display the bulk substation rating, which is calculated by assuming that the largest transformer goes down and then taking 95% of the remaining value; value includes transformer cooling </w:t>
      </w:r>
    </w:p>
    <w:p w14:paraId="5393846D" w14:textId="2AD9B2A5" w:rsidR="005B55B1" w:rsidRDefault="00255810" w:rsidP="002A667B">
      <w:pPr>
        <w:pStyle w:val="ListParagraph"/>
        <w:numPr>
          <w:ilvl w:val="1"/>
          <w:numId w:val="21"/>
        </w:numPr>
        <w:spacing w:line="247" w:lineRule="auto"/>
        <w:jc w:val="both"/>
        <w:rPr>
          <w:rFonts w:cs="Arial"/>
          <w:szCs w:val="24"/>
        </w:rPr>
      </w:pPr>
      <w:r>
        <w:rPr>
          <w:rFonts w:cs="Arial"/>
          <w:szCs w:val="24"/>
        </w:rPr>
        <w:t>Added bulk substation hosting capacity</w:t>
      </w:r>
    </w:p>
    <w:p w14:paraId="7CA720A1" w14:textId="13368E94" w:rsidR="00255810" w:rsidRDefault="00255810" w:rsidP="002A667B">
      <w:pPr>
        <w:pStyle w:val="ListParagraph"/>
        <w:numPr>
          <w:ilvl w:val="1"/>
          <w:numId w:val="21"/>
        </w:numPr>
        <w:spacing w:line="247" w:lineRule="auto"/>
        <w:jc w:val="both"/>
        <w:rPr>
          <w:rFonts w:cs="Arial"/>
          <w:szCs w:val="24"/>
        </w:rPr>
      </w:pPr>
      <w:r>
        <w:rPr>
          <w:rFonts w:cs="Arial"/>
          <w:szCs w:val="24"/>
        </w:rPr>
        <w:t>Shows DERs online and DERs in queue for each circuit</w:t>
      </w:r>
    </w:p>
    <w:p w14:paraId="2F086DA7" w14:textId="7E4B158E" w:rsidR="00255810" w:rsidRDefault="00255810" w:rsidP="002A667B">
      <w:pPr>
        <w:pStyle w:val="ListParagraph"/>
        <w:numPr>
          <w:ilvl w:val="1"/>
          <w:numId w:val="21"/>
        </w:numPr>
        <w:spacing w:line="247" w:lineRule="auto"/>
        <w:jc w:val="both"/>
        <w:rPr>
          <w:rFonts w:cs="Arial"/>
          <w:szCs w:val="24"/>
        </w:rPr>
      </w:pPr>
      <w:r>
        <w:rPr>
          <w:rFonts w:cs="Arial"/>
          <w:szCs w:val="24"/>
        </w:rPr>
        <w:t>HCM indicates whether a circuit is FERC jurisdictional</w:t>
      </w:r>
    </w:p>
    <w:p w14:paraId="2186EA5D" w14:textId="005741DB" w:rsidR="00255810" w:rsidRDefault="00255810" w:rsidP="002A667B">
      <w:pPr>
        <w:pStyle w:val="ListParagraph"/>
        <w:numPr>
          <w:ilvl w:val="1"/>
          <w:numId w:val="21"/>
        </w:numPr>
        <w:spacing w:line="247" w:lineRule="auto"/>
        <w:jc w:val="both"/>
        <w:rPr>
          <w:rFonts w:cs="Arial"/>
          <w:szCs w:val="24"/>
        </w:rPr>
      </w:pPr>
      <w:r>
        <w:rPr>
          <w:rFonts w:cs="Arial"/>
          <w:szCs w:val="24"/>
        </w:rPr>
        <w:t>Shows whether ASO study is ongoing on circuit</w:t>
      </w:r>
    </w:p>
    <w:p w14:paraId="07F24A57" w14:textId="378221CD" w:rsidR="00BF797E" w:rsidRDefault="00C555BB" w:rsidP="002A667B">
      <w:pPr>
        <w:pStyle w:val="ListParagraph"/>
        <w:numPr>
          <w:ilvl w:val="0"/>
          <w:numId w:val="21"/>
        </w:numPr>
        <w:spacing w:line="247" w:lineRule="auto"/>
        <w:jc w:val="both"/>
        <w:rPr>
          <w:rFonts w:cs="Arial"/>
          <w:szCs w:val="24"/>
        </w:rPr>
      </w:pPr>
      <w:r>
        <w:rPr>
          <w:rFonts w:cs="Arial"/>
          <w:szCs w:val="24"/>
        </w:rPr>
        <w:t>HCM is based on values from Sy</w:t>
      </w:r>
      <w:r w:rsidR="00F76E29">
        <w:rPr>
          <w:rFonts w:cs="Arial"/>
          <w:szCs w:val="24"/>
        </w:rPr>
        <w:t>n</w:t>
      </w:r>
      <w:r>
        <w:rPr>
          <w:rFonts w:cs="Arial"/>
          <w:szCs w:val="24"/>
        </w:rPr>
        <w:t>ergy; the steady-state analysis determines the voltage and thermal ratings, displaying the lower of the two</w:t>
      </w:r>
    </w:p>
    <w:p w14:paraId="16577E3B" w14:textId="2EF7251A" w:rsidR="00F76E29" w:rsidRDefault="00F76E29" w:rsidP="002A667B">
      <w:pPr>
        <w:pStyle w:val="ListParagraph"/>
        <w:numPr>
          <w:ilvl w:val="0"/>
          <w:numId w:val="21"/>
        </w:numPr>
        <w:spacing w:line="247" w:lineRule="auto"/>
        <w:jc w:val="both"/>
        <w:rPr>
          <w:rFonts w:cs="Arial"/>
          <w:szCs w:val="24"/>
        </w:rPr>
      </w:pPr>
      <w:r>
        <w:rPr>
          <w:rFonts w:cs="Arial"/>
          <w:szCs w:val="24"/>
        </w:rPr>
        <w:t>HCM does not show individual reclosers, fuses, etc. but Synergy will look at all devices on a circuit and update capacity accordingly</w:t>
      </w:r>
    </w:p>
    <w:p w14:paraId="1CD3D97B" w14:textId="77777777" w:rsidR="005B55B1" w:rsidRDefault="000040C1" w:rsidP="002A667B">
      <w:pPr>
        <w:pStyle w:val="ListParagraph"/>
        <w:numPr>
          <w:ilvl w:val="0"/>
          <w:numId w:val="21"/>
        </w:numPr>
        <w:spacing w:line="247" w:lineRule="auto"/>
        <w:jc w:val="both"/>
        <w:rPr>
          <w:rFonts w:cs="Arial"/>
          <w:szCs w:val="24"/>
        </w:rPr>
      </w:pPr>
      <w:r>
        <w:rPr>
          <w:rFonts w:cs="Arial"/>
          <w:szCs w:val="24"/>
        </w:rPr>
        <w:t xml:space="preserve">Within next few months, substations will be </w:t>
      </w:r>
      <w:r w:rsidR="005B55B1">
        <w:rPr>
          <w:rFonts w:cs="Arial"/>
          <w:szCs w:val="24"/>
        </w:rPr>
        <w:t>easier to find – they will be surrounded by a box with the substation name visible</w:t>
      </w:r>
    </w:p>
    <w:p w14:paraId="0620E7BA" w14:textId="3A208230" w:rsidR="005B55B1" w:rsidRDefault="00255810" w:rsidP="002A667B">
      <w:pPr>
        <w:pStyle w:val="ListParagraph"/>
        <w:numPr>
          <w:ilvl w:val="0"/>
          <w:numId w:val="21"/>
        </w:numPr>
        <w:spacing w:line="247" w:lineRule="auto"/>
        <w:jc w:val="both"/>
        <w:rPr>
          <w:rFonts w:cs="Arial"/>
          <w:szCs w:val="24"/>
        </w:rPr>
      </w:pPr>
      <w:r>
        <w:rPr>
          <w:rFonts w:cs="Arial"/>
          <w:szCs w:val="24"/>
        </w:rPr>
        <w:t>If working within an urban area with network protectors, developers should contact Eversource because HCM doesn’t show capacity for low voltage lines</w:t>
      </w:r>
    </w:p>
    <w:p w14:paraId="0C2F3578" w14:textId="6A098343" w:rsidR="006504A7" w:rsidRDefault="003E3E20" w:rsidP="002A667B">
      <w:pPr>
        <w:pStyle w:val="ListParagraph"/>
        <w:numPr>
          <w:ilvl w:val="0"/>
          <w:numId w:val="21"/>
        </w:numPr>
        <w:spacing w:line="247" w:lineRule="auto"/>
        <w:jc w:val="both"/>
        <w:rPr>
          <w:rFonts w:cs="Arial"/>
          <w:szCs w:val="24"/>
        </w:rPr>
      </w:pPr>
      <w:r>
        <w:rPr>
          <w:rFonts w:cs="Arial"/>
          <w:szCs w:val="24"/>
        </w:rPr>
        <w:t xml:space="preserve">Prior version of HCM </w:t>
      </w:r>
      <w:r w:rsidR="00F76E29">
        <w:rPr>
          <w:rFonts w:cs="Arial"/>
          <w:szCs w:val="24"/>
        </w:rPr>
        <w:t xml:space="preserve">showed estimated/aggregate circuit capacity whereas new version is more granular </w:t>
      </w:r>
    </w:p>
    <w:p w14:paraId="60C0F376" w14:textId="4D6A03B3" w:rsidR="008C5B0B" w:rsidRPr="00103775" w:rsidRDefault="008C5B0B" w:rsidP="002A667B">
      <w:pPr>
        <w:pStyle w:val="ListParagraph"/>
        <w:numPr>
          <w:ilvl w:val="0"/>
          <w:numId w:val="21"/>
        </w:numPr>
        <w:spacing w:line="247" w:lineRule="auto"/>
        <w:jc w:val="both"/>
        <w:rPr>
          <w:rFonts w:cs="Arial"/>
          <w:szCs w:val="24"/>
        </w:rPr>
      </w:pPr>
      <w:r>
        <w:rPr>
          <w:rFonts w:cs="Arial"/>
          <w:szCs w:val="24"/>
        </w:rPr>
        <w:t>If a substation is the limiting factor, the bulk substation capacity will show up as zero</w:t>
      </w:r>
    </w:p>
    <w:p w14:paraId="1704894E" w14:textId="09C1BE00" w:rsidR="00F76E29" w:rsidRDefault="00F76E29" w:rsidP="002A667B">
      <w:pPr>
        <w:pStyle w:val="ListParagraph"/>
        <w:numPr>
          <w:ilvl w:val="0"/>
          <w:numId w:val="21"/>
        </w:numPr>
        <w:spacing w:line="247" w:lineRule="auto"/>
        <w:jc w:val="both"/>
        <w:rPr>
          <w:rFonts w:cs="Arial"/>
          <w:szCs w:val="24"/>
        </w:rPr>
      </w:pPr>
      <w:r>
        <w:rPr>
          <w:rFonts w:cs="Arial"/>
          <w:szCs w:val="24"/>
        </w:rPr>
        <w:lastRenderedPageBreak/>
        <w:t>If a particular feeder cannot accept a load due to engineering constraints, that feeder will not appear on the HCM</w:t>
      </w:r>
    </w:p>
    <w:p w14:paraId="68A2A9E4" w14:textId="420E0D8D" w:rsidR="00F76E29" w:rsidRDefault="00F76E29" w:rsidP="002A667B">
      <w:pPr>
        <w:pStyle w:val="ListParagraph"/>
        <w:numPr>
          <w:ilvl w:val="0"/>
          <w:numId w:val="21"/>
        </w:numPr>
        <w:spacing w:line="247" w:lineRule="auto"/>
        <w:jc w:val="both"/>
        <w:rPr>
          <w:rFonts w:cs="Arial"/>
          <w:szCs w:val="24"/>
        </w:rPr>
      </w:pPr>
      <w:r>
        <w:rPr>
          <w:rFonts w:cs="Arial"/>
          <w:szCs w:val="24"/>
        </w:rPr>
        <w:t>A primary purpose of the HCM is to highlight areas where DER development is easiest; the EDC will, however, examine all feeders even those not shown on map if an application is submitted and study performed</w:t>
      </w:r>
    </w:p>
    <w:p w14:paraId="302AAF7E" w14:textId="4A6B5C88" w:rsidR="00E22DFE" w:rsidRDefault="00E22DFE" w:rsidP="002A667B">
      <w:pPr>
        <w:pStyle w:val="ListParagraph"/>
        <w:numPr>
          <w:ilvl w:val="0"/>
          <w:numId w:val="21"/>
        </w:numPr>
        <w:spacing w:line="247" w:lineRule="auto"/>
        <w:jc w:val="both"/>
        <w:rPr>
          <w:rFonts w:cs="Arial"/>
          <w:szCs w:val="24"/>
        </w:rPr>
      </w:pPr>
      <w:r>
        <w:rPr>
          <w:rFonts w:cs="Arial"/>
          <w:szCs w:val="24"/>
        </w:rPr>
        <w:t>Reverse load constraint information is based on meter data</w:t>
      </w:r>
      <w:r w:rsidR="00A3173A">
        <w:rPr>
          <w:rFonts w:cs="Arial"/>
          <w:szCs w:val="24"/>
        </w:rPr>
        <w:t>; assumptions may be used if meter data is unavailable</w:t>
      </w:r>
    </w:p>
    <w:p w14:paraId="23A76370" w14:textId="21AB81AD" w:rsidR="008C5B0B" w:rsidRDefault="008C5B0B" w:rsidP="002A667B">
      <w:pPr>
        <w:spacing w:line="247" w:lineRule="auto"/>
        <w:jc w:val="both"/>
        <w:rPr>
          <w:rFonts w:cs="Arial"/>
          <w:szCs w:val="24"/>
        </w:rPr>
      </w:pPr>
    </w:p>
    <w:p w14:paraId="4B9A83C4" w14:textId="7B1C4AA6" w:rsidR="008C5B0B" w:rsidRDefault="008C5B0B" w:rsidP="002A667B">
      <w:pPr>
        <w:spacing w:line="247" w:lineRule="auto"/>
        <w:jc w:val="both"/>
        <w:rPr>
          <w:rFonts w:cs="Arial"/>
          <w:b/>
          <w:szCs w:val="24"/>
        </w:rPr>
      </w:pPr>
      <w:r>
        <w:rPr>
          <w:rFonts w:cs="Arial"/>
          <w:b/>
          <w:szCs w:val="24"/>
        </w:rPr>
        <w:t>UI Hosting Capacity Map Discussion</w:t>
      </w:r>
    </w:p>
    <w:p w14:paraId="0768AF8E" w14:textId="23F9DE7E" w:rsidR="008C5B0B" w:rsidRDefault="00A3173A" w:rsidP="002A667B">
      <w:pPr>
        <w:pStyle w:val="ListParagraph"/>
        <w:numPr>
          <w:ilvl w:val="0"/>
          <w:numId w:val="23"/>
        </w:numPr>
        <w:spacing w:line="247" w:lineRule="auto"/>
        <w:jc w:val="both"/>
        <w:rPr>
          <w:rFonts w:cs="Arial"/>
          <w:szCs w:val="24"/>
        </w:rPr>
      </w:pPr>
      <w:r>
        <w:rPr>
          <w:rFonts w:cs="Arial"/>
          <w:szCs w:val="24"/>
        </w:rPr>
        <w:t>UI’s HCM is still in development</w:t>
      </w:r>
    </w:p>
    <w:p w14:paraId="43D96057" w14:textId="2C6414F8" w:rsidR="00A3173A" w:rsidRDefault="00A3173A" w:rsidP="002A667B">
      <w:pPr>
        <w:pStyle w:val="ListParagraph"/>
        <w:numPr>
          <w:ilvl w:val="0"/>
          <w:numId w:val="23"/>
        </w:numPr>
        <w:spacing w:line="247" w:lineRule="auto"/>
        <w:jc w:val="both"/>
        <w:rPr>
          <w:rFonts w:cs="Arial"/>
          <w:szCs w:val="24"/>
        </w:rPr>
      </w:pPr>
      <w:r>
        <w:rPr>
          <w:rFonts w:cs="Arial"/>
          <w:szCs w:val="24"/>
        </w:rPr>
        <w:t xml:space="preserve">Development was delayed when the HCM team had to develop EV hosting capacity maps but the </w:t>
      </w:r>
      <w:r w:rsidR="00B029AB">
        <w:rPr>
          <w:rFonts w:cs="Arial"/>
          <w:szCs w:val="24"/>
        </w:rPr>
        <w:t>work on the EV maps can be leveraged for the HCM</w:t>
      </w:r>
    </w:p>
    <w:p w14:paraId="168546E3" w14:textId="37CD0D13" w:rsidR="00B029AB" w:rsidRDefault="00B029AB" w:rsidP="002A667B">
      <w:pPr>
        <w:pStyle w:val="ListParagraph"/>
        <w:numPr>
          <w:ilvl w:val="0"/>
          <w:numId w:val="23"/>
        </w:numPr>
        <w:spacing w:line="247" w:lineRule="auto"/>
        <w:jc w:val="both"/>
        <w:rPr>
          <w:rFonts w:cs="Arial"/>
          <w:szCs w:val="24"/>
        </w:rPr>
      </w:pPr>
      <w:r>
        <w:rPr>
          <w:rFonts w:cs="Arial"/>
          <w:szCs w:val="24"/>
        </w:rPr>
        <w:t>The HCM will have show substations, circuits and segments as well as queue information</w:t>
      </w:r>
    </w:p>
    <w:p w14:paraId="507B5E7A" w14:textId="17DF132A" w:rsidR="00B029AB" w:rsidRDefault="003F30E0" w:rsidP="002A667B">
      <w:pPr>
        <w:pStyle w:val="ListParagraph"/>
        <w:numPr>
          <w:ilvl w:val="0"/>
          <w:numId w:val="23"/>
        </w:numPr>
        <w:spacing w:line="247" w:lineRule="auto"/>
        <w:jc w:val="both"/>
        <w:rPr>
          <w:rFonts w:cs="Arial"/>
          <w:szCs w:val="24"/>
        </w:rPr>
      </w:pPr>
      <w:r>
        <w:rPr>
          <w:rFonts w:cs="Arial"/>
          <w:szCs w:val="24"/>
        </w:rPr>
        <w:t>The plan is to update the HCM on a quarterly basis</w:t>
      </w:r>
    </w:p>
    <w:p w14:paraId="63EEFB29" w14:textId="121729DF" w:rsidR="003F30E0" w:rsidRDefault="002A667B" w:rsidP="002A667B">
      <w:pPr>
        <w:pStyle w:val="ListParagraph"/>
        <w:numPr>
          <w:ilvl w:val="0"/>
          <w:numId w:val="23"/>
        </w:numPr>
        <w:spacing w:line="247" w:lineRule="auto"/>
        <w:jc w:val="both"/>
        <w:rPr>
          <w:rFonts w:cs="Arial"/>
          <w:szCs w:val="24"/>
        </w:rPr>
      </w:pPr>
      <w:r>
        <w:rPr>
          <w:rFonts w:cs="Arial"/>
          <w:szCs w:val="24"/>
        </w:rPr>
        <w:t>The goal is to get the first version up and running and then compare the product to the recommendations provided by Solar CT</w:t>
      </w:r>
    </w:p>
    <w:p w14:paraId="68575C59" w14:textId="78813F1E" w:rsidR="002A667B" w:rsidRDefault="002A667B" w:rsidP="002A667B">
      <w:pPr>
        <w:pStyle w:val="ListParagraph"/>
        <w:numPr>
          <w:ilvl w:val="0"/>
          <w:numId w:val="23"/>
        </w:numPr>
        <w:spacing w:line="247" w:lineRule="auto"/>
        <w:jc w:val="both"/>
        <w:rPr>
          <w:rFonts w:cs="Arial"/>
          <w:szCs w:val="24"/>
        </w:rPr>
      </w:pPr>
      <w:r>
        <w:rPr>
          <w:rFonts w:cs="Arial"/>
          <w:szCs w:val="24"/>
        </w:rPr>
        <w:t>Estimating a mid-late February go live date</w:t>
      </w:r>
    </w:p>
    <w:p w14:paraId="115F5CDC" w14:textId="705EE85A" w:rsidR="002A667B" w:rsidRDefault="00C55438" w:rsidP="002A667B">
      <w:pPr>
        <w:pStyle w:val="ListParagraph"/>
        <w:numPr>
          <w:ilvl w:val="0"/>
          <w:numId w:val="23"/>
        </w:numPr>
        <w:spacing w:line="247" w:lineRule="auto"/>
        <w:jc w:val="both"/>
        <w:rPr>
          <w:rFonts w:cs="Arial"/>
          <w:szCs w:val="24"/>
        </w:rPr>
      </w:pPr>
      <w:r>
        <w:rPr>
          <w:rFonts w:cs="Arial"/>
          <w:szCs w:val="24"/>
        </w:rPr>
        <w:t>The HCM will be similar in layout and functionality to the HCMs in NY sister utility territory</w:t>
      </w:r>
    </w:p>
    <w:p w14:paraId="0404C1AE" w14:textId="31521B3F" w:rsidR="00C55438" w:rsidRDefault="00C55438" w:rsidP="002A667B">
      <w:pPr>
        <w:pStyle w:val="ListParagraph"/>
        <w:numPr>
          <w:ilvl w:val="0"/>
          <w:numId w:val="23"/>
        </w:numPr>
        <w:spacing w:line="247" w:lineRule="auto"/>
        <w:jc w:val="both"/>
        <w:rPr>
          <w:rFonts w:cs="Arial"/>
          <w:szCs w:val="24"/>
        </w:rPr>
      </w:pPr>
      <w:r>
        <w:rPr>
          <w:rFonts w:cs="Arial"/>
          <w:szCs w:val="24"/>
        </w:rPr>
        <w:t>The map values will be based on the following four values: thermal loading; normal voltages; voltage variation; and reverse power flow</w:t>
      </w:r>
    </w:p>
    <w:p w14:paraId="22CBEFF7" w14:textId="1E6BF2F0" w:rsidR="00C55438" w:rsidRDefault="00C55438" w:rsidP="00C55438">
      <w:pPr>
        <w:spacing w:line="247" w:lineRule="auto"/>
        <w:jc w:val="both"/>
        <w:rPr>
          <w:rFonts w:cs="Arial"/>
          <w:szCs w:val="24"/>
        </w:rPr>
      </w:pPr>
    </w:p>
    <w:p w14:paraId="2E5399AF" w14:textId="467A0F78" w:rsidR="00C55438" w:rsidRDefault="00C55438" w:rsidP="00C55438">
      <w:pPr>
        <w:spacing w:line="247" w:lineRule="auto"/>
        <w:jc w:val="both"/>
        <w:rPr>
          <w:rFonts w:cs="Arial"/>
          <w:b/>
          <w:szCs w:val="24"/>
        </w:rPr>
      </w:pPr>
      <w:r>
        <w:rPr>
          <w:rFonts w:cs="Arial"/>
          <w:b/>
          <w:szCs w:val="24"/>
        </w:rPr>
        <w:t>Existing Interconnection Guidelines</w:t>
      </w:r>
    </w:p>
    <w:p w14:paraId="5453A540" w14:textId="1CF5CC03" w:rsidR="00C55438" w:rsidRDefault="005B5AAC" w:rsidP="00C55438">
      <w:pPr>
        <w:pStyle w:val="ListParagraph"/>
        <w:numPr>
          <w:ilvl w:val="0"/>
          <w:numId w:val="24"/>
        </w:numPr>
        <w:spacing w:line="247" w:lineRule="auto"/>
        <w:jc w:val="both"/>
        <w:rPr>
          <w:rFonts w:cs="Arial"/>
          <w:szCs w:val="24"/>
        </w:rPr>
      </w:pPr>
      <w:r>
        <w:rPr>
          <w:rFonts w:cs="Arial"/>
          <w:szCs w:val="24"/>
        </w:rPr>
        <w:t>Noel raised an issue occurring in Massachusetts where relatively small 200-700kW systems deployed in urban areas are needing impact studies and was concerned that this issue would arise in CT because DEEP is encouraging more urban deployments</w:t>
      </w:r>
    </w:p>
    <w:p w14:paraId="5E44411C" w14:textId="59155E9D" w:rsidR="005B5AAC" w:rsidRDefault="005B5AAC" w:rsidP="00C55438">
      <w:pPr>
        <w:pStyle w:val="ListParagraph"/>
        <w:numPr>
          <w:ilvl w:val="0"/>
          <w:numId w:val="24"/>
        </w:numPr>
        <w:spacing w:line="247" w:lineRule="auto"/>
        <w:jc w:val="both"/>
        <w:rPr>
          <w:rFonts w:cs="Arial"/>
          <w:szCs w:val="24"/>
        </w:rPr>
      </w:pPr>
      <w:r>
        <w:rPr>
          <w:rFonts w:cs="Arial"/>
          <w:szCs w:val="24"/>
        </w:rPr>
        <w:t xml:space="preserve">UI noted that certain urban areas, such as Bridgeport and New Haven </w:t>
      </w:r>
      <w:r w:rsidR="000D0F44">
        <w:rPr>
          <w:rFonts w:cs="Arial"/>
          <w:szCs w:val="24"/>
        </w:rPr>
        <w:t xml:space="preserve">may follow a different path for interconnections </w:t>
      </w:r>
    </w:p>
    <w:p w14:paraId="23DBA380" w14:textId="37CAE28A" w:rsidR="000D0F44" w:rsidRDefault="000D0F44" w:rsidP="00C55438">
      <w:pPr>
        <w:pStyle w:val="ListParagraph"/>
        <w:numPr>
          <w:ilvl w:val="0"/>
          <w:numId w:val="24"/>
        </w:numPr>
        <w:spacing w:line="247" w:lineRule="auto"/>
        <w:jc w:val="both"/>
        <w:rPr>
          <w:rFonts w:cs="Arial"/>
          <w:szCs w:val="24"/>
        </w:rPr>
      </w:pPr>
      <w:r>
        <w:rPr>
          <w:rFonts w:cs="Arial"/>
          <w:szCs w:val="24"/>
        </w:rPr>
        <w:t xml:space="preserve">Joe </w:t>
      </w:r>
      <w:proofErr w:type="spellStart"/>
      <w:r>
        <w:rPr>
          <w:rFonts w:cs="Arial"/>
          <w:szCs w:val="24"/>
        </w:rPr>
        <w:t>Marranca</w:t>
      </w:r>
      <w:proofErr w:type="spellEnd"/>
      <w:r>
        <w:rPr>
          <w:rFonts w:cs="Arial"/>
          <w:szCs w:val="24"/>
        </w:rPr>
        <w:t xml:space="preserve"> of UI suggested </w:t>
      </w:r>
      <w:r w:rsidR="00CA4677">
        <w:rPr>
          <w:rFonts w:cs="Arial"/>
          <w:szCs w:val="24"/>
        </w:rPr>
        <w:t xml:space="preserve">the Working Group </w:t>
      </w:r>
      <w:r>
        <w:rPr>
          <w:rFonts w:cs="Arial"/>
          <w:szCs w:val="24"/>
        </w:rPr>
        <w:t>review</w:t>
      </w:r>
      <w:r w:rsidR="00CA4677">
        <w:rPr>
          <w:rFonts w:cs="Arial"/>
          <w:szCs w:val="24"/>
        </w:rPr>
        <w:t xml:space="preserve"> the current guidelines and propose possible changes</w:t>
      </w:r>
      <w:r>
        <w:rPr>
          <w:rFonts w:cs="Arial"/>
          <w:szCs w:val="24"/>
        </w:rPr>
        <w:t xml:space="preserve"> </w:t>
      </w:r>
      <w:r w:rsidR="00CA4677">
        <w:rPr>
          <w:rFonts w:cs="Arial"/>
          <w:szCs w:val="24"/>
        </w:rPr>
        <w:t>to the fast track process</w:t>
      </w:r>
    </w:p>
    <w:p w14:paraId="7D61960E" w14:textId="6510A85F" w:rsidR="001C5F82" w:rsidRDefault="001C5F82" w:rsidP="001C5F82">
      <w:pPr>
        <w:spacing w:line="247" w:lineRule="auto"/>
        <w:jc w:val="both"/>
        <w:rPr>
          <w:rFonts w:cs="Arial"/>
          <w:szCs w:val="24"/>
        </w:rPr>
      </w:pPr>
    </w:p>
    <w:p w14:paraId="4B182A0A" w14:textId="69E78249" w:rsidR="001C5F82" w:rsidRPr="001C5F82" w:rsidRDefault="001C5F82" w:rsidP="001C5F82">
      <w:pPr>
        <w:spacing w:line="247" w:lineRule="auto"/>
        <w:jc w:val="both"/>
        <w:rPr>
          <w:rFonts w:cs="Arial"/>
          <w:b/>
          <w:szCs w:val="24"/>
        </w:rPr>
      </w:pPr>
      <w:r>
        <w:rPr>
          <w:rFonts w:cs="Arial"/>
          <w:b/>
          <w:szCs w:val="24"/>
        </w:rPr>
        <w:t>Public Queue Discussion</w:t>
      </w:r>
    </w:p>
    <w:p w14:paraId="0DDE274A" w14:textId="35C6A8F5" w:rsidR="00BF797E" w:rsidRDefault="001C5F82" w:rsidP="001C5F82">
      <w:pPr>
        <w:pStyle w:val="ListParagraph"/>
        <w:numPr>
          <w:ilvl w:val="0"/>
          <w:numId w:val="25"/>
        </w:numPr>
        <w:spacing w:line="247" w:lineRule="auto"/>
        <w:jc w:val="both"/>
        <w:rPr>
          <w:rFonts w:cs="Arial"/>
          <w:szCs w:val="24"/>
        </w:rPr>
      </w:pPr>
      <w:r>
        <w:rPr>
          <w:rFonts w:cs="Arial"/>
          <w:szCs w:val="24"/>
        </w:rPr>
        <w:t xml:space="preserve">Solar developers would like a public queue </w:t>
      </w:r>
    </w:p>
    <w:p w14:paraId="6D257130" w14:textId="77777777" w:rsidR="00AA0507" w:rsidRDefault="001C5F82" w:rsidP="001C5F82">
      <w:pPr>
        <w:pStyle w:val="ListParagraph"/>
        <w:numPr>
          <w:ilvl w:val="0"/>
          <w:numId w:val="25"/>
        </w:numPr>
        <w:spacing w:line="247" w:lineRule="auto"/>
        <w:jc w:val="both"/>
        <w:rPr>
          <w:rFonts w:cs="Arial"/>
          <w:szCs w:val="24"/>
        </w:rPr>
      </w:pPr>
      <w:r>
        <w:rPr>
          <w:rFonts w:cs="Arial"/>
          <w:szCs w:val="24"/>
        </w:rPr>
        <w:t xml:space="preserve">Eversource believes that the HCM fills the same purpose and </w:t>
      </w:r>
      <w:r w:rsidR="00AA0507">
        <w:rPr>
          <w:rFonts w:cs="Arial"/>
          <w:szCs w:val="24"/>
        </w:rPr>
        <w:t>that the best approach is still to consult the map and file an application to hold a queue position</w:t>
      </w:r>
    </w:p>
    <w:p w14:paraId="48B98BE3" w14:textId="77777777" w:rsidR="00AA0507" w:rsidRDefault="00AA0507" w:rsidP="001C5F82">
      <w:pPr>
        <w:pStyle w:val="ListParagraph"/>
        <w:numPr>
          <w:ilvl w:val="0"/>
          <w:numId w:val="25"/>
        </w:numPr>
        <w:spacing w:line="247" w:lineRule="auto"/>
        <w:jc w:val="both"/>
        <w:rPr>
          <w:rFonts w:cs="Arial"/>
          <w:szCs w:val="24"/>
        </w:rPr>
      </w:pPr>
      <w:r>
        <w:rPr>
          <w:rFonts w:cs="Arial"/>
          <w:szCs w:val="24"/>
        </w:rPr>
        <w:t>Mike Trahan stated that a separate queue is a best practice and should be created</w:t>
      </w:r>
    </w:p>
    <w:p w14:paraId="214C87FC" w14:textId="1D9D1DEC" w:rsidR="001C5F82" w:rsidRDefault="00AA0507" w:rsidP="001C5F82">
      <w:pPr>
        <w:pStyle w:val="ListParagraph"/>
        <w:numPr>
          <w:ilvl w:val="0"/>
          <w:numId w:val="25"/>
        </w:numPr>
        <w:spacing w:line="247" w:lineRule="auto"/>
        <w:jc w:val="both"/>
        <w:rPr>
          <w:rFonts w:cs="Arial"/>
          <w:szCs w:val="24"/>
        </w:rPr>
      </w:pPr>
      <w:r>
        <w:rPr>
          <w:rFonts w:cs="Arial"/>
          <w:szCs w:val="24"/>
        </w:rPr>
        <w:t>Celia of Select Energy stated that in Massachusetts the queue has been helpful and that it is in everyone’s best interest to limit the number of applications (rather than have many applications for the same project as a hedge because queue position is unknown)</w:t>
      </w:r>
    </w:p>
    <w:p w14:paraId="3BA7D4AC" w14:textId="29E4338F" w:rsidR="00AA0507" w:rsidRDefault="00AA0507" w:rsidP="001C5F82">
      <w:pPr>
        <w:pStyle w:val="ListParagraph"/>
        <w:numPr>
          <w:ilvl w:val="0"/>
          <w:numId w:val="25"/>
        </w:numPr>
        <w:spacing w:line="247" w:lineRule="auto"/>
        <w:jc w:val="both"/>
        <w:rPr>
          <w:rFonts w:cs="Arial"/>
          <w:szCs w:val="24"/>
        </w:rPr>
      </w:pPr>
      <w:r>
        <w:rPr>
          <w:rFonts w:cs="Arial"/>
          <w:szCs w:val="24"/>
        </w:rPr>
        <w:t xml:space="preserve">John stated that if the information was to be in two locations, data integrity is key. The MA queue and hosting capacity map don’t always align.  He stated that the </w:t>
      </w:r>
      <w:r>
        <w:rPr>
          <w:rFonts w:cs="Arial"/>
          <w:szCs w:val="24"/>
        </w:rPr>
        <w:lastRenderedPageBreak/>
        <w:t>HCM adds the most value but that the queue also has value, especially in highly constrained areas</w:t>
      </w:r>
    </w:p>
    <w:p w14:paraId="1B379E7A" w14:textId="77777777" w:rsidR="00680F92" w:rsidRDefault="00AA0507" w:rsidP="001C5F82">
      <w:pPr>
        <w:pStyle w:val="ListParagraph"/>
        <w:numPr>
          <w:ilvl w:val="0"/>
          <w:numId w:val="25"/>
        </w:numPr>
        <w:spacing w:line="247" w:lineRule="auto"/>
        <w:jc w:val="both"/>
        <w:rPr>
          <w:rFonts w:cs="Arial"/>
          <w:szCs w:val="24"/>
        </w:rPr>
      </w:pPr>
      <w:r>
        <w:rPr>
          <w:rFonts w:cs="Arial"/>
          <w:szCs w:val="24"/>
        </w:rPr>
        <w:t xml:space="preserve">The data recommended to be included in the IREC model queue differs somewhat from the queues in some states such as </w:t>
      </w:r>
      <w:r w:rsidR="00680F92">
        <w:rPr>
          <w:rFonts w:cs="Arial"/>
          <w:szCs w:val="24"/>
        </w:rPr>
        <w:t>Massachusetts and California</w:t>
      </w:r>
    </w:p>
    <w:p w14:paraId="76C9F3BF" w14:textId="77777777" w:rsidR="00680F92" w:rsidRDefault="00680F92" w:rsidP="00680F92">
      <w:pPr>
        <w:spacing w:line="247" w:lineRule="auto"/>
        <w:jc w:val="both"/>
        <w:rPr>
          <w:rFonts w:cs="Arial"/>
          <w:szCs w:val="24"/>
        </w:rPr>
      </w:pPr>
    </w:p>
    <w:p w14:paraId="0F21C6D7" w14:textId="77777777" w:rsidR="00680F92" w:rsidRDefault="00680F92" w:rsidP="00680F92">
      <w:pPr>
        <w:spacing w:line="247" w:lineRule="auto"/>
        <w:jc w:val="both"/>
        <w:rPr>
          <w:rFonts w:cs="Arial"/>
          <w:b/>
          <w:szCs w:val="24"/>
        </w:rPr>
      </w:pPr>
      <w:r>
        <w:rPr>
          <w:rFonts w:cs="Arial"/>
          <w:b/>
          <w:szCs w:val="24"/>
        </w:rPr>
        <w:t>Action Items</w:t>
      </w:r>
    </w:p>
    <w:p w14:paraId="2F91B064" w14:textId="682E0596" w:rsidR="00AA0507" w:rsidRDefault="009923EC" w:rsidP="00680F92">
      <w:pPr>
        <w:pStyle w:val="ListParagraph"/>
        <w:numPr>
          <w:ilvl w:val="0"/>
          <w:numId w:val="28"/>
        </w:numPr>
        <w:spacing w:line="247" w:lineRule="auto"/>
        <w:jc w:val="both"/>
        <w:rPr>
          <w:rFonts w:cs="Arial"/>
          <w:szCs w:val="24"/>
        </w:rPr>
      </w:pPr>
      <w:r>
        <w:rPr>
          <w:rFonts w:cs="Arial"/>
          <w:szCs w:val="24"/>
        </w:rPr>
        <w:t>All members to r</w:t>
      </w:r>
      <w:bookmarkStart w:id="0" w:name="_GoBack"/>
      <w:bookmarkEnd w:id="0"/>
      <w:r w:rsidR="003E146A">
        <w:rPr>
          <w:rFonts w:cs="Arial"/>
          <w:szCs w:val="24"/>
        </w:rPr>
        <w:t>eview current interconnection guidelines for discussion at next meeting</w:t>
      </w:r>
      <w:r>
        <w:rPr>
          <w:rFonts w:cs="Arial"/>
          <w:szCs w:val="24"/>
        </w:rPr>
        <w:t>:</w:t>
      </w:r>
    </w:p>
    <w:p w14:paraId="3E161835" w14:textId="77777777" w:rsidR="009923EC" w:rsidRDefault="009923EC" w:rsidP="009923EC">
      <w:pPr>
        <w:pStyle w:val="ListParagraph"/>
        <w:numPr>
          <w:ilvl w:val="1"/>
          <w:numId w:val="28"/>
        </w:numPr>
        <w:contextualSpacing w:val="0"/>
        <w:rPr>
          <w:rFonts w:ascii="Calibri" w:hAnsi="Calibri"/>
          <w:sz w:val="22"/>
        </w:rPr>
      </w:pPr>
      <w:hyperlink r:id="rId12" w:history="1">
        <w:r>
          <w:rPr>
            <w:rStyle w:val="Hyperlink"/>
          </w:rPr>
          <w:t>Guidelines for the Interconnection of Residential Single Phase Certified Inverter-Based Generating Facilities of 25 kW (AC) or Less</w:t>
        </w:r>
      </w:hyperlink>
    </w:p>
    <w:p w14:paraId="70AB8796" w14:textId="77777777" w:rsidR="009923EC" w:rsidRDefault="009923EC" w:rsidP="009923EC">
      <w:pPr>
        <w:pStyle w:val="ListParagraph"/>
        <w:numPr>
          <w:ilvl w:val="1"/>
          <w:numId w:val="28"/>
        </w:numPr>
        <w:contextualSpacing w:val="0"/>
      </w:pPr>
      <w:hyperlink r:id="rId13" w:history="1">
        <w:r>
          <w:rPr>
            <w:rStyle w:val="Hyperlink"/>
          </w:rPr>
          <w:t>Guidelines for Generator Interconnection, Fast Track and Study Process</w:t>
        </w:r>
      </w:hyperlink>
    </w:p>
    <w:p w14:paraId="7F7D79A1" w14:textId="77777777" w:rsidR="009923EC" w:rsidRDefault="009923EC" w:rsidP="009923EC">
      <w:pPr>
        <w:pStyle w:val="ListParagraph"/>
        <w:numPr>
          <w:ilvl w:val="1"/>
          <w:numId w:val="28"/>
        </w:numPr>
        <w:contextualSpacing w:val="0"/>
      </w:pPr>
      <w:hyperlink r:id="rId14" w:history="1">
        <w:r>
          <w:rPr>
            <w:rStyle w:val="Hyperlink"/>
          </w:rPr>
          <w:t>Exhibit B--Generator Interconnection Technical Requirements</w:t>
        </w:r>
      </w:hyperlink>
    </w:p>
    <w:p w14:paraId="6B17CDF9" w14:textId="32737A2A" w:rsidR="009923EC" w:rsidRPr="009923EC" w:rsidRDefault="009923EC" w:rsidP="009923EC">
      <w:pPr>
        <w:pStyle w:val="ListParagraph"/>
        <w:numPr>
          <w:ilvl w:val="0"/>
          <w:numId w:val="28"/>
        </w:numPr>
        <w:spacing w:line="247" w:lineRule="auto"/>
        <w:jc w:val="both"/>
        <w:rPr>
          <w:rFonts w:cs="Arial"/>
          <w:szCs w:val="24"/>
        </w:rPr>
      </w:pPr>
      <w:r>
        <w:rPr>
          <w:rFonts w:cs="Arial"/>
          <w:szCs w:val="24"/>
        </w:rPr>
        <w:t>Solar developers to provide which specific fields should be included in public interconnection queue</w:t>
      </w:r>
    </w:p>
    <w:p w14:paraId="7B8509FC" w14:textId="77777777" w:rsidR="00BF797E" w:rsidRDefault="00BF797E" w:rsidP="002A667B">
      <w:pPr>
        <w:spacing w:line="247" w:lineRule="auto"/>
        <w:ind w:left="720"/>
        <w:jc w:val="both"/>
        <w:rPr>
          <w:rFonts w:cs="Arial"/>
          <w:szCs w:val="24"/>
        </w:rPr>
      </w:pPr>
    </w:p>
    <w:p w14:paraId="3DAC83D3" w14:textId="1E4A0321" w:rsidR="004E6C31" w:rsidRDefault="004E6C31" w:rsidP="002A667B">
      <w:pPr>
        <w:spacing w:line="247" w:lineRule="auto"/>
        <w:jc w:val="both"/>
        <w:rPr>
          <w:rFonts w:cs="Arial"/>
          <w:b/>
          <w:szCs w:val="24"/>
        </w:rPr>
      </w:pPr>
    </w:p>
    <w:p w14:paraId="3244BFFB" w14:textId="77777777" w:rsidR="00336B04" w:rsidRPr="00336B04" w:rsidRDefault="00336B04" w:rsidP="002A667B">
      <w:pPr>
        <w:pStyle w:val="ListParagraph"/>
        <w:spacing w:line="247" w:lineRule="auto"/>
        <w:jc w:val="both"/>
        <w:rPr>
          <w:rFonts w:cs="Arial"/>
          <w:szCs w:val="24"/>
          <w:u w:val="single"/>
        </w:rPr>
      </w:pPr>
    </w:p>
    <w:sectPr w:rsidR="00336B04" w:rsidRPr="00336B04" w:rsidSect="0067222B">
      <w:footerReference w:type="first" r:id="rId15"/>
      <w:pgSz w:w="12240" w:h="15840" w:code="1"/>
      <w:pgMar w:top="1440" w:right="1440" w:bottom="1440" w:left="1440" w:header="720" w:footer="720"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CF915" w14:textId="77777777" w:rsidR="0097673A" w:rsidRDefault="0097673A" w:rsidP="00327991">
      <w:r>
        <w:separator/>
      </w:r>
    </w:p>
  </w:endnote>
  <w:endnote w:type="continuationSeparator" w:id="0">
    <w:p w14:paraId="78D7271E" w14:textId="77777777" w:rsidR="0097673A" w:rsidRDefault="0097673A"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F7418" w14:textId="77777777" w:rsidR="007A3192" w:rsidRPr="0067222B" w:rsidRDefault="007A3192" w:rsidP="00680B7C">
    <w:pPr>
      <w:tabs>
        <w:tab w:val="center" w:pos="4680"/>
        <w:tab w:val="right" w:pos="9360"/>
      </w:tabs>
      <w:jc w:val="center"/>
      <w:rPr>
        <w:rFonts w:ascii="Bodoni MT" w:hAnsi="Bodoni MT" w:cs="AngsanaUPC"/>
        <w:b/>
        <w:color w:val="1F497D"/>
        <w:sz w:val="20"/>
        <w:szCs w:val="20"/>
      </w:rPr>
    </w:pPr>
    <w:r w:rsidRPr="0067222B">
      <w:rPr>
        <w:rFonts w:ascii="Bodoni MT" w:hAnsi="Bodoni MT" w:cs="AngsanaUPC"/>
        <w:b/>
        <w:color w:val="1F497D"/>
        <w:sz w:val="20"/>
        <w:szCs w:val="20"/>
      </w:rPr>
      <w:t>10 Franklin Square, New Britain, CT 06051</w:t>
    </w:r>
  </w:p>
  <w:p w14:paraId="5EA571FE" w14:textId="77777777" w:rsidR="007A3192" w:rsidRPr="009200CE" w:rsidRDefault="007A3192"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0C12FCBC" w14:textId="77777777" w:rsidR="007A3192" w:rsidRPr="0067222B" w:rsidRDefault="007A3192" w:rsidP="0067222B">
    <w:pPr>
      <w:tabs>
        <w:tab w:val="center" w:pos="4680"/>
        <w:tab w:val="right" w:pos="9360"/>
      </w:tabs>
      <w:jc w:val="center"/>
      <w:rPr>
        <w:rFonts w:ascii="Bodoni MT" w:hAnsi="Bodoni MT"/>
        <w:color w:val="1F497D"/>
        <w:sz w:val="18"/>
        <w:szCs w:val="18"/>
      </w:rPr>
    </w:pPr>
    <w:r>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FB94B" w14:textId="77777777" w:rsidR="0097673A" w:rsidRDefault="0097673A" w:rsidP="00327991">
      <w:r>
        <w:separator/>
      </w:r>
    </w:p>
  </w:footnote>
  <w:footnote w:type="continuationSeparator" w:id="0">
    <w:p w14:paraId="264C4496" w14:textId="77777777" w:rsidR="0097673A" w:rsidRDefault="0097673A" w:rsidP="0032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1F26176"/>
    <w:multiLevelType w:val="hybridMultilevel"/>
    <w:tmpl w:val="73ACF2F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36745A3"/>
    <w:multiLevelType w:val="hybridMultilevel"/>
    <w:tmpl w:val="51D4B3B6"/>
    <w:lvl w:ilvl="0" w:tplc="200824C8">
      <w:numFmt w:val="bullet"/>
      <w:lvlText w:val="-"/>
      <w:lvlJc w:val="left"/>
      <w:pPr>
        <w:ind w:left="3240" w:hanging="360"/>
      </w:pPr>
      <w:rPr>
        <w:rFonts w:ascii="Arial" w:eastAsia="Calibri"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51C4076"/>
    <w:multiLevelType w:val="multilevel"/>
    <w:tmpl w:val="66BC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5322A"/>
    <w:multiLevelType w:val="hybridMultilevel"/>
    <w:tmpl w:val="5C08FE4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15:restartNumberingAfterBreak="0">
    <w:nsid w:val="2AE96C1C"/>
    <w:multiLevelType w:val="hybridMultilevel"/>
    <w:tmpl w:val="88689B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357B27"/>
    <w:multiLevelType w:val="hybridMultilevel"/>
    <w:tmpl w:val="B1ACB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327938"/>
    <w:multiLevelType w:val="hybridMultilevel"/>
    <w:tmpl w:val="7C5A0CCE"/>
    <w:lvl w:ilvl="0" w:tplc="281C33F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DE3116"/>
    <w:multiLevelType w:val="hybridMultilevel"/>
    <w:tmpl w:val="4AC85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F22D52"/>
    <w:multiLevelType w:val="hybridMultilevel"/>
    <w:tmpl w:val="8668E3F0"/>
    <w:lvl w:ilvl="0" w:tplc="579A317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FDE4430"/>
    <w:multiLevelType w:val="multilevel"/>
    <w:tmpl w:val="44C46ECA"/>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350"/>
        </w:tabs>
        <w:ind w:left="99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505E5E8D"/>
    <w:multiLevelType w:val="hybridMultilevel"/>
    <w:tmpl w:val="1BB68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35681"/>
    <w:multiLevelType w:val="hybridMultilevel"/>
    <w:tmpl w:val="D31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F2E63"/>
    <w:multiLevelType w:val="hybridMultilevel"/>
    <w:tmpl w:val="B0F8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EA6503"/>
    <w:multiLevelType w:val="hybridMultilevel"/>
    <w:tmpl w:val="D3E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22C1C"/>
    <w:multiLevelType w:val="hybridMultilevel"/>
    <w:tmpl w:val="ACEA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5387C"/>
    <w:multiLevelType w:val="hybridMultilevel"/>
    <w:tmpl w:val="422046FC"/>
    <w:lvl w:ilvl="0" w:tplc="281C33F4">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58C70ED7"/>
    <w:multiLevelType w:val="multilevel"/>
    <w:tmpl w:val="103A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446DD7"/>
    <w:multiLevelType w:val="hybridMultilevel"/>
    <w:tmpl w:val="EA38E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D47C9"/>
    <w:multiLevelType w:val="hybridMultilevel"/>
    <w:tmpl w:val="4AA2B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CD5F15"/>
    <w:multiLevelType w:val="multilevel"/>
    <w:tmpl w:val="E1DE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607431"/>
    <w:multiLevelType w:val="hybridMultilevel"/>
    <w:tmpl w:val="8844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70E93"/>
    <w:multiLevelType w:val="hybridMultilevel"/>
    <w:tmpl w:val="F834A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D0C00"/>
    <w:multiLevelType w:val="hybridMultilevel"/>
    <w:tmpl w:val="3A12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C41CFD"/>
    <w:multiLevelType w:val="hybridMultilevel"/>
    <w:tmpl w:val="ECD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C76848"/>
    <w:multiLevelType w:val="hybridMultilevel"/>
    <w:tmpl w:val="9BF8F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622645"/>
    <w:multiLevelType w:val="hybridMultilevel"/>
    <w:tmpl w:val="C8D2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25"/>
  </w:num>
  <w:num w:numId="4">
    <w:abstractNumId w:val="8"/>
  </w:num>
  <w:num w:numId="5">
    <w:abstractNumId w:val="0"/>
    <w:lvlOverride w:ilvl="0">
      <w:startOverride w:val="1"/>
      <w:lvl w:ilvl="0">
        <w:start w:val="1"/>
        <w:numFmt w:val="decimal"/>
        <w:pStyle w:val="Quick1"/>
        <w:lvlText w:val="%1."/>
        <w:lvlJc w:val="left"/>
      </w:lvl>
    </w:lvlOverride>
  </w:num>
  <w:num w:numId="6">
    <w:abstractNumId w:val="9"/>
  </w:num>
  <w:num w:numId="7">
    <w:abstractNumId w:val="27"/>
  </w:num>
  <w:num w:numId="8">
    <w:abstractNumId w:val="4"/>
  </w:num>
  <w:num w:numId="9">
    <w:abstractNumId w:val="15"/>
  </w:num>
  <w:num w:numId="10">
    <w:abstractNumId w:val="13"/>
  </w:num>
  <w:num w:numId="11">
    <w:abstractNumId w:val="26"/>
  </w:num>
  <w:num w:numId="12">
    <w:abstractNumId w:val="23"/>
  </w:num>
  <w:num w:numId="13">
    <w:abstractNumId w:val="2"/>
  </w:num>
  <w:num w:numId="14">
    <w:abstractNumId w:val="21"/>
  </w:num>
  <w:num w:numId="15">
    <w:abstractNumId w:val="18"/>
  </w:num>
  <w:num w:numId="16">
    <w:abstractNumId w:val="3"/>
  </w:num>
  <w:num w:numId="17">
    <w:abstractNumId w:val="22"/>
  </w:num>
  <w:num w:numId="18">
    <w:abstractNumId w:val="12"/>
  </w:num>
  <w:num w:numId="19">
    <w:abstractNumId w:val="1"/>
  </w:num>
  <w:num w:numId="20">
    <w:abstractNumId w:val="17"/>
  </w:num>
  <w:num w:numId="21">
    <w:abstractNumId w:val="6"/>
  </w:num>
  <w:num w:numId="22">
    <w:abstractNumId w:val="7"/>
  </w:num>
  <w:num w:numId="23">
    <w:abstractNumId w:val="16"/>
  </w:num>
  <w:num w:numId="24">
    <w:abstractNumId w:val="14"/>
  </w:num>
  <w:num w:numId="25">
    <w:abstractNumId w:val="24"/>
  </w:num>
  <w:num w:numId="26">
    <w:abstractNumId w:val="5"/>
  </w:num>
  <w:num w:numId="27">
    <w:abstractNumId w:val="20"/>
  </w:num>
  <w:num w:numId="28">
    <w:abstractNumId w:val="19"/>
  </w:num>
  <w:num w:numId="29">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02"/>
    <w:rsid w:val="000040C1"/>
    <w:rsid w:val="00004F7C"/>
    <w:rsid w:val="00011B6C"/>
    <w:rsid w:val="00016489"/>
    <w:rsid w:val="0002282E"/>
    <w:rsid w:val="00030F6A"/>
    <w:rsid w:val="0004217E"/>
    <w:rsid w:val="00047941"/>
    <w:rsid w:val="000756BF"/>
    <w:rsid w:val="000773DA"/>
    <w:rsid w:val="000801B8"/>
    <w:rsid w:val="00081B26"/>
    <w:rsid w:val="00083166"/>
    <w:rsid w:val="00084364"/>
    <w:rsid w:val="00093D63"/>
    <w:rsid w:val="000A613A"/>
    <w:rsid w:val="000A77D2"/>
    <w:rsid w:val="000B5E67"/>
    <w:rsid w:val="000D0F44"/>
    <w:rsid w:val="000D58E6"/>
    <w:rsid w:val="000E54CF"/>
    <w:rsid w:val="00100ADE"/>
    <w:rsid w:val="0010296C"/>
    <w:rsid w:val="00103775"/>
    <w:rsid w:val="0011108E"/>
    <w:rsid w:val="001140C0"/>
    <w:rsid w:val="00116DE4"/>
    <w:rsid w:val="00124B5C"/>
    <w:rsid w:val="00126A02"/>
    <w:rsid w:val="00132E6C"/>
    <w:rsid w:val="00134972"/>
    <w:rsid w:val="00141745"/>
    <w:rsid w:val="00151031"/>
    <w:rsid w:val="00152A4A"/>
    <w:rsid w:val="00156E59"/>
    <w:rsid w:val="00165354"/>
    <w:rsid w:val="00166334"/>
    <w:rsid w:val="0016637C"/>
    <w:rsid w:val="0018405E"/>
    <w:rsid w:val="001840EA"/>
    <w:rsid w:val="001A1782"/>
    <w:rsid w:val="001A2A63"/>
    <w:rsid w:val="001A534F"/>
    <w:rsid w:val="001A5AB8"/>
    <w:rsid w:val="001B6D95"/>
    <w:rsid w:val="001B7D77"/>
    <w:rsid w:val="001C5F82"/>
    <w:rsid w:val="001C6AA1"/>
    <w:rsid w:val="001E12AB"/>
    <w:rsid w:val="001E7BF2"/>
    <w:rsid w:val="001F2792"/>
    <w:rsid w:val="001F368F"/>
    <w:rsid w:val="00201472"/>
    <w:rsid w:val="00255810"/>
    <w:rsid w:val="00255DC5"/>
    <w:rsid w:val="00280AC2"/>
    <w:rsid w:val="00282546"/>
    <w:rsid w:val="0028491F"/>
    <w:rsid w:val="002A0AB9"/>
    <w:rsid w:val="002A667B"/>
    <w:rsid w:val="002A6F77"/>
    <w:rsid w:val="002A7193"/>
    <w:rsid w:val="002B25E0"/>
    <w:rsid w:val="002B3C3B"/>
    <w:rsid w:val="002B5E27"/>
    <w:rsid w:val="002B6CAE"/>
    <w:rsid w:val="002C267A"/>
    <w:rsid w:val="002C5FFD"/>
    <w:rsid w:val="002D1E9B"/>
    <w:rsid w:val="002D2E71"/>
    <w:rsid w:val="002E1D3C"/>
    <w:rsid w:val="002F6A85"/>
    <w:rsid w:val="003163CD"/>
    <w:rsid w:val="00316501"/>
    <w:rsid w:val="00325A95"/>
    <w:rsid w:val="00327991"/>
    <w:rsid w:val="00331438"/>
    <w:rsid w:val="00335923"/>
    <w:rsid w:val="00336B04"/>
    <w:rsid w:val="00337AEA"/>
    <w:rsid w:val="0034500B"/>
    <w:rsid w:val="00346B97"/>
    <w:rsid w:val="003506F4"/>
    <w:rsid w:val="00351CE5"/>
    <w:rsid w:val="00353B8D"/>
    <w:rsid w:val="00354FA1"/>
    <w:rsid w:val="00354FF0"/>
    <w:rsid w:val="003561F1"/>
    <w:rsid w:val="00356939"/>
    <w:rsid w:val="00365121"/>
    <w:rsid w:val="00376609"/>
    <w:rsid w:val="00383349"/>
    <w:rsid w:val="00383F95"/>
    <w:rsid w:val="00384372"/>
    <w:rsid w:val="003871C8"/>
    <w:rsid w:val="00397B63"/>
    <w:rsid w:val="003A094D"/>
    <w:rsid w:val="003A18CB"/>
    <w:rsid w:val="003A35D3"/>
    <w:rsid w:val="003A7383"/>
    <w:rsid w:val="003B0613"/>
    <w:rsid w:val="003B425F"/>
    <w:rsid w:val="003C2E7E"/>
    <w:rsid w:val="003D0D0E"/>
    <w:rsid w:val="003E146A"/>
    <w:rsid w:val="003E3E20"/>
    <w:rsid w:val="003F30E0"/>
    <w:rsid w:val="00426E4D"/>
    <w:rsid w:val="00434A1B"/>
    <w:rsid w:val="0043679C"/>
    <w:rsid w:val="004408CB"/>
    <w:rsid w:val="00440FF7"/>
    <w:rsid w:val="004A1200"/>
    <w:rsid w:val="004B5283"/>
    <w:rsid w:val="004C0DF5"/>
    <w:rsid w:val="004C34DA"/>
    <w:rsid w:val="004C4771"/>
    <w:rsid w:val="004D1AFF"/>
    <w:rsid w:val="004E15E0"/>
    <w:rsid w:val="004E35C6"/>
    <w:rsid w:val="004E67C1"/>
    <w:rsid w:val="004E6C31"/>
    <w:rsid w:val="004E75FF"/>
    <w:rsid w:val="004F4298"/>
    <w:rsid w:val="004F6183"/>
    <w:rsid w:val="005046D3"/>
    <w:rsid w:val="00506BA3"/>
    <w:rsid w:val="00540C90"/>
    <w:rsid w:val="005509ED"/>
    <w:rsid w:val="00552D3F"/>
    <w:rsid w:val="0055444A"/>
    <w:rsid w:val="0056049A"/>
    <w:rsid w:val="005637FB"/>
    <w:rsid w:val="005653A2"/>
    <w:rsid w:val="00576A79"/>
    <w:rsid w:val="00576A7E"/>
    <w:rsid w:val="00577D4C"/>
    <w:rsid w:val="0058123A"/>
    <w:rsid w:val="00593B8B"/>
    <w:rsid w:val="005A29A0"/>
    <w:rsid w:val="005A2DDB"/>
    <w:rsid w:val="005A7669"/>
    <w:rsid w:val="005B55B1"/>
    <w:rsid w:val="005B5AAC"/>
    <w:rsid w:val="005B7A46"/>
    <w:rsid w:val="005C670B"/>
    <w:rsid w:val="005D76C6"/>
    <w:rsid w:val="005E29EF"/>
    <w:rsid w:val="005E599B"/>
    <w:rsid w:val="005F0251"/>
    <w:rsid w:val="005F2F6F"/>
    <w:rsid w:val="005F3C90"/>
    <w:rsid w:val="005F7A09"/>
    <w:rsid w:val="00604717"/>
    <w:rsid w:val="00605397"/>
    <w:rsid w:val="00611CC5"/>
    <w:rsid w:val="006274EC"/>
    <w:rsid w:val="00631E03"/>
    <w:rsid w:val="00643D71"/>
    <w:rsid w:val="00644830"/>
    <w:rsid w:val="006456CE"/>
    <w:rsid w:val="006504A7"/>
    <w:rsid w:val="00664F63"/>
    <w:rsid w:val="00670A31"/>
    <w:rsid w:val="00671846"/>
    <w:rsid w:val="0067222B"/>
    <w:rsid w:val="00676F0E"/>
    <w:rsid w:val="00677719"/>
    <w:rsid w:val="00680B7C"/>
    <w:rsid w:val="00680F92"/>
    <w:rsid w:val="00681341"/>
    <w:rsid w:val="00681487"/>
    <w:rsid w:val="006817FF"/>
    <w:rsid w:val="00687235"/>
    <w:rsid w:val="00691508"/>
    <w:rsid w:val="0069356B"/>
    <w:rsid w:val="00695AFC"/>
    <w:rsid w:val="006A1AEB"/>
    <w:rsid w:val="006A1E14"/>
    <w:rsid w:val="006A28F0"/>
    <w:rsid w:val="006A5563"/>
    <w:rsid w:val="006A798C"/>
    <w:rsid w:val="006B67EE"/>
    <w:rsid w:val="006C5B2F"/>
    <w:rsid w:val="006C7FDA"/>
    <w:rsid w:val="006E2647"/>
    <w:rsid w:val="006E2CF3"/>
    <w:rsid w:val="006F1E1D"/>
    <w:rsid w:val="006F5C1D"/>
    <w:rsid w:val="007338BA"/>
    <w:rsid w:val="00737564"/>
    <w:rsid w:val="00737C20"/>
    <w:rsid w:val="00737EF8"/>
    <w:rsid w:val="007406B8"/>
    <w:rsid w:val="00754D1A"/>
    <w:rsid w:val="00770A31"/>
    <w:rsid w:val="007774C5"/>
    <w:rsid w:val="00780B5A"/>
    <w:rsid w:val="007825DB"/>
    <w:rsid w:val="0078501F"/>
    <w:rsid w:val="00796042"/>
    <w:rsid w:val="007A3192"/>
    <w:rsid w:val="007A4C07"/>
    <w:rsid w:val="007A63CC"/>
    <w:rsid w:val="007A6439"/>
    <w:rsid w:val="007B2F17"/>
    <w:rsid w:val="007C2627"/>
    <w:rsid w:val="007C5B8A"/>
    <w:rsid w:val="007C7898"/>
    <w:rsid w:val="007C7AA7"/>
    <w:rsid w:val="007D30C9"/>
    <w:rsid w:val="007D51DD"/>
    <w:rsid w:val="007E0A18"/>
    <w:rsid w:val="007E221A"/>
    <w:rsid w:val="007E36E2"/>
    <w:rsid w:val="00803E2C"/>
    <w:rsid w:val="00807ED6"/>
    <w:rsid w:val="00810E21"/>
    <w:rsid w:val="0081277D"/>
    <w:rsid w:val="008248D3"/>
    <w:rsid w:val="00834BCC"/>
    <w:rsid w:val="0084017E"/>
    <w:rsid w:val="008417F4"/>
    <w:rsid w:val="008620BA"/>
    <w:rsid w:val="00867BC1"/>
    <w:rsid w:val="00872EC1"/>
    <w:rsid w:val="00875237"/>
    <w:rsid w:val="00882F45"/>
    <w:rsid w:val="00886E8F"/>
    <w:rsid w:val="00895934"/>
    <w:rsid w:val="008A3873"/>
    <w:rsid w:val="008A402F"/>
    <w:rsid w:val="008A6D5D"/>
    <w:rsid w:val="008B204E"/>
    <w:rsid w:val="008B38F9"/>
    <w:rsid w:val="008C5B0B"/>
    <w:rsid w:val="008C7F73"/>
    <w:rsid w:val="008D1641"/>
    <w:rsid w:val="008D7E56"/>
    <w:rsid w:val="008E151E"/>
    <w:rsid w:val="00900BC8"/>
    <w:rsid w:val="00913981"/>
    <w:rsid w:val="00913C44"/>
    <w:rsid w:val="009200CE"/>
    <w:rsid w:val="009232E1"/>
    <w:rsid w:val="0092597C"/>
    <w:rsid w:val="00927F0C"/>
    <w:rsid w:val="0093634B"/>
    <w:rsid w:val="00936856"/>
    <w:rsid w:val="00941C1F"/>
    <w:rsid w:val="00951FE4"/>
    <w:rsid w:val="00953080"/>
    <w:rsid w:val="009546C2"/>
    <w:rsid w:val="0095784D"/>
    <w:rsid w:val="00975AC5"/>
    <w:rsid w:val="0097673A"/>
    <w:rsid w:val="00982FCB"/>
    <w:rsid w:val="00983C3E"/>
    <w:rsid w:val="00990E84"/>
    <w:rsid w:val="009923EC"/>
    <w:rsid w:val="0099667E"/>
    <w:rsid w:val="009971A8"/>
    <w:rsid w:val="009A6920"/>
    <w:rsid w:val="009B64F1"/>
    <w:rsid w:val="009D4730"/>
    <w:rsid w:val="009E3479"/>
    <w:rsid w:val="00A07C1A"/>
    <w:rsid w:val="00A14AB3"/>
    <w:rsid w:val="00A1797B"/>
    <w:rsid w:val="00A24230"/>
    <w:rsid w:val="00A3173A"/>
    <w:rsid w:val="00A417E6"/>
    <w:rsid w:val="00A4266A"/>
    <w:rsid w:val="00A7057F"/>
    <w:rsid w:val="00A70EAE"/>
    <w:rsid w:val="00A82579"/>
    <w:rsid w:val="00A84EE5"/>
    <w:rsid w:val="00A86777"/>
    <w:rsid w:val="00AA0507"/>
    <w:rsid w:val="00AD3F46"/>
    <w:rsid w:val="00AD51B3"/>
    <w:rsid w:val="00AE7C0B"/>
    <w:rsid w:val="00AF26CB"/>
    <w:rsid w:val="00AF3C55"/>
    <w:rsid w:val="00B00091"/>
    <w:rsid w:val="00B029AB"/>
    <w:rsid w:val="00B05EFD"/>
    <w:rsid w:val="00B13BBB"/>
    <w:rsid w:val="00B26312"/>
    <w:rsid w:val="00B305D4"/>
    <w:rsid w:val="00B40579"/>
    <w:rsid w:val="00B4124C"/>
    <w:rsid w:val="00B426F2"/>
    <w:rsid w:val="00B535DD"/>
    <w:rsid w:val="00B53F4A"/>
    <w:rsid w:val="00B72787"/>
    <w:rsid w:val="00B90085"/>
    <w:rsid w:val="00B9109F"/>
    <w:rsid w:val="00B94E81"/>
    <w:rsid w:val="00BA1D64"/>
    <w:rsid w:val="00BA27DD"/>
    <w:rsid w:val="00BA74F2"/>
    <w:rsid w:val="00BB2CC7"/>
    <w:rsid w:val="00BC6E56"/>
    <w:rsid w:val="00BC7227"/>
    <w:rsid w:val="00BC79CE"/>
    <w:rsid w:val="00BD4DEB"/>
    <w:rsid w:val="00BE1A70"/>
    <w:rsid w:val="00BE2076"/>
    <w:rsid w:val="00BF0AAC"/>
    <w:rsid w:val="00BF797E"/>
    <w:rsid w:val="00C136DC"/>
    <w:rsid w:val="00C300B5"/>
    <w:rsid w:val="00C373A2"/>
    <w:rsid w:val="00C4198A"/>
    <w:rsid w:val="00C442C2"/>
    <w:rsid w:val="00C53C24"/>
    <w:rsid w:val="00C55438"/>
    <w:rsid w:val="00C555BB"/>
    <w:rsid w:val="00C5773E"/>
    <w:rsid w:val="00C60889"/>
    <w:rsid w:val="00C7111C"/>
    <w:rsid w:val="00C73CE7"/>
    <w:rsid w:val="00C73E26"/>
    <w:rsid w:val="00C7727B"/>
    <w:rsid w:val="00C83075"/>
    <w:rsid w:val="00CA1F38"/>
    <w:rsid w:val="00CA22C5"/>
    <w:rsid w:val="00CA3986"/>
    <w:rsid w:val="00CA4677"/>
    <w:rsid w:val="00CB6FEE"/>
    <w:rsid w:val="00CD5159"/>
    <w:rsid w:val="00CF1F3F"/>
    <w:rsid w:val="00CF667B"/>
    <w:rsid w:val="00D006F6"/>
    <w:rsid w:val="00D21D01"/>
    <w:rsid w:val="00D27733"/>
    <w:rsid w:val="00D31385"/>
    <w:rsid w:val="00D3222C"/>
    <w:rsid w:val="00D371DA"/>
    <w:rsid w:val="00D4046E"/>
    <w:rsid w:val="00D460F6"/>
    <w:rsid w:val="00D64765"/>
    <w:rsid w:val="00D85A3A"/>
    <w:rsid w:val="00D85E39"/>
    <w:rsid w:val="00D86EA9"/>
    <w:rsid w:val="00D969F3"/>
    <w:rsid w:val="00DA2309"/>
    <w:rsid w:val="00DB448B"/>
    <w:rsid w:val="00DC68AF"/>
    <w:rsid w:val="00DC6D40"/>
    <w:rsid w:val="00DD1059"/>
    <w:rsid w:val="00DD735D"/>
    <w:rsid w:val="00DE0E38"/>
    <w:rsid w:val="00DF5F8D"/>
    <w:rsid w:val="00DF7EF5"/>
    <w:rsid w:val="00E048E2"/>
    <w:rsid w:val="00E04E83"/>
    <w:rsid w:val="00E05B48"/>
    <w:rsid w:val="00E22DFE"/>
    <w:rsid w:val="00E2447C"/>
    <w:rsid w:val="00E306C8"/>
    <w:rsid w:val="00E31EEB"/>
    <w:rsid w:val="00E553DF"/>
    <w:rsid w:val="00E6086B"/>
    <w:rsid w:val="00E70117"/>
    <w:rsid w:val="00E873AE"/>
    <w:rsid w:val="00E91AA6"/>
    <w:rsid w:val="00E95DDC"/>
    <w:rsid w:val="00E970D1"/>
    <w:rsid w:val="00EA0ECC"/>
    <w:rsid w:val="00EA6F0E"/>
    <w:rsid w:val="00EC0D27"/>
    <w:rsid w:val="00EC0DF7"/>
    <w:rsid w:val="00EC103F"/>
    <w:rsid w:val="00EC295A"/>
    <w:rsid w:val="00EC333A"/>
    <w:rsid w:val="00EC7A55"/>
    <w:rsid w:val="00ED0239"/>
    <w:rsid w:val="00EF40C8"/>
    <w:rsid w:val="00EF79FB"/>
    <w:rsid w:val="00F06C93"/>
    <w:rsid w:val="00F10EFF"/>
    <w:rsid w:val="00F302A9"/>
    <w:rsid w:val="00F32FE2"/>
    <w:rsid w:val="00F45502"/>
    <w:rsid w:val="00F47293"/>
    <w:rsid w:val="00F72437"/>
    <w:rsid w:val="00F73A21"/>
    <w:rsid w:val="00F74194"/>
    <w:rsid w:val="00F76E29"/>
    <w:rsid w:val="00F93AE5"/>
    <w:rsid w:val="00F94511"/>
    <w:rsid w:val="00F960B5"/>
    <w:rsid w:val="00FB0E70"/>
    <w:rsid w:val="00FB1867"/>
    <w:rsid w:val="00FB6A85"/>
    <w:rsid w:val="00FB7E2D"/>
    <w:rsid w:val="00FC4404"/>
    <w:rsid w:val="00FC77A5"/>
    <w:rsid w:val="00FD7B4B"/>
    <w:rsid w:val="00FF18CF"/>
    <w:rsid w:val="01845703"/>
    <w:rsid w:val="1C498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5E9B5"/>
  <w15:docId w15:val="{5CBD79A3-63F9-47D3-88A7-E879085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0CE"/>
    <w:rPr>
      <w:rFonts w:ascii="Arial" w:hAnsi="Arial"/>
      <w:sz w:val="24"/>
      <w:szCs w:val="22"/>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NoSpacing">
    <w:name w:val="No Spacing"/>
    <w:uiPriority w:val="1"/>
    <w:qFormat/>
    <w:rsid w:val="0043679C"/>
    <w:rPr>
      <w:rFonts w:ascii="Arial" w:hAnsi="Arial"/>
      <w:sz w:val="24"/>
      <w:szCs w:val="22"/>
    </w:rPr>
  </w:style>
  <w:style w:type="paragraph" w:styleId="Title">
    <w:name w:val="Title"/>
    <w:basedOn w:val="Normal"/>
    <w:link w:val="TitleChar"/>
    <w:qFormat/>
    <w:rsid w:val="00152A4A"/>
    <w:pPr>
      <w:jc w:val="center"/>
    </w:pPr>
    <w:rPr>
      <w:rFonts w:eastAsia="Times New Roman"/>
      <w:b/>
      <w:szCs w:val="20"/>
      <w:u w:val="single"/>
    </w:rPr>
  </w:style>
  <w:style w:type="character" w:customStyle="1" w:styleId="TitleChar">
    <w:name w:val="Title Char"/>
    <w:link w:val="Title"/>
    <w:rsid w:val="00152A4A"/>
    <w:rPr>
      <w:rFonts w:ascii="Arial" w:eastAsia="Times New Roman" w:hAnsi="Arial"/>
      <w:b/>
      <w:sz w:val="24"/>
      <w:u w:val="single"/>
    </w:rPr>
  </w:style>
  <w:style w:type="paragraph" w:styleId="ListParagraph">
    <w:name w:val="List Paragraph"/>
    <w:basedOn w:val="Normal"/>
    <w:uiPriority w:val="34"/>
    <w:qFormat/>
    <w:rsid w:val="00126A02"/>
    <w:pPr>
      <w:ind w:left="720"/>
      <w:contextualSpacing/>
    </w:pPr>
    <w:rPr>
      <w:rFonts w:eastAsiaTheme="minorHAnsi" w:cstheme="minorBidi"/>
    </w:rPr>
  </w:style>
  <w:style w:type="paragraph" w:customStyle="1" w:styleId="Quick1">
    <w:name w:val="Quick 1."/>
    <w:basedOn w:val="Normal"/>
    <w:rsid w:val="00126A02"/>
    <w:pPr>
      <w:widowControl w:val="0"/>
      <w:numPr>
        <w:numId w:val="5"/>
      </w:numPr>
      <w:autoSpaceDE w:val="0"/>
      <w:autoSpaceDN w:val="0"/>
      <w:adjustRightInd w:val="0"/>
      <w:ind w:left="720" w:hanging="720"/>
    </w:pPr>
    <w:rPr>
      <w:rFonts w:ascii="Times New Roman" w:eastAsia="Times New Roman" w:hAnsi="Times New Roman"/>
      <w:sz w:val="20"/>
      <w:szCs w:val="24"/>
    </w:rPr>
  </w:style>
  <w:style w:type="character" w:styleId="UnresolvedMention">
    <w:name w:val="Unresolved Mention"/>
    <w:basedOn w:val="DefaultParagraphFont"/>
    <w:uiPriority w:val="99"/>
    <w:semiHidden/>
    <w:unhideWhenUsed/>
    <w:rsid w:val="00336B04"/>
    <w:rPr>
      <w:color w:val="605E5C"/>
      <w:shd w:val="clear" w:color="auto" w:fill="E1DFDD"/>
    </w:rPr>
  </w:style>
  <w:style w:type="paragraph" w:customStyle="1" w:styleId="paragraph">
    <w:name w:val="paragraph"/>
    <w:basedOn w:val="Normal"/>
    <w:rsid w:val="006A798C"/>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6A798C"/>
  </w:style>
  <w:style w:type="character" w:customStyle="1" w:styleId="spellingerror">
    <w:name w:val="spellingerror"/>
    <w:basedOn w:val="DefaultParagraphFont"/>
    <w:rsid w:val="006A798C"/>
  </w:style>
  <w:style w:type="character" w:customStyle="1" w:styleId="eop">
    <w:name w:val="eop"/>
    <w:basedOn w:val="DefaultParagraphFont"/>
    <w:rsid w:val="006A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4931">
      <w:bodyDiv w:val="1"/>
      <w:marLeft w:val="0"/>
      <w:marRight w:val="0"/>
      <w:marTop w:val="0"/>
      <w:marBottom w:val="0"/>
      <w:divBdr>
        <w:top w:val="none" w:sz="0" w:space="0" w:color="auto"/>
        <w:left w:val="none" w:sz="0" w:space="0" w:color="auto"/>
        <w:bottom w:val="none" w:sz="0" w:space="0" w:color="auto"/>
        <w:right w:val="none" w:sz="0" w:space="0" w:color="auto"/>
      </w:divBdr>
    </w:div>
    <w:div w:id="74135644">
      <w:bodyDiv w:val="1"/>
      <w:marLeft w:val="0"/>
      <w:marRight w:val="0"/>
      <w:marTop w:val="0"/>
      <w:marBottom w:val="0"/>
      <w:divBdr>
        <w:top w:val="none" w:sz="0" w:space="0" w:color="auto"/>
        <w:left w:val="none" w:sz="0" w:space="0" w:color="auto"/>
        <w:bottom w:val="none" w:sz="0" w:space="0" w:color="auto"/>
        <w:right w:val="none" w:sz="0" w:space="0" w:color="auto"/>
      </w:divBdr>
    </w:div>
    <w:div w:id="193662869">
      <w:bodyDiv w:val="1"/>
      <w:marLeft w:val="0"/>
      <w:marRight w:val="0"/>
      <w:marTop w:val="0"/>
      <w:marBottom w:val="0"/>
      <w:divBdr>
        <w:top w:val="none" w:sz="0" w:space="0" w:color="auto"/>
        <w:left w:val="none" w:sz="0" w:space="0" w:color="auto"/>
        <w:bottom w:val="none" w:sz="0" w:space="0" w:color="auto"/>
        <w:right w:val="none" w:sz="0" w:space="0" w:color="auto"/>
      </w:divBdr>
    </w:div>
    <w:div w:id="324364680">
      <w:bodyDiv w:val="1"/>
      <w:marLeft w:val="0"/>
      <w:marRight w:val="0"/>
      <w:marTop w:val="0"/>
      <w:marBottom w:val="0"/>
      <w:divBdr>
        <w:top w:val="none" w:sz="0" w:space="0" w:color="auto"/>
        <w:left w:val="none" w:sz="0" w:space="0" w:color="auto"/>
        <w:bottom w:val="none" w:sz="0" w:space="0" w:color="auto"/>
        <w:right w:val="none" w:sz="0" w:space="0" w:color="auto"/>
      </w:divBdr>
      <w:divsChild>
        <w:div w:id="1182890462">
          <w:marLeft w:val="0"/>
          <w:marRight w:val="0"/>
          <w:marTop w:val="0"/>
          <w:marBottom w:val="0"/>
          <w:divBdr>
            <w:top w:val="none" w:sz="0" w:space="0" w:color="auto"/>
            <w:left w:val="none" w:sz="0" w:space="0" w:color="auto"/>
            <w:bottom w:val="none" w:sz="0" w:space="0" w:color="auto"/>
            <w:right w:val="none" w:sz="0" w:space="0" w:color="auto"/>
          </w:divBdr>
        </w:div>
        <w:div w:id="2103452925">
          <w:marLeft w:val="0"/>
          <w:marRight w:val="0"/>
          <w:marTop w:val="0"/>
          <w:marBottom w:val="0"/>
          <w:divBdr>
            <w:top w:val="none" w:sz="0" w:space="0" w:color="auto"/>
            <w:left w:val="none" w:sz="0" w:space="0" w:color="auto"/>
            <w:bottom w:val="none" w:sz="0" w:space="0" w:color="auto"/>
            <w:right w:val="none" w:sz="0" w:space="0" w:color="auto"/>
          </w:divBdr>
        </w:div>
        <w:div w:id="1362584637">
          <w:marLeft w:val="0"/>
          <w:marRight w:val="0"/>
          <w:marTop w:val="0"/>
          <w:marBottom w:val="0"/>
          <w:divBdr>
            <w:top w:val="none" w:sz="0" w:space="0" w:color="auto"/>
            <w:left w:val="none" w:sz="0" w:space="0" w:color="auto"/>
            <w:bottom w:val="none" w:sz="0" w:space="0" w:color="auto"/>
            <w:right w:val="none" w:sz="0" w:space="0" w:color="auto"/>
          </w:divBdr>
        </w:div>
      </w:divsChild>
    </w:div>
    <w:div w:id="343287585">
      <w:bodyDiv w:val="1"/>
      <w:marLeft w:val="0"/>
      <w:marRight w:val="0"/>
      <w:marTop w:val="0"/>
      <w:marBottom w:val="0"/>
      <w:divBdr>
        <w:top w:val="none" w:sz="0" w:space="0" w:color="auto"/>
        <w:left w:val="none" w:sz="0" w:space="0" w:color="auto"/>
        <w:bottom w:val="none" w:sz="0" w:space="0" w:color="auto"/>
        <w:right w:val="none" w:sz="0" w:space="0" w:color="auto"/>
      </w:divBdr>
      <w:divsChild>
        <w:div w:id="1380011207">
          <w:marLeft w:val="0"/>
          <w:marRight w:val="0"/>
          <w:marTop w:val="0"/>
          <w:marBottom w:val="0"/>
          <w:divBdr>
            <w:top w:val="none" w:sz="0" w:space="0" w:color="auto"/>
            <w:left w:val="none" w:sz="0" w:space="0" w:color="auto"/>
            <w:bottom w:val="none" w:sz="0" w:space="0" w:color="auto"/>
            <w:right w:val="none" w:sz="0" w:space="0" w:color="auto"/>
          </w:divBdr>
        </w:div>
      </w:divsChild>
    </w:div>
    <w:div w:id="1602028591">
      <w:bodyDiv w:val="1"/>
      <w:marLeft w:val="0"/>
      <w:marRight w:val="0"/>
      <w:marTop w:val="0"/>
      <w:marBottom w:val="0"/>
      <w:divBdr>
        <w:top w:val="none" w:sz="0" w:space="0" w:color="auto"/>
        <w:left w:val="none" w:sz="0" w:space="0" w:color="auto"/>
        <w:bottom w:val="none" w:sz="0" w:space="0" w:color="auto"/>
        <w:right w:val="none" w:sz="0" w:space="0" w:color="auto"/>
      </w:divBdr>
    </w:div>
    <w:div w:id="181209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www.uinet.com%2Fwps%2Fportal%2Fuinet%2Fsmartenergy%2Finnovation%2Fdistributed_generation%2F!ut%2Fp%2Fz1%2FvZNLc4IwFIV_SxcsmUQegkukFGl51AcC2TAUAsYpQTFa--8bOs7gRul0Os0umXNPvntzAhCIAaLZiVQZIw3N3vk-QeNUHnnWTDGhrzuKCufB0vNf3JUEXQlEdwVjGaCf1MMby4BD9WuAAMop27ENSI6EYpZVbdr3IMANzgrcCvBQZy3DFLfVpwAJpc3pIijIgbXk7chwkVad4Pu8893lpADJRFPUQhqrYqHBTFQkFYt6iXURlpKcF-UEykXeqSPTS203mBpuagb-yopXIBFg6PjWyrAXqX_FNLswLTsm68LkXDE9XjHZPVM09Bzo_jCjjnPgvYY8Es6g9Q5w7Yy4g_ekzKeBpLsaiE4Ef4CQNm3NE7T83SDnobXgN_3DTGcQPA-ljH8DqfVMr-KtZGwjElo2IO5DBOIbIeKFZLvfI4OHtKEMnxmI_zSluzoMa12uxRhu1arWz6IdvbrGwxeP4hLY%2F%3F1dmy%26current%3Dtrue%26urile%3Dwcm%3Apath%3A%2Fuinetagr_smartenergy%2Fsmartenergy%2Finnovation%2Fdistributed_generation%2Fguidelines_for_generator_interconnection_fast_track_and_study_process&amp;data=04%7C01%7CZachary.Alexander%40ct.gov%7C475ea6b8d6674888318508d9db6bc1d6%7C118b7cfaa3dd48b9b02631ff69bb738b%7C0%7C0%7C637782078130863817%7CUnknown%7CTWFpbGZsb3d8eyJWIjoiMC4wLjAwMDAiLCJQIjoiV2luMzIiLCJBTiI6Ik1haWwiLCJXVCI6Mn0%3D%7C3000&amp;sdata=74kxeeoEVqn5GuP8TlzJWL%2BiN1xevxVBmVBCRcdMjts%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www.uinet.com%2Fwps%2Fportal%2Fuinet%2Fsmartenergy%2Finnovation%2Fdistributed_generation%2F!ut%2Fp%2Fz1%2FvZNLc4IwFIV_SxcsmUQegkukFGl51AcC2TAUAsYpQTFa--8bOs7gRul0Os0umXNPvntzAhCIAaLZiVQZIw3N3vk-QeNUHnnWTDGhrzuKCufB0vNf3JUEXQlEdwVjGaCf1MMby4BD9WuAAMop27ENSI6EYpZVbdr3IMANzgrcCvBQZy3DFLfVpwAJpc3pIijIgbXk7chwkVad4Pu8893lpADJRFPUQhqrYqHBTFQkFYt6iXURlpKcF-UEykXeqSPTS203mBpuagb-yopXIBFg6PjWyrAXqX_FNLswLTsm68LkXDE9XjHZPVM09Bzo_jCjjnPgvYY8Es6g9Q5w7Yy4g_ekzKeBpLsaiE4Ef4CQNm3NE7T83SDnobXgN_3DTGcQPA-ljH8DqfVMr-KtZGwjElo2IO5DBOIbIeKFZLvfI4OHtKEMnxmI_zSluzoMa12uxRhu1arWz6IdvbrGwxeP4hLY%2F%3F1dmy%26current%3Dtrue%26urile%3Dwcm%253apath%253a%252Fuinetagr_smartenergy%252Fsmartenergy%252Finnovation%252Fdistributed_generation%252Fres-25kw-or-less-guidelines&amp;data=04%7C01%7CZachary.Alexander%40ct.gov%7C475ea6b8d6674888318508d9db6bc1d6%7C118b7cfaa3dd48b9b02631ff69bb738b%7C0%7C0%7C637782078130863817%7CUnknown%7CTWFpbGZsb3d8eyJWIjoiMC4wLjAwMDAiLCJQIjoiV2luMzIiLCJBTiI6Ik1haWwiLCJXVCI6Mn0%3D%7C3000&amp;sdata=w8QWy7zTjAdlT6kyNr9MCBsDJt6TOhTVg55He5r%2BiGk%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www.uinet.com%2Fwps%2Fportal%2Fuinet%2Fsmartenergy%2Finnovation%2Fdistributed_generation%2F!ut%2Fp%2Fz1%2FvZNLc4IwFIV_SxcsmUQegkukFGl51AcC2TAUAsYpQTFa--8bOs7gRul0Os0umXNPvntzAhCIAaLZiVQZIw3N3vk-QeNUHnnWTDGhrzuKCufB0vNf3JUEXQlEdwVjGaCf1MMby4BD9WuAAMop27ENSI6EYpZVbdr3IMANzgrcCvBQZy3DFLfVpwAJpc3pIijIgbXk7chwkVad4Pu8893lpADJRFPUQhqrYqHBTFQkFYt6iXURlpKcF-UEykXeqSPTS203mBpuagb-yopXIBFg6PjWyrAXqX_FNLswLTsm68LkXDE9XjHZPVM09Bzo_jCjjnPgvYY8Es6g9Q5w7Yy4g_ekzKeBpLsaiE4Ef4CQNm3NE7T83SDnobXgN_3DTGcQPA-ljH8DqfVMr-KtZGwjElo2IO5DBOIbIeKFZLvfI4OHtKEMnxmI_zSluzoMa12uxRhu1arWz6IdvbrGwxeP4hLY%2F%3F1dmy%26current%3Dtrue%26urile%3Dwcm%253apath%253a%252Fuinetagr_smartenergy%252Fsmartenergy%252Finnovation%252Fdistributed_generation%252Fexhibit_b_generator_interconnection_technical_requirements_doc&amp;data=04%7C01%7CZachary.Alexander%40ct.gov%7C475ea6b8d6674888318508d9db6bc1d6%7C118b7cfaa3dd48b9b02631ff69bb738b%7C0%7C0%7C637782078130863817%7CUnknown%7CTWFpbGZsb3d8eyJWIjoiMC4wLjAwMDAiLCJQIjoiV2luMzIiLCJBTiI6Ik1haWwiLCJXVCI6Mn0%3D%7C3000&amp;sdata=hMYNmg3lAx7g0%2Bi%2FtqpWPRwqyMWV9mouVwPRP1vQ9N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50D960BD17A4C84C378FF478A2E91" ma:contentTypeVersion="2" ma:contentTypeDescription="Create a new document." ma:contentTypeScope="" ma:versionID="d36cbb0918f989ee8cf01a3077da76ed">
  <xsd:schema xmlns:xsd="http://www.w3.org/2001/XMLSchema" xmlns:xs="http://www.w3.org/2001/XMLSchema" xmlns:p="http://schemas.microsoft.com/office/2006/metadata/properties" xmlns:ns3="01d178fc-aace-4d06-8b61-57daa5c7bca1" targetNamespace="http://schemas.microsoft.com/office/2006/metadata/properties" ma:root="true" ma:fieldsID="05de3dd1af2d854918bb29602b9c45a2" ns3:_="">
    <xsd:import namespace="01d178fc-aace-4d06-8b61-57daa5c7bca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78fc-aace-4d06-8b61-57daa5c7b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998F5-6D16-4740-A8B3-26C85245B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78fc-aace-4d06-8b61-57daa5c7b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B15E2-C1DC-472C-B62E-5473C2BAB906}">
  <ds:schemaRefs>
    <ds:schemaRef ds:uri="http://schemas.microsoft.com/sharepoint/v3/contenttype/forms"/>
  </ds:schemaRefs>
</ds:datastoreItem>
</file>

<file path=customXml/itemProps3.xml><?xml version="1.0" encoding="utf-8"?>
<ds:datastoreItem xmlns:ds="http://schemas.openxmlformats.org/officeDocument/2006/customXml" ds:itemID="{96688983-69C9-4D2D-834B-2CDE7B5E19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AF3576-7F52-45D0-B776-832B6854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6496</TotalTime>
  <Pages>3</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Bergman</dc:creator>
  <cp:lastModifiedBy>Alexander, Zachary</cp:lastModifiedBy>
  <cp:revision>5</cp:revision>
  <cp:lastPrinted>2015-02-26T16:45:00Z</cp:lastPrinted>
  <dcterms:created xsi:type="dcterms:W3CDTF">2022-01-20T20:03:00Z</dcterms:created>
  <dcterms:modified xsi:type="dcterms:W3CDTF">2022-01-27T18:52:00Z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0x0101004A650D960BD17A4C84C378FF478A2E91</vt:lpwstr>
  </property>
</Properties>
</file>