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994B" w14:textId="77777777" w:rsidR="00152A4A" w:rsidRDefault="00DC68AF" w:rsidP="00152A4A">
      <w:pPr>
        <w:pStyle w:val="Title"/>
      </w:pPr>
      <w:r>
        <w:rPr>
          <w:noProof/>
        </w:rPr>
        <mc:AlternateContent>
          <mc:Choice Requires="wps">
            <w:drawing>
              <wp:anchor distT="0" distB="0" distL="114300" distR="114300" simplePos="0" relativeHeight="251657728" behindDoc="0" locked="0" layoutInCell="1" allowOverlap="1" wp14:anchorId="69511BD5" wp14:editId="67A59FE8">
                <wp:simplePos x="0" y="0"/>
                <wp:positionH relativeFrom="column">
                  <wp:posOffset>-243840</wp:posOffset>
                </wp:positionH>
                <wp:positionV relativeFrom="paragraph">
                  <wp:posOffset>-696595</wp:posOffset>
                </wp:positionV>
                <wp:extent cx="5943600" cy="1236980"/>
                <wp:effectExtent l="0" t="0" r="0" b="381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236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9511BD5" id="_x0000_t202" coordsize="21600,21600" o:spt="202" path="m,l,21600r21600,l21600,xe">
                <v:stroke joinstyle="miter"/>
                <v:path gradientshapeok="t" o:connecttype="rect"/>
              </v:shapetype>
              <v:shape id="Text Box 6" o:spid="_x0000_s1026" type="#_x0000_t202" style="position:absolute;left:0;text-align:left;margin-left:-19.2pt;margin-top:-54.85pt;width:468pt;height:97.4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zim8gEAAMkDAAAOAAAAZHJzL2Uyb0RvYy54bWysU8Fu2zAMvQ/YPwi6L07SNGuMOEWXIsOA&#10;rhvQ7QNkWbaFyaJAKbGzrx8lJ2nQ3Yb5IIii9Mj3+Ly+HzrDDgq9Blvw2WTKmbISKm2bgv/8sftw&#10;x5kPwlbCgFUFPyrP7zfv3617l6s5tGAqhYxArM97V/A2BJdnmZet6oSfgFOWkjVgJwKF2GQVip7Q&#10;O5PNp9Nl1gNWDkEq7+n0cUzyTcKvayXDt7r2KjBTcOotpBXTWsY126xF3qBwrZanNsQ/dNEJbano&#10;BepRBMH2qP+C6rRE8FCHiYQug7rWUiUOxGY2fcPmpRVOJS4kjncXmfz/g5XPhxf3HVkYPsFAA0wk&#10;vHsC+cszC9tW2EY9IELfKlFR4VmULOudz09Po9Q+9xGk7L9CRUMW+wAJaKixi6oQT0boNIDjRXQ1&#10;BCbp8Ha1uFlOKSUpN5vfLFd3aSyZyM/PHfrwWUHH4qbgSFNN8OLw5ENsR+TnK7GaB6OrnTYmBdiU&#10;W4PsIMgBu/QlBm+uGRsvW4jPRsR4knhGaiPJMJQDJSPfEqojMUYYHUV/AG1awN+c9eSmgluyO2fm&#10;iyXNVrPFIpovBYvbj3MK8DpTXmeElQRU8MDZuN2G0bB7h7ppqc55Sg+k804nBV57OnVNfknCnLwd&#10;DXkdp1uvf+DmDwAAAP//AwBQSwMEFAAGAAgAAAAhAPnlTQ3gAAAACwEAAA8AAABkcnMvZG93bnJl&#10;di54bWxMj91KxDAQRu8F3yGM4N1uWlf7Z9NFFEERFnb1AdIk2xabSU2y2/r2jld69w1z+OZMvV3s&#10;yM7Gh8GhgHSdADOonB6wE/Dx/rwqgIUoUcvRoRHwbQJsm8uLWlbazbg350PsGJVgqKSAPsap4jyo&#10;3lgZ1m4ySLuj81ZGGn3HtZczlduR3yRJxq0ckC70cjKPvVGfh5MV8DT49ku5zUuWv5Vqtw/H+XXH&#10;hbi+Wh7ugUWzxD8YfvVJHRpyat0JdWCjgNWmuCWUQpqUOTBCijLPgLUU7lLgTc3//9D8AAAA//8D&#10;AFBLAQItABQABgAIAAAAIQC2gziS/gAAAOEBAAATAAAAAAAAAAAAAAAAAAAAAABbQ29udGVudF9U&#10;eXBlc10ueG1sUEsBAi0AFAAGAAgAAAAhADj9If/WAAAAlAEAAAsAAAAAAAAAAAAAAAAALwEAAF9y&#10;ZWxzLy5yZWxzUEsBAi0AFAAGAAgAAAAhAGgHOKbyAQAAyQMAAA4AAAAAAAAAAAAAAAAALgIAAGRy&#10;cy9lMm9Eb2MueG1sUEsBAi0AFAAGAAgAAAAhAPnlTQ3gAAAACwEAAA8AAAAAAAAAAAAAAAAATAQA&#10;AGRycy9kb3ducmV2LnhtbFBLBQYAAAAABAAEAPMAAABZBQAAAAA=&#10;" stroked="f">
                <v:textbox style="mso-fit-shape-to-text:t">
                  <w:txbxContent>
                    <w:p w14:paraId="0F9A6BF3" w14:textId="77777777" w:rsidR="00D74B7F" w:rsidRDefault="00D74B7F" w:rsidP="00152A4A">
                      <w:r>
                        <w:rPr>
                          <w:noProof/>
                        </w:rPr>
                        <w:drawing>
                          <wp:inline distT="0" distB="0" distL="0" distR="0" wp14:anchorId="35E11B9B" wp14:editId="17ECE33A">
                            <wp:extent cx="6412865" cy="1139825"/>
                            <wp:effectExtent l="0" t="0" r="698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12865" cy="1139825"/>
                                    </a:xfrm>
                                    <a:prstGeom prst="rect">
                                      <a:avLst/>
                                    </a:prstGeom>
                                    <a:noFill/>
                                    <a:ln>
                                      <a:noFill/>
                                    </a:ln>
                                  </pic:spPr>
                                </pic:pic>
                              </a:graphicData>
                            </a:graphic>
                          </wp:inline>
                        </w:drawing>
                      </w:r>
                    </w:p>
                  </w:txbxContent>
                </v:textbox>
              </v:shape>
            </w:pict>
          </mc:Fallback>
        </mc:AlternateContent>
      </w:r>
    </w:p>
    <w:p w14:paraId="635FC88E" w14:textId="77777777" w:rsidR="007C5B8A" w:rsidRDefault="007C5B8A" w:rsidP="007C5B8A">
      <w:pPr>
        <w:jc w:val="center"/>
        <w:rPr>
          <w:szCs w:val="24"/>
        </w:rPr>
      </w:pPr>
    </w:p>
    <w:p w14:paraId="6C9DE898" w14:textId="77777777" w:rsidR="00B426F2" w:rsidRPr="002B7ECD" w:rsidRDefault="00B426F2" w:rsidP="007C5B8A">
      <w:pPr>
        <w:jc w:val="center"/>
        <w:rPr>
          <w:szCs w:val="24"/>
        </w:rPr>
      </w:pPr>
    </w:p>
    <w:p w14:paraId="00F0F679" w14:textId="4B3A5ADF" w:rsidR="00B426F2" w:rsidRPr="00B426F2" w:rsidRDefault="00B426F2" w:rsidP="00B426F2">
      <w:pPr>
        <w:jc w:val="center"/>
        <w:rPr>
          <w:szCs w:val="24"/>
        </w:rPr>
      </w:pPr>
      <w:r w:rsidRPr="00B426F2">
        <w:rPr>
          <w:szCs w:val="24"/>
        </w:rPr>
        <w:t>CONNECTICUT DISTRIBUTED GENERATION WORKING GROUP</w:t>
      </w:r>
      <w:r w:rsidR="00F633BD">
        <w:rPr>
          <w:szCs w:val="24"/>
        </w:rPr>
        <w:t xml:space="preserve"> – NONRESIDENTIAL INTERCONNECTION GUIDELINES SUBCOMMITTEE </w:t>
      </w:r>
    </w:p>
    <w:p w14:paraId="372C3F1F" w14:textId="77777777" w:rsidR="00B426F2" w:rsidRDefault="00B426F2" w:rsidP="007C5B8A">
      <w:pPr>
        <w:jc w:val="center"/>
        <w:rPr>
          <w:szCs w:val="24"/>
          <w:u w:val="single"/>
        </w:rPr>
      </w:pPr>
    </w:p>
    <w:p w14:paraId="377E66D3" w14:textId="18BD047E" w:rsidR="007C5B8A" w:rsidRPr="002B7ECD" w:rsidRDefault="00B426F2" w:rsidP="007C5B8A">
      <w:pPr>
        <w:jc w:val="center"/>
        <w:rPr>
          <w:szCs w:val="24"/>
          <w:u w:val="single"/>
        </w:rPr>
      </w:pPr>
      <w:r>
        <w:rPr>
          <w:szCs w:val="24"/>
          <w:u w:val="single"/>
        </w:rPr>
        <w:t>MEETING AGENDA</w:t>
      </w:r>
    </w:p>
    <w:p w14:paraId="073B7470" w14:textId="6DC6D9F2" w:rsidR="007C5B8A" w:rsidRPr="002B7ECD" w:rsidRDefault="00F633BD" w:rsidP="007C5B8A">
      <w:pPr>
        <w:jc w:val="center"/>
        <w:rPr>
          <w:szCs w:val="24"/>
        </w:rPr>
      </w:pPr>
      <w:r>
        <w:rPr>
          <w:szCs w:val="24"/>
        </w:rPr>
        <w:t>Wedne</w:t>
      </w:r>
      <w:r w:rsidR="00EA5846">
        <w:rPr>
          <w:szCs w:val="24"/>
        </w:rPr>
        <w:t>sday</w:t>
      </w:r>
      <w:r w:rsidR="00B426F2">
        <w:rPr>
          <w:szCs w:val="24"/>
        </w:rPr>
        <w:t xml:space="preserve">, </w:t>
      </w:r>
      <w:r>
        <w:rPr>
          <w:szCs w:val="24"/>
        </w:rPr>
        <w:t>December 14</w:t>
      </w:r>
      <w:r w:rsidR="00B426F2" w:rsidRPr="00B426F2">
        <w:rPr>
          <w:szCs w:val="24"/>
        </w:rPr>
        <w:t>, 202</w:t>
      </w:r>
      <w:r w:rsidR="00EA5846">
        <w:rPr>
          <w:szCs w:val="24"/>
        </w:rPr>
        <w:t>2</w:t>
      </w:r>
    </w:p>
    <w:p w14:paraId="0EEEA09E" w14:textId="287A438C" w:rsidR="00126A02" w:rsidRPr="00B426F2" w:rsidRDefault="00126A02" w:rsidP="00126A02">
      <w:pPr>
        <w:spacing w:line="360" w:lineRule="auto"/>
        <w:jc w:val="center"/>
        <w:rPr>
          <w:rFonts w:cs="Arial"/>
          <w:szCs w:val="24"/>
        </w:rPr>
      </w:pPr>
      <w:r w:rsidRPr="00B426F2">
        <w:rPr>
          <w:rFonts w:cs="Arial"/>
          <w:szCs w:val="24"/>
        </w:rPr>
        <w:t>9:00 AM – 1</w:t>
      </w:r>
      <w:r w:rsidR="00F633BD">
        <w:rPr>
          <w:rFonts w:cs="Arial"/>
          <w:szCs w:val="24"/>
        </w:rPr>
        <w:t>0</w:t>
      </w:r>
      <w:r w:rsidRPr="00B426F2">
        <w:rPr>
          <w:rFonts w:cs="Arial"/>
          <w:szCs w:val="24"/>
        </w:rPr>
        <w:t xml:space="preserve">:00 </w:t>
      </w:r>
      <w:r w:rsidR="00F633BD">
        <w:rPr>
          <w:rFonts w:cs="Arial"/>
          <w:szCs w:val="24"/>
        </w:rPr>
        <w:t>A</w:t>
      </w:r>
      <w:r w:rsidRPr="00B426F2">
        <w:rPr>
          <w:rFonts w:cs="Arial"/>
          <w:szCs w:val="24"/>
        </w:rPr>
        <w:t>M</w:t>
      </w:r>
    </w:p>
    <w:p w14:paraId="1C5F0DB7" w14:textId="494D7FE0" w:rsidR="00C568C8" w:rsidRDefault="00126A02" w:rsidP="00634473">
      <w:pPr>
        <w:jc w:val="center"/>
        <w:rPr>
          <w:rFonts w:cs="Arial"/>
          <w:szCs w:val="24"/>
        </w:rPr>
      </w:pPr>
      <w:r>
        <w:rPr>
          <w:rFonts w:cs="Arial"/>
          <w:szCs w:val="24"/>
        </w:rPr>
        <w:t xml:space="preserve">Location: </w:t>
      </w:r>
      <w:r w:rsidR="00336B04" w:rsidRPr="00336B04">
        <w:rPr>
          <w:rFonts w:cs="Arial"/>
          <w:szCs w:val="24"/>
        </w:rPr>
        <w:t xml:space="preserve">Microsoft Teams </w:t>
      </w:r>
    </w:p>
    <w:p w14:paraId="059DE313" w14:textId="77777777" w:rsidR="00126A02" w:rsidRDefault="00126A02" w:rsidP="00126A02">
      <w:pPr>
        <w:jc w:val="both"/>
        <w:rPr>
          <w:rFonts w:cs="Arial"/>
          <w:szCs w:val="24"/>
        </w:rPr>
      </w:pPr>
    </w:p>
    <w:p w14:paraId="16DD9D7B" w14:textId="3F4E4C10" w:rsidR="00126A02" w:rsidRDefault="00126A02" w:rsidP="00126A02">
      <w:pPr>
        <w:jc w:val="both"/>
        <w:rPr>
          <w:rFonts w:cs="Arial"/>
          <w:b/>
          <w:szCs w:val="24"/>
        </w:rPr>
      </w:pPr>
      <w:r w:rsidRPr="00B426F2">
        <w:rPr>
          <w:rFonts w:cs="Arial"/>
          <w:b/>
          <w:szCs w:val="24"/>
        </w:rPr>
        <w:t>Introduction</w:t>
      </w:r>
      <w:r w:rsidR="0026478E">
        <w:rPr>
          <w:rFonts w:cs="Arial"/>
          <w:b/>
          <w:szCs w:val="24"/>
        </w:rPr>
        <w:t xml:space="preserve"> </w:t>
      </w:r>
    </w:p>
    <w:p w14:paraId="4E963C5E" w14:textId="65166B55" w:rsidR="00E01A90" w:rsidRDefault="00634473" w:rsidP="00634473">
      <w:pPr>
        <w:pStyle w:val="ListParagraph"/>
        <w:numPr>
          <w:ilvl w:val="0"/>
          <w:numId w:val="18"/>
        </w:numPr>
        <w:rPr>
          <w:rFonts w:cs="Arial"/>
          <w:bCs/>
          <w:szCs w:val="24"/>
        </w:rPr>
      </w:pPr>
      <w:r>
        <w:rPr>
          <w:rFonts w:cs="Arial"/>
          <w:bCs/>
          <w:szCs w:val="24"/>
        </w:rPr>
        <w:t xml:space="preserve">The meeting began with Zak </w:t>
      </w:r>
      <w:r w:rsidR="00F86C8B">
        <w:rPr>
          <w:rFonts w:cs="Arial"/>
          <w:bCs/>
          <w:szCs w:val="24"/>
        </w:rPr>
        <w:t>discussing the goal of the subcommittee, which included modernizing and streamlining the guidelines while also reviewing the guidelines for any potential changes for FTM storage as required by Order 10 of Docket 22-08-05</w:t>
      </w:r>
      <w:r w:rsidR="00CF36AE">
        <w:rPr>
          <w:rFonts w:cs="Arial"/>
          <w:bCs/>
          <w:szCs w:val="24"/>
        </w:rPr>
        <w:t>.</w:t>
      </w:r>
    </w:p>
    <w:p w14:paraId="078AFE5D" w14:textId="334B366F" w:rsidR="00634473" w:rsidRDefault="00634473" w:rsidP="00634473">
      <w:pPr>
        <w:rPr>
          <w:rFonts w:cs="Arial"/>
          <w:bCs/>
          <w:szCs w:val="24"/>
        </w:rPr>
      </w:pPr>
    </w:p>
    <w:p w14:paraId="53BE9D06" w14:textId="3864484F" w:rsidR="0026478E" w:rsidRPr="00634473" w:rsidRDefault="00634473" w:rsidP="0026478E">
      <w:pPr>
        <w:ind w:left="2880" w:hanging="2880"/>
        <w:jc w:val="both"/>
        <w:rPr>
          <w:rFonts w:cs="Arial"/>
          <w:b/>
          <w:szCs w:val="24"/>
        </w:rPr>
      </w:pPr>
      <w:r w:rsidRPr="00634473">
        <w:rPr>
          <w:rFonts w:cs="Arial"/>
          <w:b/>
          <w:szCs w:val="24"/>
        </w:rPr>
        <w:t>Technical Updates to Guidelines</w:t>
      </w:r>
    </w:p>
    <w:p w14:paraId="13B842F8" w14:textId="47F829D3" w:rsidR="00AF0069" w:rsidRPr="00CF36AE" w:rsidRDefault="00CF36AE" w:rsidP="004C3DD5">
      <w:pPr>
        <w:pStyle w:val="ListParagraph"/>
        <w:numPr>
          <w:ilvl w:val="0"/>
          <w:numId w:val="21"/>
        </w:numPr>
        <w:jc w:val="both"/>
        <w:rPr>
          <w:rFonts w:cs="Arial"/>
          <w:szCs w:val="24"/>
        </w:rPr>
      </w:pPr>
      <w:r>
        <w:rPr>
          <w:rFonts w:cs="Arial"/>
          <w:bCs/>
          <w:szCs w:val="24"/>
        </w:rPr>
        <w:t>Joe Debs stated that the guidelines need to be updated to reflect changes in the rules surrounding FERC jurisdictional circuits</w:t>
      </w:r>
    </w:p>
    <w:p w14:paraId="166963B7" w14:textId="27BED200" w:rsidR="00CF36AE" w:rsidRPr="00CF36AE" w:rsidRDefault="00CF36AE" w:rsidP="004C3DD5">
      <w:pPr>
        <w:pStyle w:val="ListParagraph"/>
        <w:numPr>
          <w:ilvl w:val="0"/>
          <w:numId w:val="21"/>
        </w:numPr>
        <w:jc w:val="both"/>
        <w:rPr>
          <w:rFonts w:cs="Arial"/>
          <w:szCs w:val="24"/>
        </w:rPr>
      </w:pPr>
      <w:r>
        <w:rPr>
          <w:rFonts w:cs="Arial"/>
          <w:bCs/>
          <w:szCs w:val="24"/>
        </w:rPr>
        <w:t>Joe stated that the current guidelines are based on the FERC process and were first created in 2003 and updated in 2010</w:t>
      </w:r>
    </w:p>
    <w:p w14:paraId="5E8B2470" w14:textId="1CC47735" w:rsidR="00CF36AE" w:rsidRPr="00BB5992" w:rsidRDefault="00CF36AE" w:rsidP="004C3DD5">
      <w:pPr>
        <w:pStyle w:val="ListParagraph"/>
        <w:numPr>
          <w:ilvl w:val="0"/>
          <w:numId w:val="21"/>
        </w:numPr>
        <w:jc w:val="both"/>
        <w:rPr>
          <w:rFonts w:cs="Arial"/>
          <w:szCs w:val="24"/>
        </w:rPr>
      </w:pPr>
      <w:r>
        <w:rPr>
          <w:rFonts w:cs="Arial"/>
          <w:bCs/>
          <w:szCs w:val="24"/>
        </w:rPr>
        <w:t xml:space="preserve">Shirin stated </w:t>
      </w:r>
      <w:r w:rsidR="00BB5992">
        <w:rPr>
          <w:rFonts w:cs="Arial"/>
          <w:bCs/>
          <w:szCs w:val="24"/>
        </w:rPr>
        <w:t>that she would like to see included in the guidelines information on study phase timelines, estimates and deposits</w:t>
      </w:r>
    </w:p>
    <w:p w14:paraId="381DE174" w14:textId="3A6FB5CD" w:rsidR="00BB5992" w:rsidRPr="00183FAD" w:rsidRDefault="00183FAD" w:rsidP="00183FAD">
      <w:pPr>
        <w:pStyle w:val="ListParagraph"/>
        <w:numPr>
          <w:ilvl w:val="1"/>
          <w:numId w:val="21"/>
        </w:numPr>
        <w:jc w:val="both"/>
        <w:rPr>
          <w:rFonts w:cs="Arial"/>
          <w:szCs w:val="24"/>
        </w:rPr>
      </w:pPr>
      <w:r>
        <w:rPr>
          <w:rFonts w:cs="Arial"/>
          <w:bCs/>
          <w:szCs w:val="24"/>
        </w:rPr>
        <w:t>Joe responded that the guidelines do contain timelines but are subject to change for any given project</w:t>
      </w:r>
    </w:p>
    <w:p w14:paraId="6A9E5B07" w14:textId="22F4D115" w:rsidR="00183FAD" w:rsidRPr="00183FAD" w:rsidRDefault="00183FAD" w:rsidP="00183FAD">
      <w:pPr>
        <w:pStyle w:val="ListParagraph"/>
        <w:numPr>
          <w:ilvl w:val="1"/>
          <w:numId w:val="21"/>
        </w:numPr>
        <w:jc w:val="both"/>
        <w:rPr>
          <w:rFonts w:cs="Arial"/>
          <w:szCs w:val="24"/>
        </w:rPr>
      </w:pPr>
      <w:r>
        <w:rPr>
          <w:rFonts w:cs="Arial"/>
          <w:bCs/>
          <w:szCs w:val="24"/>
        </w:rPr>
        <w:t>Transmission studies have to be approved by ISO and may require a previous study to be completed</w:t>
      </w:r>
    </w:p>
    <w:p w14:paraId="2505E38E" w14:textId="05908292" w:rsidR="00183FAD" w:rsidRPr="00183FAD" w:rsidRDefault="00183FAD" w:rsidP="00183FAD">
      <w:pPr>
        <w:pStyle w:val="ListParagraph"/>
        <w:numPr>
          <w:ilvl w:val="0"/>
          <w:numId w:val="21"/>
        </w:numPr>
        <w:jc w:val="both"/>
        <w:rPr>
          <w:rFonts w:cs="Arial"/>
          <w:szCs w:val="24"/>
        </w:rPr>
      </w:pPr>
      <w:r>
        <w:rPr>
          <w:rFonts w:cs="Arial"/>
          <w:bCs/>
          <w:szCs w:val="24"/>
        </w:rPr>
        <w:t>Eversource gives developers the option to wait for the ongoing transmission study to complete before starting the facilities study</w:t>
      </w:r>
    </w:p>
    <w:p w14:paraId="13EDC993" w14:textId="24AAAF62" w:rsidR="00183FAD" w:rsidRPr="00183FAD" w:rsidRDefault="00183FAD" w:rsidP="00183FAD">
      <w:pPr>
        <w:pStyle w:val="ListParagraph"/>
        <w:numPr>
          <w:ilvl w:val="0"/>
          <w:numId w:val="21"/>
        </w:numPr>
        <w:jc w:val="both"/>
        <w:rPr>
          <w:rFonts w:cs="Arial"/>
          <w:szCs w:val="24"/>
        </w:rPr>
      </w:pPr>
      <w:r>
        <w:rPr>
          <w:rFonts w:cs="Arial"/>
          <w:bCs/>
          <w:szCs w:val="24"/>
        </w:rPr>
        <w:t>UI and Eversource both try to run the studies in parallel but can also do the distribution study first if desired</w:t>
      </w:r>
    </w:p>
    <w:p w14:paraId="4316F793" w14:textId="6F91FB83" w:rsidR="00183FAD" w:rsidRPr="00183FAD" w:rsidRDefault="00183FAD" w:rsidP="00183FAD">
      <w:pPr>
        <w:pStyle w:val="ListParagraph"/>
        <w:numPr>
          <w:ilvl w:val="0"/>
          <w:numId w:val="21"/>
        </w:numPr>
        <w:jc w:val="both"/>
        <w:rPr>
          <w:rFonts w:cs="Arial"/>
          <w:szCs w:val="24"/>
        </w:rPr>
      </w:pPr>
      <w:r>
        <w:rPr>
          <w:rFonts w:cs="Arial"/>
          <w:bCs/>
          <w:szCs w:val="24"/>
        </w:rPr>
        <w:t xml:space="preserve">The subcommittee will update the guidelines to specifically show this flexibility </w:t>
      </w:r>
    </w:p>
    <w:p w14:paraId="56B6186B" w14:textId="0465707A" w:rsidR="008D3364" w:rsidRDefault="008D3364" w:rsidP="008D3364">
      <w:pPr>
        <w:ind w:left="360"/>
        <w:jc w:val="both"/>
        <w:rPr>
          <w:rFonts w:cs="Arial"/>
          <w:szCs w:val="24"/>
        </w:rPr>
      </w:pPr>
    </w:p>
    <w:p w14:paraId="42989BFD" w14:textId="0C57F87C" w:rsidR="008D3364" w:rsidRDefault="008D3364" w:rsidP="008D3364">
      <w:pPr>
        <w:pStyle w:val="ListParagraph"/>
        <w:numPr>
          <w:ilvl w:val="0"/>
          <w:numId w:val="21"/>
        </w:numPr>
        <w:jc w:val="both"/>
        <w:rPr>
          <w:rFonts w:cs="Arial"/>
          <w:szCs w:val="24"/>
        </w:rPr>
      </w:pPr>
      <w:r>
        <w:rPr>
          <w:rFonts w:cs="Arial"/>
          <w:szCs w:val="24"/>
        </w:rPr>
        <w:t>Joe Debs described that a study is needed whenever there is more than 20MW of generation on a substation but the challenge is when ISO decides to aggregate substations – ISO does not have a defined group and the aggregated stations change over time</w:t>
      </w:r>
    </w:p>
    <w:p w14:paraId="551B7AD9" w14:textId="77777777" w:rsidR="00D47CFB" w:rsidRDefault="008D3364" w:rsidP="008D3364">
      <w:pPr>
        <w:pStyle w:val="ListParagraph"/>
        <w:numPr>
          <w:ilvl w:val="0"/>
          <w:numId w:val="21"/>
        </w:numPr>
        <w:jc w:val="both"/>
        <w:rPr>
          <w:rFonts w:cs="Arial"/>
          <w:szCs w:val="24"/>
        </w:rPr>
      </w:pPr>
      <w:r>
        <w:rPr>
          <w:rFonts w:cs="Arial"/>
          <w:szCs w:val="24"/>
        </w:rPr>
        <w:t>If a substation has crossed the 20MW threshold, any project over 1MW will trigger the need for a study</w:t>
      </w:r>
      <w:r w:rsidR="00D47CFB">
        <w:rPr>
          <w:rFonts w:cs="Arial"/>
          <w:szCs w:val="24"/>
        </w:rPr>
        <w:t xml:space="preserve"> and the EDCs are aware of this.  If, however, the substation hasn’t, the EDC cannot know if a study will be required without checking with ISO</w:t>
      </w:r>
    </w:p>
    <w:p w14:paraId="5B280625" w14:textId="77777777" w:rsidR="00D47CFB" w:rsidRDefault="00D47CFB" w:rsidP="00D47CFB">
      <w:pPr>
        <w:ind w:left="360"/>
        <w:jc w:val="both"/>
        <w:rPr>
          <w:rFonts w:cs="Arial"/>
          <w:szCs w:val="24"/>
        </w:rPr>
      </w:pPr>
    </w:p>
    <w:p w14:paraId="25E46FE3" w14:textId="2F65B32E" w:rsidR="008D3364" w:rsidRDefault="00650EFE" w:rsidP="00D47CFB">
      <w:pPr>
        <w:pStyle w:val="ListParagraph"/>
        <w:numPr>
          <w:ilvl w:val="0"/>
          <w:numId w:val="21"/>
        </w:numPr>
        <w:jc w:val="both"/>
        <w:rPr>
          <w:rFonts w:cs="Arial"/>
          <w:szCs w:val="24"/>
        </w:rPr>
      </w:pPr>
      <w:r>
        <w:rPr>
          <w:rFonts w:cs="Arial"/>
          <w:szCs w:val="24"/>
        </w:rPr>
        <w:t>Jon Demay asked when PSCAD is required for distribution analysis, what triggers the requirement and how detailed it needs to be.</w:t>
      </w:r>
    </w:p>
    <w:p w14:paraId="3449B486" w14:textId="77777777" w:rsidR="00650EFE" w:rsidRPr="00650EFE" w:rsidRDefault="00650EFE" w:rsidP="00650EFE">
      <w:pPr>
        <w:pStyle w:val="ListParagraph"/>
        <w:rPr>
          <w:rFonts w:cs="Arial"/>
          <w:szCs w:val="24"/>
        </w:rPr>
      </w:pPr>
    </w:p>
    <w:p w14:paraId="6B97A960" w14:textId="4250B3E3" w:rsidR="00650EFE" w:rsidRDefault="00650EFE" w:rsidP="00650EFE">
      <w:pPr>
        <w:pStyle w:val="ListParagraph"/>
        <w:numPr>
          <w:ilvl w:val="1"/>
          <w:numId w:val="21"/>
        </w:numPr>
        <w:jc w:val="both"/>
        <w:rPr>
          <w:rFonts w:cs="Arial"/>
          <w:szCs w:val="24"/>
        </w:rPr>
      </w:pPr>
      <w:r>
        <w:rPr>
          <w:rFonts w:cs="Arial"/>
          <w:szCs w:val="24"/>
        </w:rPr>
        <w:lastRenderedPageBreak/>
        <w:t xml:space="preserve">The EDCs responded that they </w:t>
      </w:r>
      <w:r w:rsidR="00946C14">
        <w:rPr>
          <w:rFonts w:cs="Arial"/>
          <w:szCs w:val="24"/>
        </w:rPr>
        <w:t>would</w:t>
      </w:r>
      <w:r>
        <w:rPr>
          <w:rFonts w:cs="Arial"/>
          <w:szCs w:val="24"/>
        </w:rPr>
        <w:t xml:space="preserve"> need to bring in their engineering team to answer that question</w:t>
      </w:r>
    </w:p>
    <w:p w14:paraId="2ED4D7AC" w14:textId="045D5C9D" w:rsidR="00650EFE" w:rsidRDefault="00650EFE" w:rsidP="00650EFE">
      <w:pPr>
        <w:pStyle w:val="ListParagraph"/>
        <w:numPr>
          <w:ilvl w:val="0"/>
          <w:numId w:val="21"/>
        </w:numPr>
        <w:jc w:val="both"/>
        <w:rPr>
          <w:rFonts w:cs="Arial"/>
          <w:szCs w:val="24"/>
        </w:rPr>
      </w:pPr>
      <w:r>
        <w:rPr>
          <w:rFonts w:cs="Arial"/>
          <w:szCs w:val="24"/>
        </w:rPr>
        <w:t>Mike Trahan asked whether the current guidelines are based on IREC best practices</w:t>
      </w:r>
    </w:p>
    <w:p w14:paraId="0CB6A9D0" w14:textId="1F3FA639" w:rsidR="00650EFE" w:rsidRDefault="00650EFE" w:rsidP="00650EFE">
      <w:pPr>
        <w:pStyle w:val="ListParagraph"/>
        <w:numPr>
          <w:ilvl w:val="1"/>
          <w:numId w:val="21"/>
        </w:numPr>
        <w:jc w:val="both"/>
        <w:rPr>
          <w:rFonts w:cs="Arial"/>
          <w:szCs w:val="24"/>
        </w:rPr>
      </w:pPr>
      <w:r>
        <w:rPr>
          <w:rFonts w:cs="Arial"/>
          <w:szCs w:val="24"/>
        </w:rPr>
        <w:t>Joe Debs responded that they are based FERC best practices</w:t>
      </w:r>
      <w:r w:rsidR="00D27425">
        <w:rPr>
          <w:rFonts w:cs="Arial"/>
          <w:szCs w:val="24"/>
        </w:rPr>
        <w:t>\</w:t>
      </w:r>
    </w:p>
    <w:p w14:paraId="1A3E05FA" w14:textId="77777777" w:rsidR="00D27425" w:rsidRDefault="00D27425" w:rsidP="00D27425">
      <w:pPr>
        <w:pStyle w:val="ListParagraph"/>
        <w:numPr>
          <w:ilvl w:val="0"/>
          <w:numId w:val="21"/>
        </w:numPr>
        <w:jc w:val="both"/>
        <w:rPr>
          <w:rFonts w:cs="Arial"/>
          <w:szCs w:val="24"/>
        </w:rPr>
      </w:pPr>
      <w:r>
        <w:rPr>
          <w:rFonts w:cs="Arial"/>
          <w:szCs w:val="24"/>
        </w:rPr>
        <w:t>Joe Marranca stated that he is open to exploring any other interconnection study best practices and is also looking at adding a “faster track” for mid-size projects (those below 250-300kW)</w:t>
      </w:r>
    </w:p>
    <w:p w14:paraId="77EA6C3F" w14:textId="77777777" w:rsidR="00D27425" w:rsidRDefault="00D27425" w:rsidP="00D27425">
      <w:pPr>
        <w:pStyle w:val="ListParagraph"/>
        <w:numPr>
          <w:ilvl w:val="0"/>
          <w:numId w:val="21"/>
        </w:numPr>
        <w:jc w:val="both"/>
        <w:rPr>
          <w:rFonts w:cs="Arial"/>
          <w:szCs w:val="24"/>
        </w:rPr>
      </w:pPr>
      <w:r>
        <w:rPr>
          <w:rFonts w:cs="Arial"/>
          <w:szCs w:val="24"/>
        </w:rPr>
        <w:t>Joe Debs stated that the screens could be updated by using information from the Hosting Capacity Maps</w:t>
      </w:r>
    </w:p>
    <w:p w14:paraId="3A0C0A95" w14:textId="77777777" w:rsidR="001078CC" w:rsidRDefault="001078CC" w:rsidP="00D27425">
      <w:pPr>
        <w:pStyle w:val="ListParagraph"/>
        <w:numPr>
          <w:ilvl w:val="0"/>
          <w:numId w:val="21"/>
        </w:numPr>
        <w:jc w:val="both"/>
        <w:rPr>
          <w:rFonts w:cs="Arial"/>
          <w:szCs w:val="24"/>
        </w:rPr>
      </w:pPr>
      <w:r>
        <w:rPr>
          <w:rFonts w:cs="Arial"/>
          <w:szCs w:val="24"/>
        </w:rPr>
        <w:t>Jon Demay asked how the utilities define the 15% rule, whether it was at the automatic section device, fuse, or lateral level</w:t>
      </w:r>
    </w:p>
    <w:p w14:paraId="36F12DA6" w14:textId="77777777" w:rsidR="001078CC" w:rsidRDefault="001078CC" w:rsidP="001078CC">
      <w:pPr>
        <w:pStyle w:val="ListParagraph"/>
        <w:numPr>
          <w:ilvl w:val="1"/>
          <w:numId w:val="21"/>
        </w:numPr>
        <w:jc w:val="both"/>
        <w:rPr>
          <w:rFonts w:cs="Arial"/>
          <w:szCs w:val="24"/>
        </w:rPr>
      </w:pPr>
      <w:r>
        <w:rPr>
          <w:rFonts w:cs="Arial"/>
          <w:szCs w:val="24"/>
        </w:rPr>
        <w:t>Joe Debs stated that they look at the recloser end and that between utilities it can matter whether the utility uses radial or loop schemes</w:t>
      </w:r>
    </w:p>
    <w:p w14:paraId="16F634E7" w14:textId="77777777" w:rsidR="00FC6406" w:rsidRDefault="00FC6406" w:rsidP="001078CC">
      <w:pPr>
        <w:pStyle w:val="ListParagraph"/>
        <w:numPr>
          <w:ilvl w:val="1"/>
          <w:numId w:val="21"/>
        </w:numPr>
        <w:jc w:val="both"/>
        <w:rPr>
          <w:rFonts w:cs="Arial"/>
          <w:szCs w:val="24"/>
        </w:rPr>
      </w:pPr>
      <w:r>
        <w:rPr>
          <w:rFonts w:cs="Arial"/>
          <w:szCs w:val="24"/>
        </w:rPr>
        <w:t>Eversource and UI confirmed they both use loop schemes and therefore look at reclosers</w:t>
      </w:r>
    </w:p>
    <w:p w14:paraId="7D9FDDE4" w14:textId="77777777" w:rsidR="00533EDA" w:rsidRDefault="00FC6406" w:rsidP="00FC6406">
      <w:pPr>
        <w:pStyle w:val="ListParagraph"/>
        <w:numPr>
          <w:ilvl w:val="1"/>
          <w:numId w:val="21"/>
        </w:numPr>
        <w:jc w:val="both"/>
        <w:rPr>
          <w:rFonts w:cs="Arial"/>
          <w:szCs w:val="24"/>
        </w:rPr>
      </w:pPr>
      <w:r>
        <w:rPr>
          <w:rFonts w:cs="Arial"/>
          <w:szCs w:val="24"/>
        </w:rPr>
        <w:t xml:space="preserve">Joe Marranca stated that if a review fails the 15% screen, UI will perform a supplemental review, which may </w:t>
      </w:r>
      <w:r w:rsidR="00533EDA">
        <w:rPr>
          <w:rFonts w:cs="Arial"/>
          <w:szCs w:val="24"/>
        </w:rPr>
        <w:t>not automatically trigger a study</w:t>
      </w:r>
    </w:p>
    <w:p w14:paraId="5247D3E8" w14:textId="77777777" w:rsidR="00533EDA" w:rsidRDefault="00533EDA" w:rsidP="00533EDA">
      <w:pPr>
        <w:pStyle w:val="ListParagraph"/>
        <w:numPr>
          <w:ilvl w:val="0"/>
          <w:numId w:val="21"/>
        </w:numPr>
        <w:jc w:val="both"/>
        <w:rPr>
          <w:rFonts w:cs="Arial"/>
          <w:szCs w:val="24"/>
        </w:rPr>
      </w:pPr>
      <w:r>
        <w:rPr>
          <w:rFonts w:cs="Arial"/>
          <w:szCs w:val="24"/>
        </w:rPr>
        <w:t>Jon Demay asked whether there were thoughts about updating settings to allow customers on spot networks to export power.  Jon mentioned that this is happening in ConEd territory</w:t>
      </w:r>
    </w:p>
    <w:p w14:paraId="52BC317A" w14:textId="5F940009" w:rsidR="00533EDA" w:rsidRDefault="00533EDA" w:rsidP="00533EDA">
      <w:pPr>
        <w:pStyle w:val="ListParagraph"/>
        <w:numPr>
          <w:ilvl w:val="1"/>
          <w:numId w:val="21"/>
        </w:numPr>
        <w:jc w:val="both"/>
        <w:rPr>
          <w:rFonts w:cs="Arial"/>
          <w:szCs w:val="24"/>
        </w:rPr>
      </w:pPr>
      <w:r>
        <w:rPr>
          <w:rFonts w:cs="Arial"/>
          <w:szCs w:val="24"/>
        </w:rPr>
        <w:t>Joe Debs stated that they were asked to examine the issue in 2007 and retained a consultant who advised against allowing export.  Joe also said that the spot networks in ConEd territory tend to be much larger (on the order of MWs) than CT, which usually has one or two customers per spot network</w:t>
      </w:r>
    </w:p>
    <w:p w14:paraId="4BD24E02" w14:textId="05983817" w:rsidR="00533EDA" w:rsidRDefault="00533EDA" w:rsidP="00533EDA">
      <w:pPr>
        <w:pStyle w:val="ListParagraph"/>
        <w:numPr>
          <w:ilvl w:val="1"/>
          <w:numId w:val="21"/>
        </w:numPr>
        <w:jc w:val="both"/>
        <w:rPr>
          <w:rFonts w:cs="Arial"/>
          <w:szCs w:val="24"/>
        </w:rPr>
      </w:pPr>
      <w:r>
        <w:rPr>
          <w:rFonts w:cs="Arial"/>
          <w:szCs w:val="24"/>
        </w:rPr>
        <w:t>Both Eversource and UI stated that they would be open to revisiting the issue if there is any new information available</w:t>
      </w:r>
    </w:p>
    <w:p w14:paraId="3BAC870C" w14:textId="454CF614" w:rsidR="00533EDA" w:rsidRDefault="00533EDA" w:rsidP="00533EDA">
      <w:pPr>
        <w:jc w:val="both"/>
        <w:rPr>
          <w:rFonts w:cs="Arial"/>
          <w:b/>
          <w:bCs/>
          <w:szCs w:val="24"/>
        </w:rPr>
      </w:pPr>
      <w:r>
        <w:rPr>
          <w:rFonts w:cs="Arial"/>
          <w:b/>
          <w:bCs/>
          <w:szCs w:val="24"/>
        </w:rPr>
        <w:t>Group Studies</w:t>
      </w:r>
    </w:p>
    <w:p w14:paraId="34892785" w14:textId="432B84AD" w:rsidR="00533EDA" w:rsidRDefault="00533EDA" w:rsidP="00533EDA">
      <w:pPr>
        <w:pStyle w:val="ListParagraph"/>
        <w:numPr>
          <w:ilvl w:val="0"/>
          <w:numId w:val="22"/>
        </w:numPr>
        <w:jc w:val="both"/>
        <w:rPr>
          <w:rFonts w:cs="Arial"/>
          <w:szCs w:val="24"/>
        </w:rPr>
      </w:pPr>
      <w:r>
        <w:rPr>
          <w:rFonts w:cs="Arial"/>
          <w:szCs w:val="24"/>
        </w:rPr>
        <w:t>Jon mentioned that he didn’t want to emulate the Massachusetts Group Study process largely because they lumped together behind-the-meter</w:t>
      </w:r>
      <w:r w:rsidR="00045AFA">
        <w:rPr>
          <w:rFonts w:cs="Arial"/>
          <w:szCs w:val="24"/>
        </w:rPr>
        <w:t xml:space="preserve"> (BtM)</w:t>
      </w:r>
      <w:r>
        <w:rPr>
          <w:rFonts w:cs="Arial"/>
          <w:szCs w:val="24"/>
        </w:rPr>
        <w:t xml:space="preserve"> and front-of-the-meter </w:t>
      </w:r>
      <w:r w:rsidR="00045AFA">
        <w:rPr>
          <w:rFonts w:cs="Arial"/>
          <w:szCs w:val="24"/>
        </w:rPr>
        <w:t>(FtM) projects resulting in BtM projects sharing costs with bi-directional battery projects</w:t>
      </w:r>
    </w:p>
    <w:p w14:paraId="778DBBE2" w14:textId="64EF441D" w:rsidR="00045AFA" w:rsidRDefault="00045AFA" w:rsidP="00533EDA">
      <w:pPr>
        <w:pStyle w:val="ListParagraph"/>
        <w:numPr>
          <w:ilvl w:val="0"/>
          <w:numId w:val="22"/>
        </w:numPr>
        <w:jc w:val="both"/>
        <w:rPr>
          <w:rFonts w:cs="Arial"/>
          <w:szCs w:val="24"/>
        </w:rPr>
      </w:pPr>
      <w:r>
        <w:rPr>
          <w:rFonts w:cs="Arial"/>
          <w:szCs w:val="24"/>
        </w:rPr>
        <w:t>Jon stated that in CT project turnaround time can be 60 business days whereas in MA, it can be 12 months to get through the study process because they are dependent on other developers</w:t>
      </w:r>
    </w:p>
    <w:p w14:paraId="5058BC92" w14:textId="77777777" w:rsidR="00045AFA" w:rsidRDefault="00045AFA" w:rsidP="00533EDA">
      <w:pPr>
        <w:pStyle w:val="ListParagraph"/>
        <w:numPr>
          <w:ilvl w:val="0"/>
          <w:numId w:val="22"/>
        </w:numPr>
        <w:jc w:val="both"/>
        <w:rPr>
          <w:rFonts w:cs="Arial"/>
          <w:szCs w:val="24"/>
        </w:rPr>
      </w:pPr>
      <w:r>
        <w:rPr>
          <w:rFonts w:cs="Arial"/>
          <w:szCs w:val="24"/>
        </w:rPr>
        <w:t>Jon recognized, however, that much of the industry is moving towards group/cluster studies.  He believes they work for transmission but not for distribution level studies.</w:t>
      </w:r>
    </w:p>
    <w:p w14:paraId="7483B21A" w14:textId="7A8573A7" w:rsidR="00045AFA" w:rsidRDefault="00045AFA" w:rsidP="00533EDA">
      <w:pPr>
        <w:pStyle w:val="ListParagraph"/>
        <w:numPr>
          <w:ilvl w:val="0"/>
          <w:numId w:val="22"/>
        </w:numPr>
        <w:jc w:val="both"/>
        <w:rPr>
          <w:rFonts w:cs="Arial"/>
          <w:szCs w:val="24"/>
        </w:rPr>
      </w:pPr>
      <w:r>
        <w:rPr>
          <w:rFonts w:cs="Arial"/>
          <w:szCs w:val="24"/>
        </w:rPr>
        <w:t>Zak asked whether it made sense to distinguish between FtM and BtM projects</w:t>
      </w:r>
    </w:p>
    <w:p w14:paraId="6CB2BB36" w14:textId="3B9DBD3B" w:rsidR="00045AFA" w:rsidRDefault="00045AFA" w:rsidP="00045AFA">
      <w:pPr>
        <w:pStyle w:val="ListParagraph"/>
        <w:numPr>
          <w:ilvl w:val="1"/>
          <w:numId w:val="22"/>
        </w:numPr>
        <w:jc w:val="both"/>
        <w:rPr>
          <w:rFonts w:cs="Arial"/>
          <w:szCs w:val="24"/>
        </w:rPr>
      </w:pPr>
      <w:r>
        <w:rPr>
          <w:rFonts w:cs="Arial"/>
          <w:szCs w:val="24"/>
        </w:rPr>
        <w:t>Joe Marranca stated that from an EDC perspective, the potential impacts are vastly different and stated he was open to considering creating a separate bucket/subset for those projects</w:t>
      </w:r>
    </w:p>
    <w:p w14:paraId="2D71581A" w14:textId="435AE5A9" w:rsidR="00045AFA" w:rsidRDefault="00187562" w:rsidP="00187562">
      <w:pPr>
        <w:pStyle w:val="ListParagraph"/>
        <w:numPr>
          <w:ilvl w:val="1"/>
          <w:numId w:val="22"/>
        </w:numPr>
        <w:jc w:val="both"/>
        <w:rPr>
          <w:rFonts w:cs="Arial"/>
          <w:szCs w:val="24"/>
        </w:rPr>
      </w:pPr>
      <w:r>
        <w:rPr>
          <w:rFonts w:cs="Arial"/>
          <w:szCs w:val="24"/>
        </w:rPr>
        <w:t>Joe Debs stated that the guidelines are based on nameplate capacity but they could potentially look at max power export</w:t>
      </w:r>
    </w:p>
    <w:p w14:paraId="11296342" w14:textId="605929FF" w:rsidR="00187562" w:rsidRDefault="00187562" w:rsidP="00187562">
      <w:pPr>
        <w:pStyle w:val="ListParagraph"/>
        <w:numPr>
          <w:ilvl w:val="1"/>
          <w:numId w:val="22"/>
        </w:numPr>
        <w:jc w:val="both"/>
        <w:rPr>
          <w:rFonts w:cs="Arial"/>
          <w:szCs w:val="24"/>
        </w:rPr>
      </w:pPr>
      <w:r>
        <w:rPr>
          <w:rFonts w:cs="Arial"/>
          <w:szCs w:val="24"/>
        </w:rPr>
        <w:lastRenderedPageBreak/>
        <w:t>Jon expressed interest in that option since most of his projects are sized for base load</w:t>
      </w:r>
    </w:p>
    <w:p w14:paraId="7D1434BB" w14:textId="15B6948C" w:rsidR="00187562" w:rsidRDefault="00187562" w:rsidP="00187562">
      <w:pPr>
        <w:pStyle w:val="ListParagraph"/>
        <w:numPr>
          <w:ilvl w:val="0"/>
          <w:numId w:val="22"/>
        </w:numPr>
        <w:jc w:val="both"/>
        <w:rPr>
          <w:rFonts w:cs="Arial"/>
          <w:szCs w:val="24"/>
        </w:rPr>
      </w:pPr>
      <w:r>
        <w:rPr>
          <w:rFonts w:cs="Arial"/>
          <w:szCs w:val="24"/>
        </w:rPr>
        <w:t>Shirin stated that group studies can be beneficial for some developers and slower for others</w:t>
      </w:r>
    </w:p>
    <w:p w14:paraId="4EE5681C" w14:textId="7E5D2018" w:rsidR="00187562" w:rsidRDefault="00187562" w:rsidP="00187562">
      <w:pPr>
        <w:pStyle w:val="ListParagraph"/>
        <w:numPr>
          <w:ilvl w:val="1"/>
          <w:numId w:val="22"/>
        </w:numPr>
        <w:jc w:val="both"/>
        <w:rPr>
          <w:rFonts w:cs="Arial"/>
          <w:szCs w:val="24"/>
        </w:rPr>
      </w:pPr>
      <w:r>
        <w:rPr>
          <w:rFonts w:cs="Arial"/>
          <w:szCs w:val="24"/>
        </w:rPr>
        <w:t>Joe Debs asked whether group studies should be limited to where significant substation upgrades are needed</w:t>
      </w:r>
    </w:p>
    <w:p w14:paraId="55A53912" w14:textId="36D8CD3E" w:rsidR="00187562" w:rsidRDefault="00187562" w:rsidP="00187562">
      <w:pPr>
        <w:pStyle w:val="ListParagraph"/>
        <w:numPr>
          <w:ilvl w:val="1"/>
          <w:numId w:val="22"/>
        </w:numPr>
        <w:jc w:val="both"/>
        <w:rPr>
          <w:rFonts w:cs="Arial"/>
          <w:szCs w:val="24"/>
        </w:rPr>
      </w:pPr>
      <w:r>
        <w:rPr>
          <w:rFonts w:cs="Arial"/>
          <w:szCs w:val="24"/>
        </w:rPr>
        <w:t>Shirin agreed that would be a good first step.  She also stated that in New York, a developer can avoid studies through the use of flexible interconnection, which examines load profiles and specific curtailment to avoid substation upgrades</w:t>
      </w:r>
    </w:p>
    <w:p w14:paraId="255FB887" w14:textId="77777777" w:rsidR="0063208D" w:rsidRPr="0063208D" w:rsidRDefault="0063208D" w:rsidP="0063208D">
      <w:pPr>
        <w:pStyle w:val="ListParagraph"/>
        <w:jc w:val="both"/>
        <w:rPr>
          <w:rFonts w:cs="Arial"/>
          <w:szCs w:val="24"/>
        </w:rPr>
      </w:pPr>
    </w:p>
    <w:p w14:paraId="36469678" w14:textId="4E27AEEF" w:rsidR="00187562" w:rsidRPr="00533EDA" w:rsidRDefault="00187562" w:rsidP="00187562">
      <w:pPr>
        <w:pStyle w:val="ListParagraph"/>
        <w:numPr>
          <w:ilvl w:val="0"/>
          <w:numId w:val="22"/>
        </w:numPr>
        <w:jc w:val="both"/>
        <w:rPr>
          <w:rFonts w:cs="Arial"/>
          <w:szCs w:val="24"/>
        </w:rPr>
      </w:pPr>
      <w:r>
        <w:rPr>
          <w:rFonts w:cs="Arial"/>
          <w:szCs w:val="24"/>
        </w:rPr>
        <w:t>Joe Marranca</w:t>
      </w:r>
      <w:r w:rsidR="0063208D">
        <w:rPr>
          <w:rFonts w:cs="Arial"/>
          <w:szCs w:val="24"/>
        </w:rPr>
        <w:t xml:space="preserve"> stated that he would like to review the guidelines and technical document </w:t>
      </w:r>
      <w:r w:rsidR="00E12771">
        <w:rPr>
          <w:rFonts w:cs="Arial"/>
          <w:szCs w:val="24"/>
        </w:rPr>
        <w:t>in concert</w:t>
      </w:r>
      <w:r w:rsidR="0063208D">
        <w:rPr>
          <w:rFonts w:cs="Arial"/>
          <w:szCs w:val="24"/>
        </w:rPr>
        <w:t xml:space="preserve">. </w:t>
      </w:r>
    </w:p>
    <w:p w14:paraId="67D88D14" w14:textId="55D475E8" w:rsidR="00D27425" w:rsidRPr="00D47CFB" w:rsidRDefault="00D27425" w:rsidP="00533EDA">
      <w:pPr>
        <w:pStyle w:val="ListParagraph"/>
        <w:ind w:left="1440"/>
        <w:jc w:val="both"/>
        <w:rPr>
          <w:rFonts w:cs="Arial"/>
          <w:szCs w:val="24"/>
        </w:rPr>
      </w:pPr>
      <w:r>
        <w:rPr>
          <w:rFonts w:cs="Arial"/>
          <w:szCs w:val="24"/>
        </w:rPr>
        <w:t xml:space="preserve"> </w:t>
      </w:r>
    </w:p>
    <w:sectPr w:rsidR="00D27425" w:rsidRPr="00D47CFB" w:rsidSect="0067222B">
      <w:footerReference w:type="first" r:id="rId10"/>
      <w:pgSz w:w="12240" w:h="15840" w:code="1"/>
      <w:pgMar w:top="1440" w:right="1440" w:bottom="1440" w:left="1440" w:header="720" w:footer="720" w:gutter="0"/>
      <w:paperSrc w:first="3" w:other="3"/>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D9863" w14:textId="77777777" w:rsidR="00576D82" w:rsidRDefault="00576D82" w:rsidP="00327991">
      <w:r>
        <w:separator/>
      </w:r>
    </w:p>
  </w:endnote>
  <w:endnote w:type="continuationSeparator" w:id="0">
    <w:p w14:paraId="19789742" w14:textId="77777777" w:rsidR="00576D82" w:rsidRDefault="00576D82" w:rsidP="00327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doni MT">
    <w:panose1 w:val="02070603080606020203"/>
    <w:charset w:val="00"/>
    <w:family w:val="roman"/>
    <w:pitch w:val="variable"/>
    <w:sig w:usb0="00000003" w:usb1="00000000" w:usb2="00000000" w:usb3="00000000" w:csb0="00000001" w:csb1="00000000"/>
  </w:font>
  <w:font w:name="AngsanaUPC">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D7F1" w14:textId="77777777" w:rsidR="00D74B7F" w:rsidRPr="0067222B" w:rsidRDefault="00D74B7F" w:rsidP="00680B7C">
    <w:pPr>
      <w:tabs>
        <w:tab w:val="center" w:pos="4680"/>
        <w:tab w:val="right" w:pos="9360"/>
      </w:tabs>
      <w:jc w:val="center"/>
      <w:rPr>
        <w:rFonts w:ascii="Bodoni MT" w:hAnsi="Bodoni MT" w:cs="AngsanaUPC"/>
        <w:b/>
        <w:color w:val="1F497D"/>
        <w:sz w:val="20"/>
        <w:szCs w:val="20"/>
      </w:rPr>
    </w:pPr>
    <w:r w:rsidRPr="0067222B">
      <w:rPr>
        <w:rFonts w:ascii="Bodoni MT" w:hAnsi="Bodoni MT" w:cs="AngsanaUPC"/>
        <w:b/>
        <w:color w:val="1F497D"/>
        <w:sz w:val="20"/>
        <w:szCs w:val="20"/>
      </w:rPr>
      <w:t>10 Franklin Square, New Britain, CT 06051</w:t>
    </w:r>
  </w:p>
  <w:p w14:paraId="695B34DB" w14:textId="77777777" w:rsidR="00D74B7F" w:rsidRPr="009200CE" w:rsidRDefault="00D74B7F" w:rsidP="00680B7C">
    <w:pPr>
      <w:tabs>
        <w:tab w:val="center" w:pos="4680"/>
        <w:tab w:val="right" w:pos="9360"/>
      </w:tabs>
      <w:jc w:val="center"/>
      <w:rPr>
        <w:rFonts w:ascii="Bodoni MT" w:hAnsi="Bodoni MT"/>
        <w:color w:val="1F497D"/>
        <w:sz w:val="18"/>
        <w:szCs w:val="18"/>
      </w:rPr>
    </w:pPr>
    <w:r w:rsidRPr="009200CE">
      <w:rPr>
        <w:rFonts w:ascii="Bodoni MT" w:hAnsi="Bodoni MT"/>
        <w:color w:val="1F497D"/>
        <w:sz w:val="18"/>
        <w:szCs w:val="18"/>
      </w:rPr>
      <w:t>An Equal Opportunity Employer</w:t>
    </w:r>
  </w:p>
  <w:p w14:paraId="6B079C82" w14:textId="77777777" w:rsidR="00D74B7F" w:rsidRPr="0067222B" w:rsidRDefault="00D74B7F" w:rsidP="0067222B">
    <w:pPr>
      <w:tabs>
        <w:tab w:val="center" w:pos="4680"/>
        <w:tab w:val="right" w:pos="9360"/>
      </w:tabs>
      <w:jc w:val="center"/>
      <w:rPr>
        <w:rFonts w:ascii="Bodoni MT" w:hAnsi="Bodoni MT"/>
        <w:color w:val="1F497D"/>
        <w:sz w:val="18"/>
        <w:szCs w:val="18"/>
      </w:rPr>
    </w:pPr>
    <w:r>
      <w:rPr>
        <w:rFonts w:ascii="Bodoni MT" w:hAnsi="Bodoni MT"/>
        <w:color w:val="1F497D"/>
        <w:sz w:val="18"/>
        <w:szCs w:val="18"/>
      </w:rPr>
      <w:t>www.ct.gov/pura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B7F43" w14:textId="77777777" w:rsidR="00576D82" w:rsidRDefault="00576D82" w:rsidP="00327991">
      <w:r>
        <w:separator/>
      </w:r>
    </w:p>
  </w:footnote>
  <w:footnote w:type="continuationSeparator" w:id="0">
    <w:p w14:paraId="6A0E9020" w14:textId="77777777" w:rsidR="00576D82" w:rsidRDefault="00576D82" w:rsidP="003279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0"/>
    <w:lvl w:ilvl="0">
      <w:start w:val="1"/>
      <w:numFmt w:val="decimal"/>
      <w:pStyle w:val="Quick1"/>
      <w:lvlText w:val="%1."/>
      <w:lvlJc w:val="left"/>
      <w:pPr>
        <w:tabs>
          <w:tab w:val="num" w:pos="720"/>
        </w:tabs>
      </w:pPr>
      <w:rPr>
        <w:rFonts w:ascii="Times New Roman" w:hAnsi="Times New Roman" w:cs="Times New Roman"/>
        <w:sz w:val="24"/>
        <w:szCs w:val="24"/>
      </w:rPr>
    </w:lvl>
  </w:abstractNum>
  <w:abstractNum w:abstractNumId="1" w15:restartNumberingAfterBreak="0">
    <w:nsid w:val="141C3C6A"/>
    <w:multiLevelType w:val="hybridMultilevel"/>
    <w:tmpl w:val="D9A2D4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9B2321"/>
    <w:multiLevelType w:val="hybridMultilevel"/>
    <w:tmpl w:val="DA7C7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CB0164"/>
    <w:multiLevelType w:val="hybridMultilevel"/>
    <w:tmpl w:val="5D0278E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F0550E"/>
    <w:multiLevelType w:val="hybridMultilevel"/>
    <w:tmpl w:val="FAFAF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5327938"/>
    <w:multiLevelType w:val="hybridMultilevel"/>
    <w:tmpl w:val="7C5A0CCE"/>
    <w:lvl w:ilvl="0" w:tplc="281C33F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DDE3116"/>
    <w:multiLevelType w:val="hybridMultilevel"/>
    <w:tmpl w:val="AE94D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CD05AE"/>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91382"/>
    <w:multiLevelType w:val="hybridMultilevel"/>
    <w:tmpl w:val="496ADA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914495"/>
    <w:multiLevelType w:val="hybridMultilevel"/>
    <w:tmpl w:val="B9903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DE4430"/>
    <w:multiLevelType w:val="multilevel"/>
    <w:tmpl w:val="44C46ECA"/>
    <w:styleLink w:val="Decision"/>
    <w:lvl w:ilvl="0">
      <w:start w:val="1"/>
      <w:numFmt w:val="upperRoman"/>
      <w:pStyle w:val="Heading1"/>
      <w:lvlText w:val="%1."/>
      <w:lvlJc w:val="left"/>
      <w:pPr>
        <w:tabs>
          <w:tab w:val="num" w:pos="360"/>
        </w:tabs>
        <w:ind w:left="0" w:firstLine="0"/>
      </w:pPr>
      <w:rPr>
        <w:rFonts w:hint="default"/>
        <w:sz w:val="24"/>
      </w:rPr>
    </w:lvl>
    <w:lvl w:ilvl="1">
      <w:start w:val="1"/>
      <w:numFmt w:val="upperLetter"/>
      <w:pStyle w:val="Heading2"/>
      <w:lvlText w:val="%2."/>
      <w:lvlJc w:val="left"/>
      <w:pPr>
        <w:tabs>
          <w:tab w:val="num" w:pos="1350"/>
        </w:tabs>
        <w:ind w:left="990" w:hanging="720"/>
      </w:pPr>
      <w:rPr>
        <w:rFonts w:hint="default"/>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lowerRoman"/>
      <w:pStyle w:val="Heading5"/>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1" w15:restartNumberingAfterBreak="0">
    <w:nsid w:val="50A35681"/>
    <w:multiLevelType w:val="hybridMultilevel"/>
    <w:tmpl w:val="D318E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EA6503"/>
    <w:multiLevelType w:val="hybridMultilevel"/>
    <w:tmpl w:val="D3E2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5DB075F"/>
    <w:multiLevelType w:val="hybridMultilevel"/>
    <w:tmpl w:val="EB80335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4" w15:restartNumberingAfterBreak="0">
    <w:nsid w:val="625A5F94"/>
    <w:multiLevelType w:val="hybridMultilevel"/>
    <w:tmpl w:val="ACBE6FA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9E0269"/>
    <w:multiLevelType w:val="hybridMultilevel"/>
    <w:tmpl w:val="30B4DE9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6" w15:restartNumberingAfterBreak="0">
    <w:nsid w:val="6CB10E35"/>
    <w:multiLevelType w:val="hybridMultilevel"/>
    <w:tmpl w:val="F708A98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72C41CFD"/>
    <w:multiLevelType w:val="hybridMultilevel"/>
    <w:tmpl w:val="ECD066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622645"/>
    <w:multiLevelType w:val="hybridMultilevel"/>
    <w:tmpl w:val="AE740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7A64F0"/>
    <w:multiLevelType w:val="hybridMultilevel"/>
    <w:tmpl w:val="0EA2C6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DC13110"/>
    <w:multiLevelType w:val="hybridMultilevel"/>
    <w:tmpl w:val="D84C59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831428">
    <w:abstractNumId w:val="10"/>
  </w:num>
  <w:num w:numId="2" w16cid:durableId="1387990128">
    <w:abstractNumId w:val="10"/>
  </w:num>
  <w:num w:numId="3" w16cid:durableId="1594894636">
    <w:abstractNumId w:val="17"/>
  </w:num>
  <w:num w:numId="4" w16cid:durableId="513231317">
    <w:abstractNumId w:val="5"/>
  </w:num>
  <w:num w:numId="5" w16cid:durableId="220874669">
    <w:abstractNumId w:val="0"/>
    <w:lvlOverride w:ilvl="0">
      <w:startOverride w:val="1"/>
      <w:lvl w:ilvl="0">
        <w:start w:val="1"/>
        <w:numFmt w:val="decimal"/>
        <w:pStyle w:val="Quick1"/>
        <w:lvlText w:val="%1."/>
        <w:lvlJc w:val="left"/>
      </w:lvl>
    </w:lvlOverride>
  </w:num>
  <w:num w:numId="6" w16cid:durableId="2138527061">
    <w:abstractNumId w:val="6"/>
  </w:num>
  <w:num w:numId="7" w16cid:durableId="96755797">
    <w:abstractNumId w:val="18"/>
  </w:num>
  <w:num w:numId="8" w16cid:durableId="818226630">
    <w:abstractNumId w:val="2"/>
  </w:num>
  <w:num w:numId="9" w16cid:durableId="280452499">
    <w:abstractNumId w:val="12"/>
  </w:num>
  <w:num w:numId="10" w16cid:durableId="489902645">
    <w:abstractNumId w:val="11"/>
  </w:num>
  <w:num w:numId="11" w16cid:durableId="1779831888">
    <w:abstractNumId w:val="3"/>
  </w:num>
  <w:num w:numId="12" w16cid:durableId="1103645507">
    <w:abstractNumId w:val="7"/>
  </w:num>
  <w:num w:numId="13" w16cid:durableId="896670795">
    <w:abstractNumId w:val="14"/>
  </w:num>
  <w:num w:numId="14" w16cid:durableId="1665011071">
    <w:abstractNumId w:val="15"/>
  </w:num>
  <w:num w:numId="15" w16cid:durableId="426511439">
    <w:abstractNumId w:val="16"/>
  </w:num>
  <w:num w:numId="16" w16cid:durableId="396443317">
    <w:abstractNumId w:val="13"/>
  </w:num>
  <w:num w:numId="17" w16cid:durableId="279915133">
    <w:abstractNumId w:val="9"/>
  </w:num>
  <w:num w:numId="18" w16cid:durableId="2010675890">
    <w:abstractNumId w:val="8"/>
  </w:num>
  <w:num w:numId="19" w16cid:durableId="399405507">
    <w:abstractNumId w:val="1"/>
  </w:num>
  <w:num w:numId="20" w16cid:durableId="1303121136">
    <w:abstractNumId w:val="20"/>
  </w:num>
  <w:num w:numId="21" w16cid:durableId="759328141">
    <w:abstractNumId w:val="19"/>
  </w:num>
  <w:num w:numId="22" w16cid:durableId="18504812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6A02"/>
    <w:rsid w:val="00004D72"/>
    <w:rsid w:val="00011230"/>
    <w:rsid w:val="00011C48"/>
    <w:rsid w:val="00016489"/>
    <w:rsid w:val="00030F6A"/>
    <w:rsid w:val="000339B3"/>
    <w:rsid w:val="0004217E"/>
    <w:rsid w:val="00045AFA"/>
    <w:rsid w:val="00061853"/>
    <w:rsid w:val="000736E5"/>
    <w:rsid w:val="000773DA"/>
    <w:rsid w:val="000A2832"/>
    <w:rsid w:val="000B5E67"/>
    <w:rsid w:val="000E3C2C"/>
    <w:rsid w:val="00105356"/>
    <w:rsid w:val="001078CC"/>
    <w:rsid w:val="001140C0"/>
    <w:rsid w:val="00124B5C"/>
    <w:rsid w:val="00126A02"/>
    <w:rsid w:val="001429DB"/>
    <w:rsid w:val="0014791E"/>
    <w:rsid w:val="00151031"/>
    <w:rsid w:val="00152A4A"/>
    <w:rsid w:val="00183FAD"/>
    <w:rsid w:val="00187562"/>
    <w:rsid w:val="001900BE"/>
    <w:rsid w:val="00196097"/>
    <w:rsid w:val="001E12AB"/>
    <w:rsid w:val="001F2792"/>
    <w:rsid w:val="00201472"/>
    <w:rsid w:val="00210AA2"/>
    <w:rsid w:val="00221FE4"/>
    <w:rsid w:val="00237537"/>
    <w:rsid w:val="0026478E"/>
    <w:rsid w:val="0027427F"/>
    <w:rsid w:val="002775DE"/>
    <w:rsid w:val="002861A3"/>
    <w:rsid w:val="0029000E"/>
    <w:rsid w:val="002927DB"/>
    <w:rsid w:val="002B25E0"/>
    <w:rsid w:val="002B6CAE"/>
    <w:rsid w:val="002C06CD"/>
    <w:rsid w:val="002E1D3C"/>
    <w:rsid w:val="00301330"/>
    <w:rsid w:val="00317621"/>
    <w:rsid w:val="00327991"/>
    <w:rsid w:val="00336B04"/>
    <w:rsid w:val="0034500B"/>
    <w:rsid w:val="00353B8D"/>
    <w:rsid w:val="00354BD8"/>
    <w:rsid w:val="00377489"/>
    <w:rsid w:val="00380286"/>
    <w:rsid w:val="00384372"/>
    <w:rsid w:val="003912DE"/>
    <w:rsid w:val="00397B63"/>
    <w:rsid w:val="003A634C"/>
    <w:rsid w:val="003E2CE3"/>
    <w:rsid w:val="003E4DD8"/>
    <w:rsid w:val="00400EFB"/>
    <w:rsid w:val="00412059"/>
    <w:rsid w:val="004212E8"/>
    <w:rsid w:val="004262D5"/>
    <w:rsid w:val="00434A1B"/>
    <w:rsid w:val="0043679C"/>
    <w:rsid w:val="00440FF7"/>
    <w:rsid w:val="00441B6A"/>
    <w:rsid w:val="00443E04"/>
    <w:rsid w:val="00451CD3"/>
    <w:rsid w:val="00461DD0"/>
    <w:rsid w:val="004B7BA2"/>
    <w:rsid w:val="004C3DD5"/>
    <w:rsid w:val="004E67C1"/>
    <w:rsid w:val="004F4298"/>
    <w:rsid w:val="0051702C"/>
    <w:rsid w:val="005300BE"/>
    <w:rsid w:val="00533EDA"/>
    <w:rsid w:val="00552D3F"/>
    <w:rsid w:val="0056049A"/>
    <w:rsid w:val="00561FF8"/>
    <w:rsid w:val="00576A79"/>
    <w:rsid w:val="00576D82"/>
    <w:rsid w:val="00577D4C"/>
    <w:rsid w:val="005A2DDB"/>
    <w:rsid w:val="005D3F2F"/>
    <w:rsid w:val="005E2CCC"/>
    <w:rsid w:val="005E599B"/>
    <w:rsid w:val="005F3C90"/>
    <w:rsid w:val="00604FE8"/>
    <w:rsid w:val="00631E03"/>
    <w:rsid w:val="0063208D"/>
    <w:rsid w:val="00634473"/>
    <w:rsid w:val="006445F8"/>
    <w:rsid w:val="00650744"/>
    <w:rsid w:val="00650EFE"/>
    <w:rsid w:val="00664F63"/>
    <w:rsid w:val="0067222B"/>
    <w:rsid w:val="00680A83"/>
    <w:rsid w:val="00680B7C"/>
    <w:rsid w:val="00681487"/>
    <w:rsid w:val="006817FF"/>
    <w:rsid w:val="00683365"/>
    <w:rsid w:val="0069356B"/>
    <w:rsid w:val="00695AFC"/>
    <w:rsid w:val="006A1AEB"/>
    <w:rsid w:val="006A28F0"/>
    <w:rsid w:val="006A4B1A"/>
    <w:rsid w:val="006A6CDB"/>
    <w:rsid w:val="006E006F"/>
    <w:rsid w:val="006F5C1D"/>
    <w:rsid w:val="007036E4"/>
    <w:rsid w:val="00737EF8"/>
    <w:rsid w:val="00754D1A"/>
    <w:rsid w:val="007612EA"/>
    <w:rsid w:val="0078501F"/>
    <w:rsid w:val="00796042"/>
    <w:rsid w:val="007A4C07"/>
    <w:rsid w:val="007C2476"/>
    <w:rsid w:val="007C5B8A"/>
    <w:rsid w:val="007D51DD"/>
    <w:rsid w:val="007E0A18"/>
    <w:rsid w:val="007E221A"/>
    <w:rsid w:val="008005A9"/>
    <w:rsid w:val="00803E2C"/>
    <w:rsid w:val="0081277D"/>
    <w:rsid w:val="0082011E"/>
    <w:rsid w:val="00823AD6"/>
    <w:rsid w:val="00834F25"/>
    <w:rsid w:val="0084017E"/>
    <w:rsid w:val="0084611C"/>
    <w:rsid w:val="008608C0"/>
    <w:rsid w:val="008620BA"/>
    <w:rsid w:val="008A21A1"/>
    <w:rsid w:val="008A6739"/>
    <w:rsid w:val="008B7CF4"/>
    <w:rsid w:val="008C1840"/>
    <w:rsid w:val="008D3364"/>
    <w:rsid w:val="00917425"/>
    <w:rsid w:val="009200CE"/>
    <w:rsid w:val="0092260F"/>
    <w:rsid w:val="009232E1"/>
    <w:rsid w:val="00927F0C"/>
    <w:rsid w:val="00946C14"/>
    <w:rsid w:val="009A04A5"/>
    <w:rsid w:val="009A6920"/>
    <w:rsid w:val="009B5F69"/>
    <w:rsid w:val="009C6629"/>
    <w:rsid w:val="009E1019"/>
    <w:rsid w:val="009E3479"/>
    <w:rsid w:val="009F4286"/>
    <w:rsid w:val="00A07C1A"/>
    <w:rsid w:val="00A14AB3"/>
    <w:rsid w:val="00A24230"/>
    <w:rsid w:val="00A417E6"/>
    <w:rsid w:val="00A70EAE"/>
    <w:rsid w:val="00A85D56"/>
    <w:rsid w:val="00A91F7E"/>
    <w:rsid w:val="00AB4999"/>
    <w:rsid w:val="00AD51B3"/>
    <w:rsid w:val="00AF0069"/>
    <w:rsid w:val="00B03994"/>
    <w:rsid w:val="00B24130"/>
    <w:rsid w:val="00B26312"/>
    <w:rsid w:val="00B37603"/>
    <w:rsid w:val="00B426F2"/>
    <w:rsid w:val="00B86D29"/>
    <w:rsid w:val="00BA1756"/>
    <w:rsid w:val="00BA19F6"/>
    <w:rsid w:val="00BA27DD"/>
    <w:rsid w:val="00BB5992"/>
    <w:rsid w:val="00BC6E56"/>
    <w:rsid w:val="00BC7227"/>
    <w:rsid w:val="00BE1A70"/>
    <w:rsid w:val="00BF0AAC"/>
    <w:rsid w:val="00C03880"/>
    <w:rsid w:val="00C12FDD"/>
    <w:rsid w:val="00C41CFA"/>
    <w:rsid w:val="00C442C2"/>
    <w:rsid w:val="00C4572C"/>
    <w:rsid w:val="00C568C8"/>
    <w:rsid w:val="00C60889"/>
    <w:rsid w:val="00C7111C"/>
    <w:rsid w:val="00C7727B"/>
    <w:rsid w:val="00C8783D"/>
    <w:rsid w:val="00C9576F"/>
    <w:rsid w:val="00CB3689"/>
    <w:rsid w:val="00CD5159"/>
    <w:rsid w:val="00CF36AE"/>
    <w:rsid w:val="00D006F6"/>
    <w:rsid w:val="00D27425"/>
    <w:rsid w:val="00D47CFB"/>
    <w:rsid w:val="00D74B7F"/>
    <w:rsid w:val="00D969F3"/>
    <w:rsid w:val="00D972A2"/>
    <w:rsid w:val="00DC68AF"/>
    <w:rsid w:val="00DD1059"/>
    <w:rsid w:val="00DE0E38"/>
    <w:rsid w:val="00DF5B9C"/>
    <w:rsid w:val="00E01A90"/>
    <w:rsid w:val="00E04E83"/>
    <w:rsid w:val="00E05B48"/>
    <w:rsid w:val="00E12771"/>
    <w:rsid w:val="00E21DE8"/>
    <w:rsid w:val="00E6086B"/>
    <w:rsid w:val="00E91BE3"/>
    <w:rsid w:val="00EA5846"/>
    <w:rsid w:val="00EC103F"/>
    <w:rsid w:val="00EC258F"/>
    <w:rsid w:val="00EC7A55"/>
    <w:rsid w:val="00ED6E79"/>
    <w:rsid w:val="00F17545"/>
    <w:rsid w:val="00F25C83"/>
    <w:rsid w:val="00F302A9"/>
    <w:rsid w:val="00F34968"/>
    <w:rsid w:val="00F45502"/>
    <w:rsid w:val="00F633BD"/>
    <w:rsid w:val="00F86C8B"/>
    <w:rsid w:val="00F94EFF"/>
    <w:rsid w:val="00FA2A87"/>
    <w:rsid w:val="00FB1867"/>
    <w:rsid w:val="00FB444B"/>
    <w:rsid w:val="00FC03C9"/>
    <w:rsid w:val="00FC6406"/>
    <w:rsid w:val="00FE0B41"/>
    <w:rsid w:val="00FE0C5A"/>
    <w:rsid w:val="00FF3B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65D9A"/>
  <w15:docId w15:val="{5CBD79A3-63F9-47D3-88A7-E87908503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0CE"/>
    <w:rPr>
      <w:rFonts w:ascii="Arial" w:hAnsi="Arial"/>
      <w:sz w:val="24"/>
      <w:szCs w:val="22"/>
    </w:rPr>
  </w:style>
  <w:style w:type="paragraph" w:styleId="Heading1">
    <w:name w:val="heading 1"/>
    <w:basedOn w:val="Normal"/>
    <w:next w:val="Normal"/>
    <w:link w:val="Heading1Char"/>
    <w:qFormat/>
    <w:rsid w:val="00016489"/>
    <w:pPr>
      <w:numPr>
        <w:numId w:val="1"/>
      </w:numPr>
      <w:tabs>
        <w:tab w:val="left" w:pos="720"/>
      </w:tabs>
      <w:jc w:val="both"/>
      <w:outlineLvl w:val="0"/>
    </w:pPr>
    <w:rPr>
      <w:rFonts w:eastAsia="Times New Roman"/>
      <w:b/>
      <w:caps/>
      <w:szCs w:val="20"/>
    </w:rPr>
  </w:style>
  <w:style w:type="paragraph" w:styleId="Heading2">
    <w:name w:val="heading 2"/>
    <w:basedOn w:val="Normal"/>
    <w:next w:val="Normal"/>
    <w:link w:val="Heading2Char"/>
    <w:qFormat/>
    <w:rsid w:val="00016489"/>
    <w:pPr>
      <w:numPr>
        <w:ilvl w:val="1"/>
        <w:numId w:val="1"/>
      </w:numPr>
      <w:tabs>
        <w:tab w:val="left" w:pos="720"/>
      </w:tabs>
      <w:jc w:val="both"/>
      <w:outlineLvl w:val="1"/>
    </w:pPr>
    <w:rPr>
      <w:rFonts w:eastAsia="Times New Roman"/>
      <w:b/>
      <w:smallCaps/>
      <w:szCs w:val="20"/>
    </w:rPr>
  </w:style>
  <w:style w:type="paragraph" w:styleId="Heading3">
    <w:name w:val="heading 3"/>
    <w:basedOn w:val="Normal"/>
    <w:next w:val="Normal"/>
    <w:link w:val="Heading3Char"/>
    <w:qFormat/>
    <w:rsid w:val="00016489"/>
    <w:pPr>
      <w:numPr>
        <w:ilvl w:val="2"/>
        <w:numId w:val="1"/>
      </w:numPr>
      <w:tabs>
        <w:tab w:val="left" w:pos="720"/>
      </w:tabs>
      <w:jc w:val="both"/>
      <w:outlineLvl w:val="2"/>
    </w:pPr>
    <w:rPr>
      <w:rFonts w:eastAsia="Times New Roman"/>
      <w:b/>
      <w:szCs w:val="20"/>
    </w:rPr>
  </w:style>
  <w:style w:type="paragraph" w:styleId="Heading4">
    <w:name w:val="heading 4"/>
    <w:basedOn w:val="Normal"/>
    <w:next w:val="Normal"/>
    <w:link w:val="Heading4Char"/>
    <w:qFormat/>
    <w:rsid w:val="00016489"/>
    <w:pPr>
      <w:numPr>
        <w:ilvl w:val="3"/>
        <w:numId w:val="1"/>
      </w:numPr>
      <w:tabs>
        <w:tab w:val="left" w:pos="720"/>
      </w:tabs>
      <w:jc w:val="both"/>
      <w:outlineLvl w:val="3"/>
    </w:pPr>
    <w:rPr>
      <w:rFonts w:eastAsia="Times New Roman"/>
      <w:b/>
      <w:szCs w:val="20"/>
    </w:rPr>
  </w:style>
  <w:style w:type="paragraph" w:styleId="Heading5">
    <w:name w:val="heading 5"/>
    <w:basedOn w:val="Normal"/>
    <w:next w:val="Normal"/>
    <w:link w:val="Heading5Char"/>
    <w:qFormat/>
    <w:rsid w:val="00016489"/>
    <w:pPr>
      <w:numPr>
        <w:ilvl w:val="4"/>
        <w:numId w:val="1"/>
      </w:numPr>
      <w:tabs>
        <w:tab w:val="left" w:pos="720"/>
      </w:tabs>
      <w:jc w:val="both"/>
      <w:outlineLvl w:val="4"/>
    </w:pPr>
    <w:rPr>
      <w:rFonts w:eastAsia="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27991"/>
    <w:pPr>
      <w:tabs>
        <w:tab w:val="center" w:pos="4680"/>
        <w:tab w:val="right" w:pos="9360"/>
      </w:tabs>
    </w:pPr>
  </w:style>
  <w:style w:type="character" w:customStyle="1" w:styleId="FooterChar">
    <w:name w:val="Footer Char"/>
    <w:link w:val="Footer"/>
    <w:uiPriority w:val="99"/>
    <w:rsid w:val="00327991"/>
    <w:rPr>
      <w:rFonts w:ascii="Arial" w:hAnsi="Arial"/>
      <w:sz w:val="24"/>
    </w:rPr>
  </w:style>
  <w:style w:type="paragraph" w:styleId="Header">
    <w:name w:val="header"/>
    <w:basedOn w:val="Normal"/>
    <w:link w:val="HeaderChar"/>
    <w:uiPriority w:val="99"/>
    <w:unhideWhenUsed/>
    <w:rsid w:val="00327991"/>
    <w:pPr>
      <w:tabs>
        <w:tab w:val="center" w:pos="4680"/>
        <w:tab w:val="right" w:pos="9360"/>
      </w:tabs>
    </w:pPr>
  </w:style>
  <w:style w:type="character" w:customStyle="1" w:styleId="HeaderChar">
    <w:name w:val="Header Char"/>
    <w:link w:val="Header"/>
    <w:uiPriority w:val="99"/>
    <w:rsid w:val="00327991"/>
    <w:rPr>
      <w:rFonts w:ascii="Arial" w:hAnsi="Arial"/>
      <w:sz w:val="24"/>
    </w:rPr>
  </w:style>
  <w:style w:type="character" w:styleId="Hyperlink">
    <w:name w:val="Hyperlink"/>
    <w:uiPriority w:val="99"/>
    <w:unhideWhenUsed/>
    <w:rsid w:val="00327991"/>
    <w:rPr>
      <w:color w:val="0000FF"/>
      <w:u w:val="single"/>
    </w:rPr>
  </w:style>
  <w:style w:type="paragraph" w:styleId="FootnoteText">
    <w:name w:val="footnote text"/>
    <w:basedOn w:val="Normal"/>
    <w:link w:val="FootnoteTextChar"/>
    <w:uiPriority w:val="99"/>
    <w:semiHidden/>
    <w:unhideWhenUsed/>
    <w:rsid w:val="00016489"/>
    <w:rPr>
      <w:sz w:val="20"/>
      <w:szCs w:val="20"/>
    </w:rPr>
  </w:style>
  <w:style w:type="character" w:customStyle="1" w:styleId="FootnoteTextChar">
    <w:name w:val="Footnote Text Char"/>
    <w:link w:val="FootnoteText"/>
    <w:uiPriority w:val="99"/>
    <w:semiHidden/>
    <w:rsid w:val="00016489"/>
    <w:rPr>
      <w:rFonts w:ascii="Arial" w:hAnsi="Arial"/>
    </w:rPr>
  </w:style>
  <w:style w:type="character" w:customStyle="1" w:styleId="Heading1Char">
    <w:name w:val="Heading 1 Char"/>
    <w:link w:val="Heading1"/>
    <w:rsid w:val="00016489"/>
    <w:rPr>
      <w:rFonts w:ascii="Arial" w:eastAsia="Times New Roman" w:hAnsi="Arial"/>
      <w:b/>
      <w:caps/>
      <w:sz w:val="24"/>
    </w:rPr>
  </w:style>
  <w:style w:type="character" w:customStyle="1" w:styleId="Heading2Char">
    <w:name w:val="Heading 2 Char"/>
    <w:link w:val="Heading2"/>
    <w:rsid w:val="00016489"/>
    <w:rPr>
      <w:rFonts w:ascii="Arial" w:eastAsia="Times New Roman" w:hAnsi="Arial"/>
      <w:b/>
      <w:smallCaps/>
      <w:sz w:val="24"/>
    </w:rPr>
  </w:style>
  <w:style w:type="character" w:customStyle="1" w:styleId="Heading3Char">
    <w:name w:val="Heading 3 Char"/>
    <w:link w:val="Heading3"/>
    <w:rsid w:val="00016489"/>
    <w:rPr>
      <w:rFonts w:ascii="Arial" w:eastAsia="Times New Roman" w:hAnsi="Arial"/>
      <w:b/>
      <w:sz w:val="24"/>
    </w:rPr>
  </w:style>
  <w:style w:type="character" w:customStyle="1" w:styleId="Heading4Char">
    <w:name w:val="Heading 4 Char"/>
    <w:link w:val="Heading4"/>
    <w:rsid w:val="00016489"/>
    <w:rPr>
      <w:rFonts w:ascii="Arial" w:eastAsia="Times New Roman" w:hAnsi="Arial"/>
      <w:b/>
      <w:sz w:val="24"/>
    </w:rPr>
  </w:style>
  <w:style w:type="character" w:customStyle="1" w:styleId="Heading5Char">
    <w:name w:val="Heading 5 Char"/>
    <w:link w:val="Heading5"/>
    <w:rsid w:val="00016489"/>
    <w:rPr>
      <w:rFonts w:ascii="Arial" w:eastAsia="Times New Roman" w:hAnsi="Arial"/>
      <w:b/>
      <w:sz w:val="24"/>
    </w:rPr>
  </w:style>
  <w:style w:type="character" w:styleId="FootnoteReference">
    <w:name w:val="footnote reference"/>
    <w:semiHidden/>
    <w:rsid w:val="00016489"/>
    <w:rPr>
      <w:rFonts w:ascii="Arial" w:hAnsi="Arial"/>
      <w:position w:val="6"/>
      <w:sz w:val="16"/>
    </w:rPr>
  </w:style>
  <w:style w:type="numbering" w:customStyle="1" w:styleId="Decision">
    <w:name w:val="Decision"/>
    <w:rsid w:val="00016489"/>
    <w:pPr>
      <w:numPr>
        <w:numId w:val="1"/>
      </w:numPr>
    </w:pPr>
  </w:style>
  <w:style w:type="paragraph" w:styleId="BalloonText">
    <w:name w:val="Balloon Text"/>
    <w:basedOn w:val="Normal"/>
    <w:link w:val="BalloonTextChar"/>
    <w:uiPriority w:val="99"/>
    <w:semiHidden/>
    <w:unhideWhenUsed/>
    <w:rsid w:val="0004217E"/>
    <w:rPr>
      <w:rFonts w:ascii="Tahoma" w:hAnsi="Tahoma" w:cs="Tahoma"/>
      <w:sz w:val="16"/>
      <w:szCs w:val="16"/>
    </w:rPr>
  </w:style>
  <w:style w:type="character" w:customStyle="1" w:styleId="BalloonTextChar">
    <w:name w:val="Balloon Text Char"/>
    <w:link w:val="BalloonText"/>
    <w:uiPriority w:val="99"/>
    <w:semiHidden/>
    <w:rsid w:val="0004217E"/>
    <w:rPr>
      <w:rFonts w:ascii="Tahoma" w:hAnsi="Tahoma" w:cs="Tahoma"/>
      <w:sz w:val="16"/>
      <w:szCs w:val="16"/>
    </w:rPr>
  </w:style>
  <w:style w:type="paragraph" w:styleId="NoSpacing">
    <w:name w:val="No Spacing"/>
    <w:uiPriority w:val="1"/>
    <w:qFormat/>
    <w:rsid w:val="0043679C"/>
    <w:rPr>
      <w:rFonts w:ascii="Arial" w:hAnsi="Arial"/>
      <w:sz w:val="24"/>
      <w:szCs w:val="22"/>
    </w:rPr>
  </w:style>
  <w:style w:type="paragraph" w:styleId="Title">
    <w:name w:val="Title"/>
    <w:basedOn w:val="Normal"/>
    <w:link w:val="TitleChar"/>
    <w:qFormat/>
    <w:rsid w:val="00152A4A"/>
    <w:pPr>
      <w:jc w:val="center"/>
    </w:pPr>
    <w:rPr>
      <w:rFonts w:eastAsia="Times New Roman"/>
      <w:b/>
      <w:szCs w:val="20"/>
      <w:u w:val="single"/>
    </w:rPr>
  </w:style>
  <w:style w:type="character" w:customStyle="1" w:styleId="TitleChar">
    <w:name w:val="Title Char"/>
    <w:link w:val="Title"/>
    <w:rsid w:val="00152A4A"/>
    <w:rPr>
      <w:rFonts w:ascii="Arial" w:eastAsia="Times New Roman" w:hAnsi="Arial"/>
      <w:b/>
      <w:sz w:val="24"/>
      <w:u w:val="single"/>
    </w:rPr>
  </w:style>
  <w:style w:type="paragraph" w:styleId="ListParagraph">
    <w:name w:val="List Paragraph"/>
    <w:basedOn w:val="Normal"/>
    <w:uiPriority w:val="34"/>
    <w:qFormat/>
    <w:rsid w:val="00126A02"/>
    <w:pPr>
      <w:ind w:left="720"/>
      <w:contextualSpacing/>
    </w:pPr>
    <w:rPr>
      <w:rFonts w:eastAsiaTheme="minorHAnsi" w:cstheme="minorBidi"/>
    </w:rPr>
  </w:style>
  <w:style w:type="paragraph" w:customStyle="1" w:styleId="Quick1">
    <w:name w:val="Quick 1."/>
    <w:basedOn w:val="Normal"/>
    <w:rsid w:val="00126A02"/>
    <w:pPr>
      <w:widowControl w:val="0"/>
      <w:numPr>
        <w:numId w:val="5"/>
      </w:numPr>
      <w:autoSpaceDE w:val="0"/>
      <w:autoSpaceDN w:val="0"/>
      <w:adjustRightInd w:val="0"/>
      <w:ind w:left="720" w:hanging="720"/>
    </w:pPr>
    <w:rPr>
      <w:rFonts w:ascii="Times New Roman" w:eastAsia="Times New Roman" w:hAnsi="Times New Roman"/>
      <w:sz w:val="20"/>
      <w:szCs w:val="24"/>
    </w:rPr>
  </w:style>
  <w:style w:type="character" w:customStyle="1" w:styleId="UnresolvedMention1">
    <w:name w:val="Unresolved Mention1"/>
    <w:basedOn w:val="DefaultParagraphFont"/>
    <w:uiPriority w:val="99"/>
    <w:semiHidden/>
    <w:unhideWhenUsed/>
    <w:rsid w:val="00336B04"/>
    <w:rPr>
      <w:color w:val="605E5C"/>
      <w:shd w:val="clear" w:color="auto" w:fill="E1DFDD"/>
    </w:rPr>
  </w:style>
  <w:style w:type="character" w:styleId="FollowedHyperlink">
    <w:name w:val="FollowedHyperlink"/>
    <w:basedOn w:val="DefaultParagraphFont"/>
    <w:uiPriority w:val="99"/>
    <w:semiHidden/>
    <w:unhideWhenUsed/>
    <w:rsid w:val="00210AA2"/>
    <w:rPr>
      <w:color w:val="800080" w:themeColor="followedHyperlink"/>
      <w:u w:val="single"/>
    </w:rPr>
  </w:style>
  <w:style w:type="character" w:styleId="UnresolvedMention">
    <w:name w:val="Unresolved Mention"/>
    <w:basedOn w:val="DefaultParagraphFont"/>
    <w:uiPriority w:val="99"/>
    <w:semiHidden/>
    <w:unhideWhenUsed/>
    <w:rsid w:val="00D74B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662869">
      <w:bodyDiv w:val="1"/>
      <w:marLeft w:val="0"/>
      <w:marRight w:val="0"/>
      <w:marTop w:val="0"/>
      <w:marBottom w:val="0"/>
      <w:divBdr>
        <w:top w:val="none" w:sz="0" w:space="0" w:color="auto"/>
        <w:left w:val="none" w:sz="0" w:space="0" w:color="auto"/>
        <w:bottom w:val="none" w:sz="0" w:space="0" w:color="auto"/>
        <w:right w:val="none" w:sz="0" w:space="0" w:color="auto"/>
      </w:divBdr>
    </w:div>
    <w:div w:id="682822707">
      <w:bodyDiv w:val="1"/>
      <w:marLeft w:val="0"/>
      <w:marRight w:val="0"/>
      <w:marTop w:val="0"/>
      <w:marBottom w:val="0"/>
      <w:divBdr>
        <w:top w:val="none" w:sz="0" w:space="0" w:color="auto"/>
        <w:left w:val="none" w:sz="0" w:space="0" w:color="auto"/>
        <w:bottom w:val="none" w:sz="0" w:space="0" w:color="auto"/>
        <w:right w:val="none" w:sz="0" w:space="0" w:color="auto"/>
      </w:divBdr>
    </w:div>
    <w:div w:id="1325469320">
      <w:bodyDiv w:val="1"/>
      <w:marLeft w:val="0"/>
      <w:marRight w:val="0"/>
      <w:marTop w:val="0"/>
      <w:marBottom w:val="0"/>
      <w:divBdr>
        <w:top w:val="none" w:sz="0" w:space="0" w:color="auto"/>
        <w:left w:val="none" w:sz="0" w:space="0" w:color="auto"/>
        <w:bottom w:val="none" w:sz="0" w:space="0" w:color="auto"/>
        <w:right w:val="none" w:sz="0" w:space="0" w:color="auto"/>
      </w:divBdr>
    </w:div>
    <w:div w:id="1539200604">
      <w:bodyDiv w:val="1"/>
      <w:marLeft w:val="0"/>
      <w:marRight w:val="0"/>
      <w:marTop w:val="0"/>
      <w:marBottom w:val="0"/>
      <w:divBdr>
        <w:top w:val="none" w:sz="0" w:space="0" w:color="auto"/>
        <w:left w:val="none" w:sz="0" w:space="0" w:color="auto"/>
        <w:bottom w:val="none" w:sz="0" w:space="0" w:color="auto"/>
        <w:right w:val="none" w:sz="0" w:space="0" w:color="auto"/>
      </w:divBdr>
    </w:div>
    <w:div w:id="2095470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CB9E11-0084-44B6-AC40-D43ADD0E6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3</Pages>
  <Words>832</Words>
  <Characters>4461</Characters>
  <Application>Microsoft Office Word</Application>
  <DocSecurity>0</DocSecurity>
  <Lines>127</Lines>
  <Paragraphs>40</Paragraphs>
  <ScaleCrop>false</ScaleCrop>
  <HeadingPairs>
    <vt:vector size="2" baseType="variant">
      <vt:variant>
        <vt:lpstr>Title</vt:lpstr>
      </vt:variant>
      <vt:variant>
        <vt:i4>1</vt:i4>
      </vt:variant>
    </vt:vector>
  </HeadingPairs>
  <TitlesOfParts>
    <vt:vector size="1" baseType="lpstr">
      <vt:lpstr/>
    </vt:vector>
  </TitlesOfParts>
  <Company>DEEP</Company>
  <LinksUpToDate>false</LinksUpToDate>
  <CharactersWithSpaces>5253</CharactersWithSpaces>
  <SharedDoc>false</SharedDoc>
  <HLinks>
    <vt:vector size="6" baseType="variant">
      <vt:variant>
        <vt:i4>131178</vt:i4>
      </vt:variant>
      <vt:variant>
        <vt:i4>0</vt:i4>
      </vt:variant>
      <vt:variant>
        <vt:i4>0</vt:i4>
      </vt:variant>
      <vt:variant>
        <vt:i4>5</vt:i4>
      </vt:variant>
      <vt:variant>
        <vt:lpwstr>mailto:deep.accommodations@ct.gov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Lauren Bergman</dc:creator>
  <cp:lastModifiedBy>Alexander, Zachary</cp:lastModifiedBy>
  <cp:revision>5</cp:revision>
  <cp:lastPrinted>2015-02-26T16:45:00Z</cp:lastPrinted>
  <dcterms:created xsi:type="dcterms:W3CDTF">2023-01-05T13:51:00Z</dcterms:created>
  <dcterms:modified xsi:type="dcterms:W3CDTF">2023-01-09T13:25:00Z</dcterms:modified>
</cp:coreProperties>
</file>