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B52B" w14:textId="77777777" w:rsidR="00152A4A" w:rsidRDefault="00DC68AF" w:rsidP="00152A4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3B4C" wp14:editId="07E6B9B7">
                <wp:simplePos x="0" y="0"/>
                <wp:positionH relativeFrom="column">
                  <wp:posOffset>-243840</wp:posOffset>
                </wp:positionH>
                <wp:positionV relativeFrom="paragraph">
                  <wp:posOffset>-696595</wp:posOffset>
                </wp:positionV>
                <wp:extent cx="5943600" cy="12369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365F" w14:textId="77777777" w:rsidR="007A3192" w:rsidRDefault="007A3192" w:rsidP="00152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A05A9" wp14:editId="62D80F04">
                                  <wp:extent cx="6412865" cy="1139825"/>
                                  <wp:effectExtent l="0" t="0" r="698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865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6633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2pt;margin-top:-54.85pt;width:468pt;height:97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tgAIAAA4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" stroked="f">
                <v:textbox style="mso-fit-shape-to-text:t">
                  <w:txbxContent>
                    <w:p w14:paraId="63DD365F" w14:textId="77777777" w:rsidR="007A3192" w:rsidRDefault="007A3192" w:rsidP="00152A4A">
                      <w:r>
                        <w:rPr>
                          <w:noProof/>
                        </w:rPr>
                        <w:drawing>
                          <wp:inline distT="0" distB="0" distL="0" distR="0" wp14:anchorId="4F9A05A9" wp14:editId="62D80F04">
                            <wp:extent cx="6412865" cy="1139825"/>
                            <wp:effectExtent l="0" t="0" r="698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865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71A8C" w14:textId="77777777" w:rsidR="007C5B8A" w:rsidRDefault="007C5B8A" w:rsidP="007C5B8A">
      <w:pPr>
        <w:jc w:val="center"/>
        <w:rPr>
          <w:szCs w:val="24"/>
        </w:rPr>
      </w:pPr>
    </w:p>
    <w:p w14:paraId="1342444E" w14:textId="77777777" w:rsidR="00B426F2" w:rsidRPr="002B7ECD" w:rsidRDefault="00B426F2" w:rsidP="007C5B8A">
      <w:pPr>
        <w:jc w:val="center"/>
        <w:rPr>
          <w:szCs w:val="24"/>
        </w:rPr>
      </w:pPr>
    </w:p>
    <w:p w14:paraId="704316D6" w14:textId="7999B1C9" w:rsidR="00B426F2" w:rsidRPr="00B426F2" w:rsidRDefault="00B426F2" w:rsidP="00B426F2">
      <w:pPr>
        <w:jc w:val="center"/>
        <w:rPr>
          <w:szCs w:val="24"/>
        </w:rPr>
      </w:pPr>
      <w:r w:rsidRPr="00B426F2">
        <w:rPr>
          <w:szCs w:val="24"/>
        </w:rPr>
        <w:t xml:space="preserve">CONNECTICUT DISTRIBUTED GENERATION </w:t>
      </w:r>
      <w:r w:rsidR="00B0702E">
        <w:rPr>
          <w:szCs w:val="24"/>
        </w:rPr>
        <w:t>POLICY</w:t>
      </w:r>
      <w:r w:rsidRPr="00B426F2">
        <w:rPr>
          <w:szCs w:val="24"/>
        </w:rPr>
        <w:t xml:space="preserve"> WORKING GROUP</w:t>
      </w:r>
    </w:p>
    <w:p w14:paraId="58CFF9EA" w14:textId="77777777" w:rsidR="00B426F2" w:rsidRDefault="00B426F2" w:rsidP="007C5B8A">
      <w:pPr>
        <w:jc w:val="center"/>
        <w:rPr>
          <w:szCs w:val="24"/>
          <w:u w:val="single"/>
        </w:rPr>
      </w:pPr>
    </w:p>
    <w:p w14:paraId="3DB36EAF" w14:textId="4D84D0DC" w:rsidR="007C5B8A" w:rsidRPr="002B7ECD" w:rsidRDefault="00B0702E" w:rsidP="007C5B8A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MEETING MINUTES</w:t>
      </w:r>
    </w:p>
    <w:p w14:paraId="27A9FFE6" w14:textId="1921DF3E" w:rsidR="007C5B8A" w:rsidRPr="002B7ECD" w:rsidRDefault="00B40579" w:rsidP="007C5B8A">
      <w:pPr>
        <w:jc w:val="center"/>
        <w:rPr>
          <w:szCs w:val="24"/>
        </w:rPr>
      </w:pPr>
      <w:r>
        <w:rPr>
          <w:szCs w:val="24"/>
        </w:rPr>
        <w:t>Tuesday</w:t>
      </w:r>
      <w:r w:rsidR="00B426F2">
        <w:rPr>
          <w:szCs w:val="24"/>
        </w:rPr>
        <w:t xml:space="preserve">, </w:t>
      </w:r>
      <w:r w:rsidR="00282546">
        <w:rPr>
          <w:szCs w:val="24"/>
        </w:rPr>
        <w:t>October</w:t>
      </w:r>
      <w:r>
        <w:rPr>
          <w:szCs w:val="24"/>
        </w:rPr>
        <w:t xml:space="preserve"> </w:t>
      </w:r>
      <w:r w:rsidR="002A5ED9">
        <w:rPr>
          <w:szCs w:val="24"/>
        </w:rPr>
        <w:t>26</w:t>
      </w:r>
      <w:r w:rsidR="00B426F2" w:rsidRPr="00B426F2">
        <w:rPr>
          <w:szCs w:val="24"/>
        </w:rPr>
        <w:t>, 2021</w:t>
      </w:r>
    </w:p>
    <w:p w14:paraId="3FCAE99B" w14:textId="687BCEA0" w:rsidR="00126A02" w:rsidRPr="00B426F2" w:rsidRDefault="00126A02" w:rsidP="00E553DF">
      <w:pPr>
        <w:jc w:val="center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9:00 AM – </w:t>
      </w:r>
      <w:r w:rsidR="00255DC5">
        <w:rPr>
          <w:rFonts w:cs="Arial"/>
          <w:szCs w:val="24"/>
        </w:rPr>
        <w:t>10:3</w:t>
      </w:r>
      <w:r w:rsidR="00644830">
        <w:rPr>
          <w:rFonts w:cs="Arial"/>
          <w:szCs w:val="24"/>
        </w:rPr>
        <w:t>0</w:t>
      </w:r>
      <w:r w:rsidRPr="00B426F2">
        <w:rPr>
          <w:rFonts w:cs="Arial"/>
          <w:szCs w:val="24"/>
        </w:rPr>
        <w:t xml:space="preserve"> </w:t>
      </w:r>
      <w:r w:rsidR="00282546">
        <w:rPr>
          <w:rFonts w:cs="Arial"/>
          <w:szCs w:val="24"/>
        </w:rPr>
        <w:t>A</w:t>
      </w:r>
      <w:r w:rsidRPr="00B426F2">
        <w:rPr>
          <w:rFonts w:cs="Arial"/>
          <w:szCs w:val="24"/>
        </w:rPr>
        <w:t>M</w:t>
      </w:r>
    </w:p>
    <w:p w14:paraId="12263EBE" w14:textId="77777777" w:rsidR="003B425F" w:rsidRPr="00BF0AAC" w:rsidRDefault="003B425F" w:rsidP="00E553DF">
      <w:pPr>
        <w:pStyle w:val="ListParagraph"/>
        <w:ind w:left="1080"/>
        <w:jc w:val="center"/>
        <w:rPr>
          <w:rFonts w:cs="Arial"/>
          <w:i/>
          <w:szCs w:val="24"/>
        </w:rPr>
      </w:pPr>
    </w:p>
    <w:p w14:paraId="7FDAC00D" w14:textId="10CC5DE9" w:rsidR="00B426F2" w:rsidRDefault="00B426F2" w:rsidP="00126A02">
      <w:pPr>
        <w:jc w:val="both"/>
        <w:rPr>
          <w:rFonts w:cs="Arial"/>
          <w:szCs w:val="24"/>
        </w:rPr>
      </w:pPr>
    </w:p>
    <w:p w14:paraId="0281FFB7" w14:textId="6ADB6071" w:rsidR="00A86777" w:rsidRDefault="00126A02" w:rsidP="00126A02">
      <w:pPr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>9:00 AM – 9:</w:t>
      </w:r>
      <w:r w:rsidR="005F0251">
        <w:rPr>
          <w:rFonts w:cs="Arial"/>
          <w:b/>
          <w:szCs w:val="24"/>
        </w:rPr>
        <w:t>0</w:t>
      </w:r>
      <w:r w:rsidRPr="00B426F2">
        <w:rPr>
          <w:rFonts w:cs="Arial"/>
          <w:b/>
          <w:szCs w:val="24"/>
        </w:rPr>
        <w:t>5 AM</w:t>
      </w:r>
      <w:r w:rsidRPr="00B426F2">
        <w:rPr>
          <w:rFonts w:cs="Arial"/>
          <w:b/>
          <w:szCs w:val="24"/>
        </w:rPr>
        <w:tab/>
      </w:r>
      <w:r w:rsidRPr="00B426F2">
        <w:rPr>
          <w:rFonts w:cs="Arial"/>
          <w:b/>
          <w:szCs w:val="24"/>
        </w:rPr>
        <w:tab/>
        <w:t>Introduction</w:t>
      </w:r>
      <w:r w:rsidR="005F0251">
        <w:rPr>
          <w:rFonts w:cs="Arial"/>
          <w:b/>
          <w:szCs w:val="24"/>
        </w:rPr>
        <w:t xml:space="preserve"> and Adoption of Meeting Minutes</w:t>
      </w:r>
    </w:p>
    <w:p w14:paraId="4BF689CE" w14:textId="77777777" w:rsidR="00BF0AAC" w:rsidRDefault="00BF0AAC" w:rsidP="00126A02">
      <w:pPr>
        <w:jc w:val="both"/>
        <w:rPr>
          <w:rFonts w:cs="Arial"/>
          <w:b/>
          <w:szCs w:val="24"/>
        </w:rPr>
      </w:pPr>
    </w:p>
    <w:p w14:paraId="43C2E216" w14:textId="1FF8A75C" w:rsidR="00081B26" w:rsidRDefault="00B0702E" w:rsidP="00081B26">
      <w:pPr>
        <w:ind w:left="2880" w:hanging="28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Upgrade Cost Sharing/Rate Basing Discussion</w:t>
      </w:r>
    </w:p>
    <w:p w14:paraId="6C0E2928" w14:textId="71305BF4" w:rsidR="00BA1D64" w:rsidRDefault="00B0702E" w:rsidP="00B0702E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Green Bank is concerned that with the launch of the Battery Storage Program on Jan 1, 2022, that new customers are more likely to trigger distribution system upgrades, particularly i</w:t>
      </w:r>
      <w:r w:rsidR="00ED7FF2">
        <w:rPr>
          <w:rFonts w:cs="Arial"/>
          <w:szCs w:val="24"/>
        </w:rPr>
        <w:t>n the AC configuration</w:t>
      </w:r>
    </w:p>
    <w:p w14:paraId="67449739" w14:textId="4440CBF3" w:rsidR="00ED7FF2" w:rsidRDefault="00ED7FF2" w:rsidP="00B0702E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Andy </w:t>
      </w:r>
      <w:proofErr w:type="spellStart"/>
      <w:r>
        <w:rPr>
          <w:rFonts w:cs="Arial"/>
          <w:szCs w:val="24"/>
        </w:rPr>
        <w:t>Mayshar</w:t>
      </w:r>
      <w:proofErr w:type="spellEnd"/>
      <w:r>
        <w:rPr>
          <w:rFonts w:cs="Arial"/>
          <w:szCs w:val="24"/>
        </w:rPr>
        <w:t xml:space="preserve"> explained the upgrade cost caps and rate-basing policies of New York and California, respectively.</w:t>
      </w:r>
    </w:p>
    <w:p w14:paraId="04DD0225" w14:textId="78106081" w:rsidR="00ED7FF2" w:rsidRDefault="00ED7FF2" w:rsidP="00B0702E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Mike Farrell stated that for Trinity Solar, the average cost for a residential upgrade is $2,470</w:t>
      </w:r>
    </w:p>
    <w:p w14:paraId="27532302" w14:textId="4A5E5A1E" w:rsidR="00ED7FF2" w:rsidRDefault="00ED7FF2" w:rsidP="00B0702E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back and forth that takes place between developer, customer, and utility when an upgrade is needed adds a significant amount of time to the process. Eliminating this by rate-basing or some other mechanism would speed up the process</w:t>
      </w:r>
    </w:p>
    <w:p w14:paraId="2DD7D85C" w14:textId="77777777" w:rsidR="00BD158A" w:rsidRDefault="00BD158A" w:rsidP="00B0702E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Between four and 6 percent (4-6%) of </w:t>
      </w:r>
      <w:proofErr w:type="spellStart"/>
      <w:r>
        <w:rPr>
          <w:rFonts w:cs="Arial"/>
          <w:szCs w:val="24"/>
        </w:rPr>
        <w:t>ConEd’s</w:t>
      </w:r>
      <w:proofErr w:type="spellEnd"/>
      <w:r>
        <w:rPr>
          <w:rFonts w:cs="Arial"/>
          <w:szCs w:val="24"/>
        </w:rPr>
        <w:t xml:space="preserve"> projects require distribution system upgrades with costs on average ranging between $1,200 – $1,500.</w:t>
      </w:r>
    </w:p>
    <w:p w14:paraId="6D32AE26" w14:textId="77777777" w:rsidR="003D325D" w:rsidRDefault="003D325D" w:rsidP="00B0702E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Per Eversource, a figure of $2,500 seems to be in line with residential upgrades that don’t require pole replacement</w:t>
      </w:r>
    </w:p>
    <w:p w14:paraId="0AE1C32A" w14:textId="77777777" w:rsidR="0082310B" w:rsidRDefault="0082310B" w:rsidP="00B0702E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average CT system size has increased to 8.5kW, with homeowner-owned projects averaging between 9-10kW.</w:t>
      </w:r>
    </w:p>
    <w:p w14:paraId="4B84A656" w14:textId="77777777" w:rsidR="006C34B6" w:rsidRDefault="0082310B" w:rsidP="00B0702E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Not all battery systems are configured for export; all </w:t>
      </w:r>
      <w:r w:rsidR="006C34B6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ower </w:t>
      </w:r>
      <w:r w:rsidR="006C34B6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alls and </w:t>
      </w:r>
      <w:r w:rsidR="006C34B6">
        <w:rPr>
          <w:rFonts w:cs="Arial"/>
          <w:szCs w:val="24"/>
        </w:rPr>
        <w:t xml:space="preserve">Generac systems installed by </w:t>
      </w:r>
      <w:proofErr w:type="spellStart"/>
      <w:r w:rsidR="006C34B6">
        <w:rPr>
          <w:rFonts w:cs="Arial"/>
          <w:szCs w:val="24"/>
        </w:rPr>
        <w:t>ConEd</w:t>
      </w:r>
      <w:proofErr w:type="spellEnd"/>
      <w:r w:rsidR="006C34B6">
        <w:rPr>
          <w:rFonts w:cs="Arial"/>
          <w:szCs w:val="24"/>
        </w:rPr>
        <w:t xml:space="preserve"> are non-export</w:t>
      </w:r>
    </w:p>
    <w:p w14:paraId="7FEB0C3B" w14:textId="62B5CE83" w:rsidR="00CD3700" w:rsidRDefault="006C34B6" w:rsidP="006C34B6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Connected Solutions program does not require batteries to export; however, the </w:t>
      </w:r>
      <w:r w:rsidR="0065074E">
        <w:rPr>
          <w:rFonts w:cs="Arial"/>
          <w:szCs w:val="24"/>
        </w:rPr>
        <w:t xml:space="preserve">Green Bank found that there would be greater benefits </w:t>
      </w:r>
      <w:r w:rsidR="00CD3700">
        <w:rPr>
          <w:rFonts w:cs="Arial"/>
          <w:szCs w:val="24"/>
        </w:rPr>
        <w:t xml:space="preserve">(increased RIM score) </w:t>
      </w:r>
      <w:r w:rsidR="0065074E">
        <w:rPr>
          <w:rFonts w:cs="Arial"/>
          <w:szCs w:val="24"/>
        </w:rPr>
        <w:t>if the</w:t>
      </w:r>
      <w:r w:rsidR="00CD3700">
        <w:rPr>
          <w:rFonts w:cs="Arial"/>
          <w:szCs w:val="24"/>
        </w:rPr>
        <w:t>y exported</w:t>
      </w:r>
    </w:p>
    <w:p w14:paraId="2D9A664E" w14:textId="77777777" w:rsidR="00CD3700" w:rsidRDefault="00CD3700" w:rsidP="006C34B6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Selya</w:t>
      </w:r>
      <w:proofErr w:type="spellEnd"/>
      <w:r>
        <w:rPr>
          <w:rFonts w:cs="Arial"/>
          <w:szCs w:val="24"/>
        </w:rPr>
        <w:t xml:space="preserve"> Price and David Ferrante had a discussion on whether the program would have a benefit to the distribution system as a whole.</w:t>
      </w:r>
    </w:p>
    <w:p w14:paraId="41B85825" w14:textId="77777777" w:rsidR="00CD3700" w:rsidRDefault="00CD3700" w:rsidP="00CD3700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Selya</w:t>
      </w:r>
      <w:proofErr w:type="spellEnd"/>
      <w:r>
        <w:rPr>
          <w:rFonts w:cs="Arial"/>
          <w:szCs w:val="24"/>
        </w:rPr>
        <w:t xml:space="preserve"> noted that the primary benefit of the program is peak reduction through demand response</w:t>
      </w:r>
    </w:p>
    <w:p w14:paraId="20B41A8D" w14:textId="30BB43C4" w:rsidR="00ED7FF2" w:rsidRDefault="00CD3700" w:rsidP="00CD3700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David stated that the added stress on the distribution system is likely to be greater than the benefit gained; the solar plus storage installations are more likely to require new service wire, additional or replacement transformers, or a new pole.</w:t>
      </w:r>
    </w:p>
    <w:p w14:paraId="76F46263" w14:textId="77777777" w:rsidR="00CD3700" w:rsidRDefault="00CD3700" w:rsidP="00CD3700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transformer cost itself is rate-based, the customer pays only for associated labor</w:t>
      </w:r>
    </w:p>
    <w:p w14:paraId="30ECB0A7" w14:textId="6C47A9AB" w:rsidR="00CD3700" w:rsidRDefault="00CD3700" w:rsidP="00CD3700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Trinity Solar provided an update on their upgrade costs</w:t>
      </w:r>
      <w:r w:rsidR="00E06D85" w:rsidRPr="00E06D85">
        <w:rPr>
          <w:rFonts w:cs="Arial"/>
          <w:szCs w:val="24"/>
        </w:rPr>
        <w:t xml:space="preserve"> </w:t>
      </w:r>
      <w:r w:rsidR="00E06D85">
        <w:rPr>
          <w:rFonts w:cs="Arial"/>
          <w:szCs w:val="24"/>
        </w:rPr>
        <w:t>t</w:t>
      </w:r>
      <w:r w:rsidR="00E06D85">
        <w:rPr>
          <w:rFonts w:cs="Arial"/>
          <w:szCs w:val="24"/>
        </w:rPr>
        <w:t>o-date in 2021</w:t>
      </w:r>
      <w:r w:rsidR="00E06D85">
        <w:rPr>
          <w:rFonts w:cs="Arial"/>
          <w:szCs w:val="24"/>
        </w:rPr>
        <w:t>:</w:t>
      </w:r>
    </w:p>
    <w:p w14:paraId="6860FA97" w14:textId="27F39A2B" w:rsidR="00CD3700" w:rsidRDefault="00E06D85" w:rsidP="00CD3700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9E06D8">
        <w:rPr>
          <w:rFonts w:cs="Arial"/>
          <w:szCs w:val="24"/>
        </w:rPr>
        <w:t>pproximately 2% of jobs required distribution system upgrades</w:t>
      </w:r>
    </w:p>
    <w:p w14:paraId="16851601" w14:textId="0B9EEF38" w:rsidR="009E06D8" w:rsidRDefault="009E06D8" w:rsidP="00CD3700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The average system size was 12.42kW</w:t>
      </w:r>
    </w:p>
    <w:p w14:paraId="6B4BE3EC" w14:textId="06225F04" w:rsidR="009E06D8" w:rsidRDefault="009E06D8" w:rsidP="00CD3700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average cost </w:t>
      </w:r>
      <w:r w:rsidR="00467E6A">
        <w:rPr>
          <w:rFonts w:cs="Arial"/>
          <w:szCs w:val="24"/>
        </w:rPr>
        <w:t xml:space="preserve">for upgrades </w:t>
      </w:r>
      <w:r w:rsidR="00E06D85">
        <w:rPr>
          <w:rFonts w:cs="Arial"/>
          <w:szCs w:val="24"/>
        </w:rPr>
        <w:t>has been about $1,200</w:t>
      </w:r>
    </w:p>
    <w:p w14:paraId="6FA3C91C" w14:textId="0001DFFA" w:rsidR="00E06D85" w:rsidRDefault="00E06D85" w:rsidP="00E06D85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Discussion of alternative ways to social upgrade costs</w:t>
      </w:r>
      <w:r w:rsidR="00656665">
        <w:rPr>
          <w:rFonts w:cs="Arial"/>
          <w:szCs w:val="24"/>
        </w:rPr>
        <w:t>, such as collecting a fee from all new applicants</w:t>
      </w:r>
    </w:p>
    <w:p w14:paraId="62FA1EE8" w14:textId="1CB12E80" w:rsidR="00656665" w:rsidRDefault="00E8255A" w:rsidP="00656665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Assuming a</w:t>
      </w:r>
      <w:r w:rsidR="00013AF6">
        <w:rPr>
          <w:rFonts w:cs="Arial"/>
          <w:szCs w:val="24"/>
        </w:rPr>
        <w:t>n average upgrade cost of $2,500 and 4% of projects requiring upgrades, the additional per applicant cost would be about $100</w:t>
      </w:r>
    </w:p>
    <w:p w14:paraId="545199EC" w14:textId="6E7A9466" w:rsidR="00013AF6" w:rsidRDefault="00013AF6" w:rsidP="00656665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Developers on the call would not have an issue with that amount of added cost</w:t>
      </w:r>
    </w:p>
    <w:p w14:paraId="6F9C1246" w14:textId="10086F46" w:rsidR="00746776" w:rsidRDefault="00746776" w:rsidP="00656665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There could be some incremental cost savings for the EDCs if process became more efficient</w:t>
      </w:r>
    </w:p>
    <w:p w14:paraId="2EA189FA" w14:textId="57E0880F" w:rsidR="00746776" w:rsidRDefault="00746776" w:rsidP="00656665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Question remains on how excess costs could be covered, although annual tracking of upgrade costs could help with setting appropriate fees</w:t>
      </w:r>
    </w:p>
    <w:p w14:paraId="7C9E555F" w14:textId="5BD07F90" w:rsidR="00013AF6" w:rsidRDefault="00782A51" w:rsidP="00782A51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PURA has requested tariff program administrators to track upgrade costs</w:t>
      </w:r>
    </w:p>
    <w:p w14:paraId="68BAA887" w14:textId="6CC6A0F6" w:rsidR="00746776" w:rsidRDefault="00746776" w:rsidP="00782A51">
      <w:pPr>
        <w:pStyle w:val="ListParagraph"/>
        <w:numPr>
          <w:ilvl w:val="0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Mike Farrell raised the issue of </w:t>
      </w:r>
      <w:r w:rsidR="00A506EF">
        <w:rPr>
          <w:rFonts w:cs="Arial"/>
          <w:szCs w:val="24"/>
        </w:rPr>
        <w:t xml:space="preserve">certain projects </w:t>
      </w:r>
      <w:r w:rsidR="002262A1">
        <w:rPr>
          <w:rFonts w:cs="Arial"/>
          <w:szCs w:val="24"/>
        </w:rPr>
        <w:t>struggling to get job number</w:t>
      </w:r>
      <w:r w:rsidR="004F10AE">
        <w:rPr>
          <w:rFonts w:cs="Arial"/>
          <w:szCs w:val="24"/>
        </w:rPr>
        <w:t>s and asked if they could be provided at the time the application is submitted.  Many towns require the developer to provide a job number in order to get a building permit.</w:t>
      </w:r>
    </w:p>
    <w:p w14:paraId="1B19F87A" w14:textId="4B755409" w:rsidR="004F10AE" w:rsidRDefault="004F10AE" w:rsidP="004F10AE">
      <w:pPr>
        <w:pStyle w:val="ListParagraph"/>
        <w:numPr>
          <w:ilvl w:val="1"/>
          <w:numId w:val="2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The EDCs will take this issue back to their internal teams to review.</w:t>
      </w:r>
    </w:p>
    <w:p w14:paraId="6F25C32B" w14:textId="680F2DFF" w:rsidR="00A437A7" w:rsidRDefault="00A437A7" w:rsidP="00A437A7">
      <w:pPr>
        <w:jc w:val="both"/>
        <w:rPr>
          <w:rFonts w:cs="Arial"/>
          <w:szCs w:val="24"/>
        </w:rPr>
      </w:pPr>
    </w:p>
    <w:p w14:paraId="29647AA3" w14:textId="5C5EE071" w:rsidR="00A437A7" w:rsidRDefault="00A437A7" w:rsidP="00A437A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Follow up item(s)</w:t>
      </w:r>
    </w:p>
    <w:p w14:paraId="3ED52A77" w14:textId="40994DFF" w:rsidR="00A437A7" w:rsidRPr="00A437A7" w:rsidRDefault="00A437A7" w:rsidP="00A437A7">
      <w:pPr>
        <w:pStyle w:val="ListParagraph"/>
        <w:numPr>
          <w:ilvl w:val="0"/>
          <w:numId w:val="2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Discuss whether there is potential for an application process where customer can install solar prior to interconnecting storage but eliminate need for second application, or create a streamlined application fo</w:t>
      </w:r>
      <w:bookmarkStart w:id="0" w:name="_GoBack"/>
      <w:bookmarkEnd w:id="0"/>
      <w:r>
        <w:rPr>
          <w:rFonts w:cs="Arial"/>
          <w:szCs w:val="24"/>
        </w:rPr>
        <w:t>r when storage would be added</w:t>
      </w:r>
    </w:p>
    <w:p w14:paraId="4AA673C2" w14:textId="6EB3B363" w:rsidR="00FD7B4B" w:rsidRDefault="00FD7B4B" w:rsidP="00126A02">
      <w:pPr>
        <w:jc w:val="both"/>
        <w:rPr>
          <w:rFonts w:cs="Arial"/>
          <w:b/>
          <w:szCs w:val="24"/>
        </w:rPr>
      </w:pPr>
    </w:p>
    <w:p w14:paraId="3EE3C0FD" w14:textId="581F3BA9" w:rsidR="00FF18CF" w:rsidRPr="008E151E" w:rsidRDefault="00FF18CF" w:rsidP="008E151E">
      <w:pPr>
        <w:jc w:val="both"/>
        <w:rPr>
          <w:rFonts w:cs="Arial"/>
          <w:szCs w:val="24"/>
        </w:rPr>
      </w:pPr>
    </w:p>
    <w:p w14:paraId="3DAC83D3" w14:textId="1E4A0321" w:rsidR="004E6C31" w:rsidRDefault="004E6C31" w:rsidP="00126A02">
      <w:pPr>
        <w:jc w:val="both"/>
        <w:rPr>
          <w:rFonts w:cs="Arial"/>
          <w:b/>
          <w:szCs w:val="24"/>
        </w:rPr>
      </w:pPr>
    </w:p>
    <w:p w14:paraId="3244BFFB" w14:textId="77777777" w:rsidR="00336B04" w:rsidRPr="00336B04" w:rsidRDefault="00336B04" w:rsidP="00336B04">
      <w:pPr>
        <w:pStyle w:val="ListParagraph"/>
        <w:jc w:val="both"/>
        <w:rPr>
          <w:rFonts w:cs="Arial"/>
          <w:szCs w:val="24"/>
          <w:u w:val="single"/>
        </w:rPr>
      </w:pPr>
    </w:p>
    <w:sectPr w:rsidR="00336B04" w:rsidRPr="00336B04" w:rsidSect="0067222B">
      <w:footerReference w:type="first" r:id="rId13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0739C" w14:textId="77777777" w:rsidR="00DE7308" w:rsidRDefault="00DE7308" w:rsidP="00327991">
      <w:r>
        <w:separator/>
      </w:r>
    </w:p>
  </w:endnote>
  <w:endnote w:type="continuationSeparator" w:id="0">
    <w:p w14:paraId="71A7FEEE" w14:textId="77777777" w:rsidR="00DE7308" w:rsidRDefault="00DE7308" w:rsidP="003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7418" w14:textId="77777777" w:rsidR="007A3192" w:rsidRPr="0067222B" w:rsidRDefault="007A3192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5EA571FE" w14:textId="77777777" w:rsidR="007A3192" w:rsidRPr="009200CE" w:rsidRDefault="007A3192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14:paraId="0C12FCBC" w14:textId="77777777" w:rsidR="007A3192" w:rsidRPr="0067222B" w:rsidRDefault="007A3192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5AAF" w14:textId="77777777" w:rsidR="00DE7308" w:rsidRDefault="00DE7308" w:rsidP="00327991">
      <w:r>
        <w:separator/>
      </w:r>
    </w:p>
  </w:footnote>
  <w:footnote w:type="continuationSeparator" w:id="0">
    <w:p w14:paraId="18F01157" w14:textId="77777777" w:rsidR="00DE7308" w:rsidRDefault="00DE7308" w:rsidP="0032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1F26176"/>
    <w:multiLevelType w:val="hybridMultilevel"/>
    <w:tmpl w:val="73ACF2F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36745A3"/>
    <w:multiLevelType w:val="hybridMultilevel"/>
    <w:tmpl w:val="51D4B3B6"/>
    <w:lvl w:ilvl="0" w:tplc="200824C8"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51C4076"/>
    <w:multiLevelType w:val="multilevel"/>
    <w:tmpl w:val="66B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CA0C44"/>
    <w:multiLevelType w:val="hybridMultilevel"/>
    <w:tmpl w:val="82E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3DFF"/>
    <w:multiLevelType w:val="hybridMultilevel"/>
    <w:tmpl w:val="4C14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96C1C"/>
    <w:multiLevelType w:val="hybridMultilevel"/>
    <w:tmpl w:val="8868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27938"/>
    <w:multiLevelType w:val="hybridMultilevel"/>
    <w:tmpl w:val="7C5A0CCE"/>
    <w:lvl w:ilvl="0" w:tplc="281C33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E3116"/>
    <w:multiLevelType w:val="hybridMultilevel"/>
    <w:tmpl w:val="4AC8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E4430"/>
    <w:multiLevelType w:val="multilevel"/>
    <w:tmpl w:val="44C46ECA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99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505E5E8D"/>
    <w:multiLevelType w:val="hybridMultilevel"/>
    <w:tmpl w:val="1B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35681"/>
    <w:multiLevelType w:val="hybridMultilevel"/>
    <w:tmpl w:val="D318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A6503"/>
    <w:multiLevelType w:val="hybridMultilevel"/>
    <w:tmpl w:val="D3E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5387C"/>
    <w:multiLevelType w:val="hybridMultilevel"/>
    <w:tmpl w:val="422046FC"/>
    <w:lvl w:ilvl="0" w:tplc="281C33F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8C70ED7"/>
    <w:multiLevelType w:val="multilevel"/>
    <w:tmpl w:val="103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CD5F15"/>
    <w:multiLevelType w:val="multilevel"/>
    <w:tmpl w:val="E1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607431"/>
    <w:multiLevelType w:val="hybridMultilevel"/>
    <w:tmpl w:val="884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E93"/>
    <w:multiLevelType w:val="hybridMultilevel"/>
    <w:tmpl w:val="F83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41CFD"/>
    <w:multiLevelType w:val="hybridMultilevel"/>
    <w:tmpl w:val="ECD06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6848"/>
    <w:multiLevelType w:val="hybridMultilevel"/>
    <w:tmpl w:val="9BF8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22645"/>
    <w:multiLevelType w:val="hybridMultilevel"/>
    <w:tmpl w:val="C8D2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11CAB"/>
    <w:multiLevelType w:val="hybridMultilevel"/>
    <w:tmpl w:val="2A3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9"/>
  </w:num>
  <w:num w:numId="4">
    <w:abstractNumId w:val="8"/>
  </w:num>
  <w:num w:numId="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>
    <w:abstractNumId w:val="9"/>
  </w:num>
  <w:num w:numId="7">
    <w:abstractNumId w:val="21"/>
  </w:num>
  <w:num w:numId="8">
    <w:abstractNumId w:val="5"/>
  </w:num>
  <w:num w:numId="9">
    <w:abstractNumId w:val="13"/>
  </w:num>
  <w:num w:numId="10">
    <w:abstractNumId w:val="12"/>
  </w:num>
  <w:num w:numId="11">
    <w:abstractNumId w:val="20"/>
  </w:num>
  <w:num w:numId="12">
    <w:abstractNumId w:val="18"/>
  </w:num>
  <w:num w:numId="13">
    <w:abstractNumId w:val="2"/>
  </w:num>
  <w:num w:numId="14">
    <w:abstractNumId w:val="16"/>
  </w:num>
  <w:num w:numId="15">
    <w:abstractNumId w:val="15"/>
  </w:num>
  <w:num w:numId="16">
    <w:abstractNumId w:val="3"/>
  </w:num>
  <w:num w:numId="17">
    <w:abstractNumId w:val="17"/>
  </w:num>
  <w:num w:numId="18">
    <w:abstractNumId w:val="11"/>
  </w:num>
  <w:num w:numId="19">
    <w:abstractNumId w:val="1"/>
  </w:num>
  <w:num w:numId="20">
    <w:abstractNumId w:val="14"/>
  </w:num>
  <w:num w:numId="21">
    <w:abstractNumId w:val="7"/>
  </w:num>
  <w:num w:numId="22">
    <w:abstractNumId w:val="6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2"/>
    <w:rsid w:val="00004F7C"/>
    <w:rsid w:val="00011B6C"/>
    <w:rsid w:val="00013AF6"/>
    <w:rsid w:val="00016489"/>
    <w:rsid w:val="00030F6A"/>
    <w:rsid w:val="0004217E"/>
    <w:rsid w:val="000756BF"/>
    <w:rsid w:val="000773DA"/>
    <w:rsid w:val="000801B8"/>
    <w:rsid w:val="00081B26"/>
    <w:rsid w:val="00083166"/>
    <w:rsid w:val="00084364"/>
    <w:rsid w:val="00093D63"/>
    <w:rsid w:val="000A613A"/>
    <w:rsid w:val="000A77D2"/>
    <w:rsid w:val="000B5E67"/>
    <w:rsid w:val="000D58E6"/>
    <w:rsid w:val="000E54CF"/>
    <w:rsid w:val="00100ADE"/>
    <w:rsid w:val="0010296C"/>
    <w:rsid w:val="00103775"/>
    <w:rsid w:val="0011108E"/>
    <w:rsid w:val="001140C0"/>
    <w:rsid w:val="00116DE4"/>
    <w:rsid w:val="00124B5C"/>
    <w:rsid w:val="00126A02"/>
    <w:rsid w:val="00132E6C"/>
    <w:rsid w:val="00134972"/>
    <w:rsid w:val="00141745"/>
    <w:rsid w:val="00151031"/>
    <w:rsid w:val="00152A4A"/>
    <w:rsid w:val="00156E59"/>
    <w:rsid w:val="00165354"/>
    <w:rsid w:val="00166334"/>
    <w:rsid w:val="0016637C"/>
    <w:rsid w:val="0018405E"/>
    <w:rsid w:val="001840EA"/>
    <w:rsid w:val="001A1782"/>
    <w:rsid w:val="001A2A63"/>
    <w:rsid w:val="001A534F"/>
    <w:rsid w:val="001A5AB8"/>
    <w:rsid w:val="001B6D95"/>
    <w:rsid w:val="001B7D77"/>
    <w:rsid w:val="001C6AA1"/>
    <w:rsid w:val="001E12AB"/>
    <w:rsid w:val="001E7BF2"/>
    <w:rsid w:val="001F2792"/>
    <w:rsid w:val="00201472"/>
    <w:rsid w:val="002262A1"/>
    <w:rsid w:val="00255DC5"/>
    <w:rsid w:val="00280AC2"/>
    <w:rsid w:val="00282546"/>
    <w:rsid w:val="0028491F"/>
    <w:rsid w:val="002A0AB9"/>
    <w:rsid w:val="002A5ED9"/>
    <w:rsid w:val="002A6F77"/>
    <w:rsid w:val="002A7193"/>
    <w:rsid w:val="002B25E0"/>
    <w:rsid w:val="002B5E27"/>
    <w:rsid w:val="002B6CAE"/>
    <w:rsid w:val="002C267A"/>
    <w:rsid w:val="002C5FFD"/>
    <w:rsid w:val="002D1E9B"/>
    <w:rsid w:val="002D2E71"/>
    <w:rsid w:val="002E1D3C"/>
    <w:rsid w:val="002F6A85"/>
    <w:rsid w:val="00325A95"/>
    <w:rsid w:val="00327991"/>
    <w:rsid w:val="00331438"/>
    <w:rsid w:val="00335923"/>
    <w:rsid w:val="00336B04"/>
    <w:rsid w:val="00337AEA"/>
    <w:rsid w:val="0034500B"/>
    <w:rsid w:val="00346B97"/>
    <w:rsid w:val="003506F4"/>
    <w:rsid w:val="00351CE5"/>
    <w:rsid w:val="00353B8D"/>
    <w:rsid w:val="00354FA1"/>
    <w:rsid w:val="00354FF0"/>
    <w:rsid w:val="003561F1"/>
    <w:rsid w:val="00356939"/>
    <w:rsid w:val="00365121"/>
    <w:rsid w:val="00376609"/>
    <w:rsid w:val="00383349"/>
    <w:rsid w:val="00383F95"/>
    <w:rsid w:val="00384372"/>
    <w:rsid w:val="00397B63"/>
    <w:rsid w:val="003A094D"/>
    <w:rsid w:val="003A18CB"/>
    <w:rsid w:val="003A7383"/>
    <w:rsid w:val="003B0613"/>
    <w:rsid w:val="003B425F"/>
    <w:rsid w:val="003C2E7E"/>
    <w:rsid w:val="003D0D0E"/>
    <w:rsid w:val="003D325D"/>
    <w:rsid w:val="00426E4D"/>
    <w:rsid w:val="00434A1B"/>
    <w:rsid w:val="0043679C"/>
    <w:rsid w:val="004408CB"/>
    <w:rsid w:val="00440FF7"/>
    <w:rsid w:val="00467E6A"/>
    <w:rsid w:val="004A1200"/>
    <w:rsid w:val="004B5283"/>
    <w:rsid w:val="004C0DF5"/>
    <w:rsid w:val="004C34DA"/>
    <w:rsid w:val="004C4771"/>
    <w:rsid w:val="004D1AFF"/>
    <w:rsid w:val="004E15E0"/>
    <w:rsid w:val="004E35C6"/>
    <w:rsid w:val="004E67C1"/>
    <w:rsid w:val="004E6C31"/>
    <w:rsid w:val="004E75FF"/>
    <w:rsid w:val="004F10AE"/>
    <w:rsid w:val="004F4298"/>
    <w:rsid w:val="004F6183"/>
    <w:rsid w:val="005046D3"/>
    <w:rsid w:val="00506BA3"/>
    <w:rsid w:val="00540C90"/>
    <w:rsid w:val="00552D3F"/>
    <w:rsid w:val="0055444A"/>
    <w:rsid w:val="0056049A"/>
    <w:rsid w:val="005637FB"/>
    <w:rsid w:val="005653A2"/>
    <w:rsid w:val="00576A79"/>
    <w:rsid w:val="00577D4C"/>
    <w:rsid w:val="0058123A"/>
    <w:rsid w:val="00593B8B"/>
    <w:rsid w:val="005A29A0"/>
    <w:rsid w:val="005A2DDB"/>
    <w:rsid w:val="005A7669"/>
    <w:rsid w:val="005B7A46"/>
    <w:rsid w:val="005C670B"/>
    <w:rsid w:val="005D76C6"/>
    <w:rsid w:val="005E29EF"/>
    <w:rsid w:val="005E599B"/>
    <w:rsid w:val="005F0251"/>
    <w:rsid w:val="005F2F6F"/>
    <w:rsid w:val="005F3C90"/>
    <w:rsid w:val="005F7A09"/>
    <w:rsid w:val="00605397"/>
    <w:rsid w:val="006274EC"/>
    <w:rsid w:val="00631E03"/>
    <w:rsid w:val="00643D71"/>
    <w:rsid w:val="00644830"/>
    <w:rsid w:val="006456CE"/>
    <w:rsid w:val="0065074E"/>
    <w:rsid w:val="00656665"/>
    <w:rsid w:val="00664F63"/>
    <w:rsid w:val="00670A31"/>
    <w:rsid w:val="00671846"/>
    <w:rsid w:val="0067222B"/>
    <w:rsid w:val="00676F0E"/>
    <w:rsid w:val="00677719"/>
    <w:rsid w:val="00680B7C"/>
    <w:rsid w:val="00681341"/>
    <w:rsid w:val="00681487"/>
    <w:rsid w:val="006817FF"/>
    <w:rsid w:val="00687235"/>
    <w:rsid w:val="00691508"/>
    <w:rsid w:val="0069356B"/>
    <w:rsid w:val="00695AFC"/>
    <w:rsid w:val="006A1AEB"/>
    <w:rsid w:val="006A1E14"/>
    <w:rsid w:val="006A28F0"/>
    <w:rsid w:val="006A5563"/>
    <w:rsid w:val="006A798C"/>
    <w:rsid w:val="006B67EE"/>
    <w:rsid w:val="006C34B6"/>
    <w:rsid w:val="006C5B2F"/>
    <w:rsid w:val="006C7FDA"/>
    <w:rsid w:val="006E2647"/>
    <w:rsid w:val="006E2CF3"/>
    <w:rsid w:val="006F1E1D"/>
    <w:rsid w:val="006F5C1D"/>
    <w:rsid w:val="007338BA"/>
    <w:rsid w:val="00737564"/>
    <w:rsid w:val="00737C20"/>
    <w:rsid w:val="00737EF8"/>
    <w:rsid w:val="007406B8"/>
    <w:rsid w:val="00746776"/>
    <w:rsid w:val="00754D1A"/>
    <w:rsid w:val="00770A31"/>
    <w:rsid w:val="00780B5A"/>
    <w:rsid w:val="007825DB"/>
    <w:rsid w:val="00782A51"/>
    <w:rsid w:val="0078501F"/>
    <w:rsid w:val="00796042"/>
    <w:rsid w:val="007A3192"/>
    <w:rsid w:val="007A4C07"/>
    <w:rsid w:val="007A63CC"/>
    <w:rsid w:val="007A6439"/>
    <w:rsid w:val="007B2F17"/>
    <w:rsid w:val="007C2627"/>
    <w:rsid w:val="007C5B8A"/>
    <w:rsid w:val="007C7898"/>
    <w:rsid w:val="007C7AA7"/>
    <w:rsid w:val="007D30C9"/>
    <w:rsid w:val="007D51DD"/>
    <w:rsid w:val="007E0A18"/>
    <w:rsid w:val="007E221A"/>
    <w:rsid w:val="007E36E2"/>
    <w:rsid w:val="00803E2C"/>
    <w:rsid w:val="00807ED6"/>
    <w:rsid w:val="00810E21"/>
    <w:rsid w:val="0081277D"/>
    <w:rsid w:val="0082310B"/>
    <w:rsid w:val="008248D3"/>
    <w:rsid w:val="00834BCC"/>
    <w:rsid w:val="0084017E"/>
    <w:rsid w:val="008417F4"/>
    <w:rsid w:val="008620BA"/>
    <w:rsid w:val="00867BC1"/>
    <w:rsid w:val="00875237"/>
    <w:rsid w:val="00882F45"/>
    <w:rsid w:val="00886E8F"/>
    <w:rsid w:val="00895934"/>
    <w:rsid w:val="008A3873"/>
    <w:rsid w:val="008A402F"/>
    <w:rsid w:val="008B204E"/>
    <w:rsid w:val="008B38F9"/>
    <w:rsid w:val="008C7F73"/>
    <w:rsid w:val="008D1641"/>
    <w:rsid w:val="008D7E56"/>
    <w:rsid w:val="008E151E"/>
    <w:rsid w:val="00900BC8"/>
    <w:rsid w:val="00913981"/>
    <w:rsid w:val="00913C44"/>
    <w:rsid w:val="009200CE"/>
    <w:rsid w:val="009232E1"/>
    <w:rsid w:val="0092597C"/>
    <w:rsid w:val="00927F0C"/>
    <w:rsid w:val="00936856"/>
    <w:rsid w:val="00941C1F"/>
    <w:rsid w:val="00951FE4"/>
    <w:rsid w:val="00953080"/>
    <w:rsid w:val="009546C2"/>
    <w:rsid w:val="00975AC5"/>
    <w:rsid w:val="00982FCB"/>
    <w:rsid w:val="00983C3E"/>
    <w:rsid w:val="00990E84"/>
    <w:rsid w:val="009971A8"/>
    <w:rsid w:val="009A6920"/>
    <w:rsid w:val="009B64F1"/>
    <w:rsid w:val="009D4730"/>
    <w:rsid w:val="009E06D8"/>
    <w:rsid w:val="009E3479"/>
    <w:rsid w:val="00A07C1A"/>
    <w:rsid w:val="00A14AB3"/>
    <w:rsid w:val="00A1797B"/>
    <w:rsid w:val="00A24230"/>
    <w:rsid w:val="00A417E6"/>
    <w:rsid w:val="00A4266A"/>
    <w:rsid w:val="00A437A7"/>
    <w:rsid w:val="00A506EF"/>
    <w:rsid w:val="00A7057F"/>
    <w:rsid w:val="00A70EAE"/>
    <w:rsid w:val="00A82579"/>
    <w:rsid w:val="00A86777"/>
    <w:rsid w:val="00AD3F46"/>
    <w:rsid w:val="00AD51B3"/>
    <w:rsid w:val="00AE7C0B"/>
    <w:rsid w:val="00AF26CB"/>
    <w:rsid w:val="00B00091"/>
    <w:rsid w:val="00B05EFD"/>
    <w:rsid w:val="00B0702E"/>
    <w:rsid w:val="00B13BBB"/>
    <w:rsid w:val="00B26312"/>
    <w:rsid w:val="00B305D4"/>
    <w:rsid w:val="00B40579"/>
    <w:rsid w:val="00B4124C"/>
    <w:rsid w:val="00B426F2"/>
    <w:rsid w:val="00B535DD"/>
    <w:rsid w:val="00B53F4A"/>
    <w:rsid w:val="00B72787"/>
    <w:rsid w:val="00B9109F"/>
    <w:rsid w:val="00BA1D64"/>
    <w:rsid w:val="00BA27DD"/>
    <w:rsid w:val="00BA74F2"/>
    <w:rsid w:val="00BB2CC7"/>
    <w:rsid w:val="00BC6E56"/>
    <w:rsid w:val="00BC7227"/>
    <w:rsid w:val="00BC79CE"/>
    <w:rsid w:val="00BD158A"/>
    <w:rsid w:val="00BD4DEB"/>
    <w:rsid w:val="00BE1A70"/>
    <w:rsid w:val="00BE2076"/>
    <w:rsid w:val="00BF0AAC"/>
    <w:rsid w:val="00C136DC"/>
    <w:rsid w:val="00C300B5"/>
    <w:rsid w:val="00C373A2"/>
    <w:rsid w:val="00C4198A"/>
    <w:rsid w:val="00C442C2"/>
    <w:rsid w:val="00C53C24"/>
    <w:rsid w:val="00C5773E"/>
    <w:rsid w:val="00C60889"/>
    <w:rsid w:val="00C7111C"/>
    <w:rsid w:val="00C73CE7"/>
    <w:rsid w:val="00C73E26"/>
    <w:rsid w:val="00C7727B"/>
    <w:rsid w:val="00C83075"/>
    <w:rsid w:val="00CA1F38"/>
    <w:rsid w:val="00CA22C5"/>
    <w:rsid w:val="00CA3986"/>
    <w:rsid w:val="00CD3700"/>
    <w:rsid w:val="00CD5159"/>
    <w:rsid w:val="00CF1F3F"/>
    <w:rsid w:val="00CF667B"/>
    <w:rsid w:val="00D006F6"/>
    <w:rsid w:val="00D21D01"/>
    <w:rsid w:val="00D27733"/>
    <w:rsid w:val="00D3222C"/>
    <w:rsid w:val="00D4046E"/>
    <w:rsid w:val="00D460F6"/>
    <w:rsid w:val="00D64765"/>
    <w:rsid w:val="00D85A3A"/>
    <w:rsid w:val="00D85E39"/>
    <w:rsid w:val="00D86EA9"/>
    <w:rsid w:val="00D969F3"/>
    <w:rsid w:val="00DA2309"/>
    <w:rsid w:val="00DB448B"/>
    <w:rsid w:val="00DC68AF"/>
    <w:rsid w:val="00DC6D40"/>
    <w:rsid w:val="00DD1059"/>
    <w:rsid w:val="00DD735D"/>
    <w:rsid w:val="00DE0E38"/>
    <w:rsid w:val="00DE7308"/>
    <w:rsid w:val="00DF5F8D"/>
    <w:rsid w:val="00DF7EF5"/>
    <w:rsid w:val="00E048E2"/>
    <w:rsid w:val="00E04E83"/>
    <w:rsid w:val="00E05B48"/>
    <w:rsid w:val="00E06D85"/>
    <w:rsid w:val="00E2447C"/>
    <w:rsid w:val="00E306C8"/>
    <w:rsid w:val="00E553DF"/>
    <w:rsid w:val="00E6086B"/>
    <w:rsid w:val="00E70117"/>
    <w:rsid w:val="00E8255A"/>
    <w:rsid w:val="00E873AE"/>
    <w:rsid w:val="00E91AA6"/>
    <w:rsid w:val="00E95DDC"/>
    <w:rsid w:val="00E970D1"/>
    <w:rsid w:val="00EA0ECC"/>
    <w:rsid w:val="00EA6F0E"/>
    <w:rsid w:val="00EC0D27"/>
    <w:rsid w:val="00EC0DF7"/>
    <w:rsid w:val="00EC103F"/>
    <w:rsid w:val="00EC295A"/>
    <w:rsid w:val="00EC7A55"/>
    <w:rsid w:val="00ED0239"/>
    <w:rsid w:val="00ED7FF2"/>
    <w:rsid w:val="00EF40C8"/>
    <w:rsid w:val="00EF79FB"/>
    <w:rsid w:val="00F06C93"/>
    <w:rsid w:val="00F10EFF"/>
    <w:rsid w:val="00F302A9"/>
    <w:rsid w:val="00F32FE2"/>
    <w:rsid w:val="00F45502"/>
    <w:rsid w:val="00F47293"/>
    <w:rsid w:val="00F72437"/>
    <w:rsid w:val="00F74194"/>
    <w:rsid w:val="00F93AE5"/>
    <w:rsid w:val="00F94511"/>
    <w:rsid w:val="00F960B5"/>
    <w:rsid w:val="00FB0E70"/>
    <w:rsid w:val="00FB1867"/>
    <w:rsid w:val="00FB6A85"/>
    <w:rsid w:val="00FB7E2D"/>
    <w:rsid w:val="00FC4404"/>
    <w:rsid w:val="00FC77A5"/>
    <w:rsid w:val="00FD7B4B"/>
    <w:rsid w:val="00FF18CF"/>
    <w:rsid w:val="01845703"/>
    <w:rsid w:val="1C49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5E9B5"/>
  <w15:docId w15:val="{5CBD79A3-63F9-47D3-88A7-E879085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C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6489"/>
    <w:pPr>
      <w:numPr>
        <w:numId w:val="1"/>
      </w:numPr>
      <w:tabs>
        <w:tab w:val="left" w:pos="720"/>
      </w:tabs>
      <w:jc w:val="both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016489"/>
    <w:pPr>
      <w:numPr>
        <w:ilvl w:val="1"/>
        <w:numId w:val="1"/>
      </w:numPr>
      <w:tabs>
        <w:tab w:val="left" w:pos="720"/>
      </w:tabs>
      <w:jc w:val="both"/>
      <w:outlineLvl w:val="1"/>
    </w:pPr>
    <w:rPr>
      <w:rFonts w:eastAsia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016489"/>
    <w:pPr>
      <w:numPr>
        <w:ilvl w:val="2"/>
        <w:numId w:val="1"/>
      </w:numPr>
      <w:tabs>
        <w:tab w:val="left" w:pos="720"/>
      </w:tabs>
      <w:jc w:val="both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6489"/>
    <w:pPr>
      <w:numPr>
        <w:ilvl w:val="3"/>
        <w:numId w:val="1"/>
      </w:numPr>
      <w:tabs>
        <w:tab w:val="left" w:pos="720"/>
      </w:tabs>
      <w:jc w:val="both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16489"/>
    <w:pPr>
      <w:numPr>
        <w:ilvl w:val="4"/>
        <w:numId w:val="1"/>
      </w:numPr>
      <w:tabs>
        <w:tab w:val="left" w:pos="720"/>
      </w:tabs>
      <w:jc w:val="both"/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4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6489"/>
    <w:rPr>
      <w:rFonts w:ascii="Arial" w:hAnsi="Arial"/>
    </w:rPr>
  </w:style>
  <w:style w:type="character" w:customStyle="1" w:styleId="Heading1Char">
    <w:name w:val="Heading 1 Char"/>
    <w:link w:val="Heading1"/>
    <w:rsid w:val="00016489"/>
    <w:rPr>
      <w:rFonts w:ascii="Arial" w:eastAsia="Times New Roman" w:hAnsi="Arial"/>
      <w:b/>
      <w:caps/>
      <w:sz w:val="24"/>
    </w:rPr>
  </w:style>
  <w:style w:type="character" w:customStyle="1" w:styleId="Heading2Char">
    <w:name w:val="Heading 2 Char"/>
    <w:link w:val="Heading2"/>
    <w:rsid w:val="00016489"/>
    <w:rPr>
      <w:rFonts w:ascii="Arial" w:eastAsia="Times New Roman" w:hAnsi="Arial"/>
      <w:b/>
      <w:smallCaps/>
      <w:sz w:val="24"/>
    </w:rPr>
  </w:style>
  <w:style w:type="character" w:customStyle="1" w:styleId="Heading3Char">
    <w:name w:val="Heading 3 Char"/>
    <w:link w:val="Heading3"/>
    <w:rsid w:val="00016489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rsid w:val="0001648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rsid w:val="00016489"/>
    <w:rPr>
      <w:rFonts w:ascii="Arial" w:eastAsia="Times New Roman" w:hAnsi="Arial"/>
      <w:b/>
      <w:sz w:val="24"/>
    </w:rPr>
  </w:style>
  <w:style w:type="character" w:styleId="FootnoteReference">
    <w:name w:val="footnote reference"/>
    <w:semiHidden/>
    <w:rsid w:val="00016489"/>
    <w:rPr>
      <w:rFonts w:ascii="Arial" w:hAnsi="Arial"/>
      <w:position w:val="6"/>
      <w:sz w:val="16"/>
    </w:rPr>
  </w:style>
  <w:style w:type="numbering" w:customStyle="1" w:styleId="Decision">
    <w:name w:val="Decision"/>
    <w:rsid w:val="0001648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79C"/>
    <w:rPr>
      <w:rFonts w:ascii="Arial" w:hAnsi="Arial"/>
      <w:sz w:val="24"/>
      <w:szCs w:val="22"/>
    </w:rPr>
  </w:style>
  <w:style w:type="paragraph" w:styleId="Title">
    <w:name w:val="Title"/>
    <w:basedOn w:val="Normal"/>
    <w:link w:val="TitleChar"/>
    <w:qFormat/>
    <w:rsid w:val="00152A4A"/>
    <w:pPr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152A4A"/>
    <w:rPr>
      <w:rFonts w:ascii="Arial" w:eastAsia="Times New Roman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126A02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126A02"/>
    <w:pPr>
      <w:widowControl w:val="0"/>
      <w:numPr>
        <w:numId w:val="5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B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798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6A798C"/>
  </w:style>
  <w:style w:type="character" w:customStyle="1" w:styleId="spellingerror">
    <w:name w:val="spellingerror"/>
    <w:basedOn w:val="DefaultParagraphFont"/>
    <w:rsid w:val="006A798C"/>
  </w:style>
  <w:style w:type="character" w:customStyle="1" w:styleId="eop">
    <w:name w:val="eop"/>
    <w:basedOn w:val="DefaultParagraphFont"/>
    <w:rsid w:val="006A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50D960BD17A4C84C378FF478A2E91" ma:contentTypeVersion="2" ma:contentTypeDescription="Create a new document." ma:contentTypeScope="" ma:versionID="d36cbb0918f989ee8cf01a3077da76ed">
  <xsd:schema xmlns:xsd="http://www.w3.org/2001/XMLSchema" xmlns:xs="http://www.w3.org/2001/XMLSchema" xmlns:p="http://schemas.microsoft.com/office/2006/metadata/properties" xmlns:ns3="01d178fc-aace-4d06-8b61-57daa5c7bca1" targetNamespace="http://schemas.microsoft.com/office/2006/metadata/properties" ma:root="true" ma:fieldsID="05de3dd1af2d854918bb29602b9c45a2" ns3:_="">
    <xsd:import namespace="01d178fc-aace-4d06-8b61-57daa5c7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78fc-aace-4d06-8b61-57daa5c7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8983-69C9-4D2D-834B-2CDE7B5E1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998F5-6D16-4740-A8B3-26C85245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78fc-aace-4d06-8b61-57daa5c7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B15E2-C1DC-472C-B62E-5473C2BAB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7E3F2-B321-4D37-B404-5EA4F5BF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Bergman</dc:creator>
  <cp:lastModifiedBy>Alexander, Zachary</cp:lastModifiedBy>
  <cp:revision>3</cp:revision>
  <cp:lastPrinted>2015-02-26T16:45:00Z</cp:lastPrinted>
  <dcterms:created xsi:type="dcterms:W3CDTF">2021-11-09T21:02:00Z</dcterms:created>
  <dcterms:modified xsi:type="dcterms:W3CDTF">2021-11-10T20:56:00Z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0x0101004A650D960BD17A4C84C378FF478A2E91</vt:lpwstr>
  </property>
</Properties>
</file>