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4B52B" w14:textId="77777777" w:rsidR="00152A4A" w:rsidRDefault="00DC68AF" w:rsidP="00152A4A">
      <w:pPr>
        <w:pStyle w:val="Title"/>
      </w:pPr>
      <w:r>
        <w:rPr>
          <w:noProof/>
        </w:rPr>
        <mc:AlternateContent>
          <mc:Choice Requires="wps">
            <w:drawing>
              <wp:anchor distT="0" distB="0" distL="114300" distR="114300" simplePos="0" relativeHeight="251657728" behindDoc="0" locked="0" layoutInCell="1" allowOverlap="1" wp14:anchorId="66633B4C" wp14:editId="07E6B9B7">
                <wp:simplePos x="0" y="0"/>
                <wp:positionH relativeFrom="column">
                  <wp:posOffset>-243840</wp:posOffset>
                </wp:positionH>
                <wp:positionV relativeFrom="paragraph">
                  <wp:posOffset>-696595</wp:posOffset>
                </wp:positionV>
                <wp:extent cx="5943600" cy="1236980"/>
                <wp:effectExtent l="0" t="0" r="0" b="381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36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DD365F" w14:textId="77777777" w:rsidR="007A3192" w:rsidRDefault="007A3192" w:rsidP="00152A4A">
                            <w:r>
                              <w:rPr>
                                <w:noProof/>
                              </w:rPr>
                              <w:drawing>
                                <wp:inline distT="0" distB="0" distL="0" distR="0" wp14:anchorId="4F9A05A9" wp14:editId="62D80F04">
                                  <wp:extent cx="6412865" cy="1139825"/>
                                  <wp:effectExtent l="0" t="0" r="698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12865" cy="11398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633B4C" id="_x0000_t202" coordsize="21600,21600" o:spt="202" path="m,l,21600r21600,l21600,xe">
                <v:stroke joinstyle="miter"/>
                <v:path gradientshapeok="t" o:connecttype="rect"/>
              </v:shapetype>
              <v:shape id="Text Box 6" o:spid="_x0000_s1026" type="#_x0000_t202" style="position:absolute;left:0;text-align:left;margin-left:-19.2pt;margin-top:-54.85pt;width:468pt;height:97.4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" stroked="f">
                <v:textbox style="mso-fit-shape-to-text:t">
                  <w:txbxContent>
                    <w:p w14:paraId="63DD365F" w14:textId="77777777" w:rsidR="007A3192" w:rsidRDefault="007A3192" w:rsidP="00152A4A">
                      <w:r>
                        <w:rPr>
                          <w:noProof/>
                        </w:rPr>
                        <w:drawing>
                          <wp:inline distT="0" distB="0" distL="0" distR="0" wp14:anchorId="4F9A05A9" wp14:editId="62D80F04">
                            <wp:extent cx="6412865" cy="1139825"/>
                            <wp:effectExtent l="0" t="0" r="698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12865" cy="1139825"/>
                                    </a:xfrm>
                                    <a:prstGeom prst="rect">
                                      <a:avLst/>
                                    </a:prstGeom>
                                    <a:noFill/>
                                    <a:ln>
                                      <a:noFill/>
                                    </a:ln>
                                  </pic:spPr>
                                </pic:pic>
                              </a:graphicData>
                            </a:graphic>
                          </wp:inline>
                        </w:drawing>
                      </w:r>
                    </w:p>
                  </w:txbxContent>
                </v:textbox>
              </v:shape>
            </w:pict>
          </mc:Fallback>
        </mc:AlternateContent>
      </w:r>
    </w:p>
    <w:p w14:paraId="2B771A8C" w14:textId="77777777" w:rsidR="007C5B8A" w:rsidRDefault="007C5B8A" w:rsidP="007C5B8A">
      <w:pPr>
        <w:jc w:val="center"/>
        <w:rPr>
          <w:szCs w:val="24"/>
        </w:rPr>
      </w:pPr>
    </w:p>
    <w:p w14:paraId="1342444E" w14:textId="77777777" w:rsidR="00B426F2" w:rsidRPr="002B7ECD" w:rsidRDefault="00B426F2" w:rsidP="007C5B8A">
      <w:pPr>
        <w:jc w:val="center"/>
        <w:rPr>
          <w:szCs w:val="24"/>
        </w:rPr>
      </w:pPr>
    </w:p>
    <w:p w14:paraId="704316D6" w14:textId="7999B1C9" w:rsidR="00B426F2" w:rsidRPr="00B426F2" w:rsidRDefault="00B426F2" w:rsidP="00B426F2">
      <w:pPr>
        <w:jc w:val="center"/>
        <w:rPr>
          <w:szCs w:val="24"/>
        </w:rPr>
      </w:pPr>
      <w:r w:rsidRPr="00B426F2">
        <w:rPr>
          <w:szCs w:val="24"/>
        </w:rPr>
        <w:t xml:space="preserve">CONNECTICUT DISTRIBUTED GENERATION </w:t>
      </w:r>
      <w:r w:rsidR="00B0702E">
        <w:rPr>
          <w:szCs w:val="24"/>
        </w:rPr>
        <w:t>POLICY</w:t>
      </w:r>
      <w:r w:rsidRPr="00B426F2">
        <w:rPr>
          <w:szCs w:val="24"/>
        </w:rPr>
        <w:t xml:space="preserve"> WORKING GROUP</w:t>
      </w:r>
    </w:p>
    <w:p w14:paraId="58CFF9EA" w14:textId="77777777" w:rsidR="00B426F2" w:rsidRDefault="00B426F2" w:rsidP="007C5B8A">
      <w:pPr>
        <w:jc w:val="center"/>
        <w:rPr>
          <w:szCs w:val="24"/>
          <w:u w:val="single"/>
        </w:rPr>
      </w:pPr>
    </w:p>
    <w:p w14:paraId="3DB36EAF" w14:textId="4D84D0DC" w:rsidR="007C5B8A" w:rsidRPr="002B7ECD" w:rsidRDefault="00B0702E" w:rsidP="007C5B8A">
      <w:pPr>
        <w:jc w:val="center"/>
        <w:rPr>
          <w:szCs w:val="24"/>
          <w:u w:val="single"/>
        </w:rPr>
      </w:pPr>
      <w:r>
        <w:rPr>
          <w:szCs w:val="24"/>
          <w:u w:val="single"/>
        </w:rPr>
        <w:t>MEETING MINUTES</w:t>
      </w:r>
    </w:p>
    <w:p w14:paraId="27A9FFE6" w14:textId="7D2FF80D" w:rsidR="007C5B8A" w:rsidRPr="002B7ECD" w:rsidRDefault="00B40579" w:rsidP="007C5B8A">
      <w:pPr>
        <w:jc w:val="center"/>
        <w:rPr>
          <w:szCs w:val="24"/>
        </w:rPr>
      </w:pPr>
      <w:r>
        <w:rPr>
          <w:szCs w:val="24"/>
        </w:rPr>
        <w:t>Tuesday</w:t>
      </w:r>
      <w:r w:rsidR="00B426F2">
        <w:rPr>
          <w:szCs w:val="24"/>
        </w:rPr>
        <w:t xml:space="preserve">, </w:t>
      </w:r>
      <w:r w:rsidR="00B07AE3">
        <w:rPr>
          <w:szCs w:val="24"/>
        </w:rPr>
        <w:t>November 30</w:t>
      </w:r>
      <w:r w:rsidR="00B426F2" w:rsidRPr="00B426F2">
        <w:rPr>
          <w:szCs w:val="24"/>
        </w:rPr>
        <w:t>, 2021</w:t>
      </w:r>
    </w:p>
    <w:p w14:paraId="3FCAE99B" w14:textId="687BCEA0" w:rsidR="00126A02" w:rsidRPr="00B426F2" w:rsidRDefault="00126A02" w:rsidP="00E553DF">
      <w:pPr>
        <w:jc w:val="center"/>
        <w:rPr>
          <w:rFonts w:cs="Arial"/>
          <w:szCs w:val="24"/>
        </w:rPr>
      </w:pPr>
      <w:r w:rsidRPr="00B426F2">
        <w:rPr>
          <w:rFonts w:cs="Arial"/>
          <w:szCs w:val="24"/>
        </w:rPr>
        <w:t xml:space="preserve">9:00 AM – </w:t>
      </w:r>
      <w:r w:rsidR="00255DC5">
        <w:rPr>
          <w:rFonts w:cs="Arial"/>
          <w:szCs w:val="24"/>
        </w:rPr>
        <w:t>10:3</w:t>
      </w:r>
      <w:r w:rsidR="00644830">
        <w:rPr>
          <w:rFonts w:cs="Arial"/>
          <w:szCs w:val="24"/>
        </w:rPr>
        <w:t>0</w:t>
      </w:r>
      <w:r w:rsidRPr="00B426F2">
        <w:rPr>
          <w:rFonts w:cs="Arial"/>
          <w:szCs w:val="24"/>
        </w:rPr>
        <w:t xml:space="preserve"> </w:t>
      </w:r>
      <w:r w:rsidR="00282546">
        <w:rPr>
          <w:rFonts w:cs="Arial"/>
          <w:szCs w:val="24"/>
        </w:rPr>
        <w:t>A</w:t>
      </w:r>
      <w:r w:rsidRPr="00B426F2">
        <w:rPr>
          <w:rFonts w:cs="Arial"/>
          <w:szCs w:val="24"/>
        </w:rPr>
        <w:t>M</w:t>
      </w:r>
    </w:p>
    <w:p w14:paraId="12263EBE" w14:textId="77777777" w:rsidR="003B425F" w:rsidRPr="00BF0AAC" w:rsidRDefault="003B425F" w:rsidP="00E553DF">
      <w:pPr>
        <w:pStyle w:val="ListParagraph"/>
        <w:ind w:left="1080"/>
        <w:jc w:val="center"/>
        <w:rPr>
          <w:rFonts w:cs="Arial"/>
          <w:i/>
          <w:szCs w:val="24"/>
        </w:rPr>
      </w:pPr>
    </w:p>
    <w:p w14:paraId="7FDAC00D" w14:textId="10CC5DE9" w:rsidR="00B426F2" w:rsidRDefault="00B426F2" w:rsidP="00126A02">
      <w:pPr>
        <w:jc w:val="both"/>
        <w:rPr>
          <w:rFonts w:cs="Arial"/>
          <w:szCs w:val="24"/>
        </w:rPr>
      </w:pPr>
    </w:p>
    <w:p w14:paraId="0281FFB7" w14:textId="6ADB6071" w:rsidR="00A86777" w:rsidRDefault="00126A02" w:rsidP="00126A02">
      <w:pPr>
        <w:jc w:val="both"/>
        <w:rPr>
          <w:rFonts w:cs="Arial"/>
          <w:b/>
          <w:szCs w:val="24"/>
        </w:rPr>
      </w:pPr>
      <w:r w:rsidRPr="00B426F2">
        <w:rPr>
          <w:rFonts w:cs="Arial"/>
          <w:b/>
          <w:szCs w:val="24"/>
        </w:rPr>
        <w:t>9:00 AM – 9:</w:t>
      </w:r>
      <w:r w:rsidR="005F0251">
        <w:rPr>
          <w:rFonts w:cs="Arial"/>
          <w:b/>
          <w:szCs w:val="24"/>
        </w:rPr>
        <w:t>0</w:t>
      </w:r>
      <w:r w:rsidRPr="00B426F2">
        <w:rPr>
          <w:rFonts w:cs="Arial"/>
          <w:b/>
          <w:szCs w:val="24"/>
        </w:rPr>
        <w:t>5 AM</w:t>
      </w:r>
      <w:r w:rsidRPr="00B426F2">
        <w:rPr>
          <w:rFonts w:cs="Arial"/>
          <w:b/>
          <w:szCs w:val="24"/>
        </w:rPr>
        <w:tab/>
      </w:r>
      <w:r w:rsidRPr="00B426F2">
        <w:rPr>
          <w:rFonts w:cs="Arial"/>
          <w:b/>
          <w:szCs w:val="24"/>
        </w:rPr>
        <w:tab/>
        <w:t>Introduction</w:t>
      </w:r>
      <w:r w:rsidR="005F0251">
        <w:rPr>
          <w:rFonts w:cs="Arial"/>
          <w:b/>
          <w:szCs w:val="24"/>
        </w:rPr>
        <w:t xml:space="preserve"> and Adoption of Meeting Minutes</w:t>
      </w:r>
    </w:p>
    <w:p w14:paraId="4BF689CE" w14:textId="77777777" w:rsidR="00BF0AAC" w:rsidRDefault="00BF0AAC" w:rsidP="00126A02">
      <w:pPr>
        <w:jc w:val="both"/>
        <w:rPr>
          <w:rFonts w:cs="Arial"/>
          <w:b/>
          <w:szCs w:val="24"/>
        </w:rPr>
      </w:pPr>
    </w:p>
    <w:p w14:paraId="43C2E216" w14:textId="7AB20913" w:rsidR="00081B26" w:rsidRDefault="008C5307" w:rsidP="00081B26">
      <w:pPr>
        <w:ind w:left="2880" w:hanging="2880"/>
        <w:jc w:val="both"/>
        <w:rPr>
          <w:rFonts w:cs="Arial"/>
          <w:b/>
          <w:szCs w:val="24"/>
        </w:rPr>
      </w:pPr>
      <w:r>
        <w:rPr>
          <w:rFonts w:cs="Arial"/>
          <w:b/>
          <w:szCs w:val="24"/>
        </w:rPr>
        <w:t>Transmission Impact Studies</w:t>
      </w:r>
    </w:p>
    <w:p w14:paraId="3ED52A77" w14:textId="2457959A" w:rsidR="00A437A7" w:rsidRDefault="00C96DC0" w:rsidP="00A437A7">
      <w:pPr>
        <w:pStyle w:val="ListParagraph"/>
        <w:numPr>
          <w:ilvl w:val="0"/>
          <w:numId w:val="24"/>
        </w:numPr>
        <w:jc w:val="both"/>
        <w:rPr>
          <w:rFonts w:cs="Arial"/>
          <w:szCs w:val="24"/>
        </w:rPr>
      </w:pPr>
      <w:r>
        <w:rPr>
          <w:rFonts w:cs="Arial"/>
          <w:szCs w:val="24"/>
        </w:rPr>
        <w:t xml:space="preserve">Brad M. began the meeting with </w:t>
      </w:r>
      <w:r w:rsidR="001B10ED">
        <w:rPr>
          <w:rFonts w:cs="Arial"/>
          <w:szCs w:val="24"/>
        </w:rPr>
        <w:t>a brief history of transmission impact studies</w:t>
      </w:r>
      <w:r w:rsidR="00FA59F1">
        <w:rPr>
          <w:rFonts w:cs="Arial"/>
          <w:szCs w:val="24"/>
        </w:rPr>
        <w:t xml:space="preserve"> in ISO-NE territory</w:t>
      </w:r>
    </w:p>
    <w:p w14:paraId="5B35E010" w14:textId="09707168" w:rsidR="00FA59F1" w:rsidRDefault="00FA59F1" w:rsidP="00FA59F1">
      <w:pPr>
        <w:pStyle w:val="ListParagraph"/>
        <w:numPr>
          <w:ilvl w:val="1"/>
          <w:numId w:val="24"/>
        </w:numPr>
        <w:jc w:val="both"/>
        <w:rPr>
          <w:rFonts w:cs="Arial"/>
          <w:szCs w:val="24"/>
        </w:rPr>
      </w:pPr>
      <w:r>
        <w:rPr>
          <w:rFonts w:cs="Arial"/>
          <w:szCs w:val="24"/>
        </w:rPr>
        <w:t>Early in deployment of DERs (around 2014) they were considered load reduction and were not a point of concern</w:t>
      </w:r>
    </w:p>
    <w:p w14:paraId="59E2581A" w14:textId="089B87FA" w:rsidR="00FA59F1" w:rsidRDefault="00FA59F1" w:rsidP="00FA59F1">
      <w:pPr>
        <w:pStyle w:val="ListParagraph"/>
        <w:numPr>
          <w:ilvl w:val="1"/>
          <w:numId w:val="24"/>
        </w:numPr>
        <w:jc w:val="both"/>
        <w:rPr>
          <w:rFonts w:cs="Arial"/>
          <w:szCs w:val="24"/>
        </w:rPr>
      </w:pPr>
      <w:r>
        <w:rPr>
          <w:rFonts w:cs="Arial"/>
          <w:szCs w:val="24"/>
        </w:rPr>
        <w:t>By 2018 there were 2.6GW of DERs on the system and 300MW of projects looking to connect to a small load center</w:t>
      </w:r>
    </w:p>
    <w:p w14:paraId="51BC4A0D" w14:textId="43FBBC7F" w:rsidR="00FA59F1" w:rsidRDefault="00FA59F1" w:rsidP="00FA59F1">
      <w:pPr>
        <w:pStyle w:val="ListParagraph"/>
        <w:numPr>
          <w:ilvl w:val="1"/>
          <w:numId w:val="24"/>
        </w:numPr>
        <w:jc w:val="both"/>
        <w:rPr>
          <w:rFonts w:cs="Arial"/>
          <w:szCs w:val="24"/>
        </w:rPr>
      </w:pPr>
      <w:r>
        <w:rPr>
          <w:rFonts w:cs="Arial"/>
          <w:szCs w:val="24"/>
        </w:rPr>
        <w:t>From the transmission perspective there are not many differences between a traditional generator and large number of DERs; although DERs can have deleterious impact on system voltage.</w:t>
      </w:r>
    </w:p>
    <w:p w14:paraId="2B7B224A" w14:textId="33D7B5CA" w:rsidR="00FA59F1" w:rsidRDefault="00FA59F1" w:rsidP="00FA59F1">
      <w:pPr>
        <w:pStyle w:val="ListParagraph"/>
        <w:numPr>
          <w:ilvl w:val="0"/>
          <w:numId w:val="24"/>
        </w:numPr>
        <w:jc w:val="both"/>
        <w:rPr>
          <w:rFonts w:cs="Arial"/>
          <w:szCs w:val="24"/>
        </w:rPr>
      </w:pPr>
      <w:r>
        <w:rPr>
          <w:rFonts w:cs="Arial"/>
          <w:szCs w:val="24"/>
        </w:rPr>
        <w:t>Other members raised questions about predicting where transmission studies will be needed, how ISO requirements impact the distribution system (addressed later in meeting); and best practices from other states.</w:t>
      </w:r>
    </w:p>
    <w:p w14:paraId="57D466FF" w14:textId="2FB8F979" w:rsidR="00FA59F1" w:rsidRDefault="00FA59F1" w:rsidP="00FA59F1">
      <w:pPr>
        <w:pStyle w:val="ListParagraph"/>
        <w:numPr>
          <w:ilvl w:val="1"/>
          <w:numId w:val="24"/>
        </w:numPr>
        <w:jc w:val="both"/>
        <w:rPr>
          <w:rFonts w:cs="Arial"/>
          <w:szCs w:val="24"/>
        </w:rPr>
      </w:pPr>
      <w:r>
        <w:rPr>
          <w:rFonts w:cs="Arial"/>
          <w:szCs w:val="24"/>
        </w:rPr>
        <w:t xml:space="preserve">Massachusetts and Rhode Island were playing catch-up but Connecticut is in a better position because </w:t>
      </w:r>
      <w:r w:rsidR="00055A8B">
        <w:rPr>
          <w:rFonts w:cs="Arial"/>
          <w:szCs w:val="24"/>
        </w:rPr>
        <w:t>most substations in CT are not at threshold for a level 3 impact study.</w:t>
      </w:r>
    </w:p>
    <w:p w14:paraId="5FFF8EDF" w14:textId="2DDEF32A" w:rsidR="00D84D14" w:rsidRPr="00D84D14" w:rsidRDefault="00D84D14" w:rsidP="00D84D14">
      <w:pPr>
        <w:ind w:left="360"/>
        <w:jc w:val="both"/>
        <w:rPr>
          <w:rFonts w:cs="Arial"/>
          <w:szCs w:val="24"/>
          <w:u w:val="single"/>
        </w:rPr>
      </w:pPr>
      <w:r>
        <w:rPr>
          <w:rFonts w:cs="Arial"/>
          <w:szCs w:val="24"/>
          <w:u w:val="single"/>
        </w:rPr>
        <w:t>Transmission impact study triggers</w:t>
      </w:r>
    </w:p>
    <w:p w14:paraId="66475692" w14:textId="1013BB27" w:rsidR="00055A8B" w:rsidRDefault="006B0B58" w:rsidP="00D84D14">
      <w:pPr>
        <w:pStyle w:val="ListParagraph"/>
        <w:numPr>
          <w:ilvl w:val="0"/>
          <w:numId w:val="25"/>
        </w:numPr>
        <w:jc w:val="both"/>
        <w:rPr>
          <w:rFonts w:cs="Arial"/>
          <w:szCs w:val="24"/>
        </w:rPr>
      </w:pPr>
      <w:r>
        <w:rPr>
          <w:rFonts w:cs="Arial"/>
          <w:szCs w:val="24"/>
        </w:rPr>
        <w:t xml:space="preserve">At the 5MW threshold, a </w:t>
      </w:r>
      <w:r w:rsidR="00F810F2">
        <w:rPr>
          <w:rFonts w:cs="Arial"/>
          <w:szCs w:val="24"/>
        </w:rPr>
        <w:t xml:space="preserve">transmission owner (TO) must provide a non-comprehensive analysis and </w:t>
      </w:r>
      <w:r w:rsidR="00D84D14">
        <w:rPr>
          <w:rFonts w:cs="Arial"/>
          <w:szCs w:val="24"/>
        </w:rPr>
        <w:t>a finding that the project will have no adverse impact on the transmission system</w:t>
      </w:r>
    </w:p>
    <w:p w14:paraId="1CDF1ACB" w14:textId="43BE95E1" w:rsidR="00D84D14" w:rsidRDefault="00D84D14" w:rsidP="007C7627">
      <w:pPr>
        <w:pStyle w:val="ListParagraph"/>
        <w:numPr>
          <w:ilvl w:val="0"/>
          <w:numId w:val="24"/>
        </w:numPr>
        <w:ind w:left="1080"/>
        <w:jc w:val="both"/>
        <w:rPr>
          <w:rFonts w:cs="Arial"/>
          <w:szCs w:val="24"/>
        </w:rPr>
      </w:pPr>
      <w:r>
        <w:rPr>
          <w:rFonts w:cs="Arial"/>
          <w:szCs w:val="24"/>
        </w:rPr>
        <w:t>ISO will be notified through the I39 process or directly from the utility and will request more info from the TO if necessary</w:t>
      </w:r>
    </w:p>
    <w:p w14:paraId="0188B5CE" w14:textId="4512EE5F" w:rsidR="00D84D14" w:rsidRDefault="00D84D14" w:rsidP="007C7627">
      <w:pPr>
        <w:pStyle w:val="ListParagraph"/>
        <w:numPr>
          <w:ilvl w:val="0"/>
          <w:numId w:val="24"/>
        </w:numPr>
        <w:ind w:left="1080"/>
        <w:jc w:val="both"/>
        <w:rPr>
          <w:rFonts w:cs="Arial"/>
          <w:szCs w:val="24"/>
        </w:rPr>
      </w:pPr>
      <w:r>
        <w:rPr>
          <w:rFonts w:cs="Arial"/>
          <w:szCs w:val="24"/>
        </w:rPr>
        <w:t xml:space="preserve">Once one non-comprehensive analysis is completed, </w:t>
      </w:r>
      <w:proofErr w:type="gramStart"/>
      <w:r>
        <w:rPr>
          <w:rFonts w:cs="Arial"/>
          <w:szCs w:val="24"/>
        </w:rPr>
        <w:t>it</w:t>
      </w:r>
      <w:proofErr w:type="gramEnd"/>
      <w:r>
        <w:rPr>
          <w:rFonts w:cs="Arial"/>
          <w:szCs w:val="24"/>
        </w:rPr>
        <w:t xml:space="preserve"> “resets” and another is not needed until the next 5MW threshold is triggered</w:t>
      </w:r>
    </w:p>
    <w:p w14:paraId="024F91F9" w14:textId="4883B2EA" w:rsidR="00D84D14" w:rsidRDefault="00D84D14" w:rsidP="007C7627">
      <w:pPr>
        <w:pStyle w:val="ListParagraph"/>
        <w:numPr>
          <w:ilvl w:val="0"/>
          <w:numId w:val="24"/>
        </w:numPr>
        <w:ind w:left="1080"/>
        <w:jc w:val="both"/>
        <w:rPr>
          <w:rFonts w:cs="Arial"/>
          <w:szCs w:val="24"/>
        </w:rPr>
      </w:pPr>
      <w:r>
        <w:rPr>
          <w:rFonts w:cs="Arial"/>
          <w:szCs w:val="24"/>
        </w:rPr>
        <w:t xml:space="preserve">The </w:t>
      </w:r>
      <w:r>
        <w:rPr>
          <w:rFonts w:cs="Arial"/>
          <w:szCs w:val="24"/>
        </w:rPr>
        <w:t>non-comprehensive analysis</w:t>
      </w:r>
      <w:r>
        <w:rPr>
          <w:rFonts w:cs="Arial"/>
          <w:szCs w:val="24"/>
        </w:rPr>
        <w:t xml:space="preserve"> usually takes weeks rather than months</w:t>
      </w:r>
    </w:p>
    <w:p w14:paraId="5494103D" w14:textId="77777777" w:rsidR="007C7627" w:rsidRDefault="00D84D14" w:rsidP="00D84D14">
      <w:pPr>
        <w:pStyle w:val="ListParagraph"/>
        <w:numPr>
          <w:ilvl w:val="0"/>
          <w:numId w:val="25"/>
        </w:numPr>
        <w:jc w:val="both"/>
        <w:rPr>
          <w:rFonts w:cs="Arial"/>
          <w:szCs w:val="24"/>
        </w:rPr>
      </w:pPr>
      <w:r>
        <w:rPr>
          <w:rFonts w:cs="Arial"/>
          <w:szCs w:val="24"/>
        </w:rPr>
        <w:t xml:space="preserve">Once 20MW of DERs is </w:t>
      </w:r>
      <w:r w:rsidR="007C7627">
        <w:rPr>
          <w:rFonts w:cs="Arial"/>
          <w:szCs w:val="24"/>
        </w:rPr>
        <w:t>connected to a single substation, additional requirements are imposed on all subsequent projects</w:t>
      </w:r>
    </w:p>
    <w:p w14:paraId="7F739478" w14:textId="5FE2673A" w:rsidR="00D84D14" w:rsidRDefault="007C7627" w:rsidP="007C7627">
      <w:pPr>
        <w:pStyle w:val="ListParagraph"/>
        <w:numPr>
          <w:ilvl w:val="0"/>
          <w:numId w:val="26"/>
        </w:numPr>
        <w:jc w:val="both"/>
        <w:rPr>
          <w:rFonts w:cs="Arial"/>
          <w:szCs w:val="24"/>
        </w:rPr>
      </w:pPr>
      <w:r>
        <w:rPr>
          <w:rFonts w:cs="Arial"/>
          <w:szCs w:val="24"/>
        </w:rPr>
        <w:t>Greater than 20MW of generation cannot trip offline at one time</w:t>
      </w:r>
    </w:p>
    <w:p w14:paraId="0B9F165B" w14:textId="605E2FDE" w:rsidR="007C7627" w:rsidRDefault="007C7627" w:rsidP="007C7627">
      <w:pPr>
        <w:pStyle w:val="ListParagraph"/>
        <w:numPr>
          <w:ilvl w:val="0"/>
          <w:numId w:val="26"/>
        </w:numPr>
        <w:jc w:val="both"/>
        <w:rPr>
          <w:rFonts w:cs="Arial"/>
          <w:szCs w:val="24"/>
        </w:rPr>
      </w:pPr>
      <w:r>
        <w:rPr>
          <w:rFonts w:cs="Arial"/>
          <w:szCs w:val="24"/>
        </w:rPr>
        <w:t>DERs with inverters using 2003 IEEE 1547 standard would trip offline very easily</w:t>
      </w:r>
    </w:p>
    <w:p w14:paraId="185F5049" w14:textId="15232E81" w:rsidR="007C7627" w:rsidRDefault="007C7627" w:rsidP="007C7627">
      <w:pPr>
        <w:pStyle w:val="ListParagraph"/>
        <w:numPr>
          <w:ilvl w:val="0"/>
          <w:numId w:val="26"/>
        </w:numPr>
        <w:jc w:val="both"/>
        <w:rPr>
          <w:rFonts w:cs="Arial"/>
          <w:szCs w:val="24"/>
        </w:rPr>
      </w:pPr>
      <w:r>
        <w:rPr>
          <w:rFonts w:cs="Arial"/>
          <w:szCs w:val="24"/>
        </w:rPr>
        <w:t xml:space="preserve">Every project after the 20MW threshold needs </w:t>
      </w:r>
      <w:proofErr w:type="spellStart"/>
      <w:r>
        <w:rPr>
          <w:rFonts w:cs="Arial"/>
          <w:szCs w:val="24"/>
        </w:rPr>
        <w:t>a</w:t>
      </w:r>
      <w:proofErr w:type="spellEnd"/>
      <w:r>
        <w:rPr>
          <w:rFonts w:cs="Arial"/>
          <w:szCs w:val="24"/>
        </w:rPr>
        <w:t xml:space="preserve"> comprehensive/Level 3 individual study or cluster study</w:t>
      </w:r>
    </w:p>
    <w:p w14:paraId="01BBB667" w14:textId="24FB4C30" w:rsidR="007C7627" w:rsidRDefault="007C7627" w:rsidP="007C7627">
      <w:pPr>
        <w:pStyle w:val="ListParagraph"/>
        <w:numPr>
          <w:ilvl w:val="0"/>
          <w:numId w:val="26"/>
        </w:numPr>
        <w:jc w:val="both"/>
        <w:rPr>
          <w:rFonts w:cs="Arial"/>
          <w:szCs w:val="24"/>
        </w:rPr>
      </w:pPr>
      <w:r>
        <w:rPr>
          <w:rFonts w:cs="Arial"/>
          <w:szCs w:val="24"/>
        </w:rPr>
        <w:t>In Massachusetts cluster studies have some level of cost sharing, based on who is the cost-causer</w:t>
      </w:r>
    </w:p>
    <w:p w14:paraId="57A690A6" w14:textId="79E9BE8C" w:rsidR="007C7627" w:rsidRDefault="007C7627" w:rsidP="007C7627">
      <w:pPr>
        <w:pStyle w:val="ListParagraph"/>
        <w:numPr>
          <w:ilvl w:val="0"/>
          <w:numId w:val="26"/>
        </w:numPr>
        <w:jc w:val="both"/>
        <w:rPr>
          <w:rFonts w:cs="Arial"/>
          <w:szCs w:val="24"/>
        </w:rPr>
      </w:pPr>
      <w:r>
        <w:rPr>
          <w:rFonts w:cs="Arial"/>
          <w:szCs w:val="24"/>
        </w:rPr>
        <w:lastRenderedPageBreak/>
        <w:t>The 20MW threshold can involve two electrically close substations if a fault at  one affects the other</w:t>
      </w:r>
    </w:p>
    <w:p w14:paraId="173FF573" w14:textId="0E4EAE5D" w:rsidR="00372F44" w:rsidRDefault="00372F44" w:rsidP="007C7627">
      <w:pPr>
        <w:pStyle w:val="ListParagraph"/>
        <w:numPr>
          <w:ilvl w:val="0"/>
          <w:numId w:val="26"/>
        </w:numPr>
        <w:jc w:val="both"/>
        <w:rPr>
          <w:rFonts w:cs="Arial"/>
          <w:szCs w:val="24"/>
        </w:rPr>
      </w:pPr>
      <w:r>
        <w:rPr>
          <w:rFonts w:cs="Arial"/>
          <w:szCs w:val="24"/>
        </w:rPr>
        <w:t>Developers also need to be aware of FERC jurisdictional distribution circuits – if a distribution circuit already contains a project selling into the wholesale market, the circuit is no longer under state jurisdiction and ISO must review</w:t>
      </w:r>
    </w:p>
    <w:p w14:paraId="7B83E279" w14:textId="715E889A" w:rsidR="00372F44" w:rsidRDefault="00372F44" w:rsidP="00372F44">
      <w:pPr>
        <w:pStyle w:val="ListParagraph"/>
        <w:numPr>
          <w:ilvl w:val="0"/>
          <w:numId w:val="25"/>
        </w:numPr>
        <w:jc w:val="both"/>
        <w:rPr>
          <w:rFonts w:cs="Arial"/>
          <w:szCs w:val="24"/>
        </w:rPr>
      </w:pPr>
      <w:r>
        <w:rPr>
          <w:rFonts w:cs="Arial"/>
          <w:szCs w:val="24"/>
        </w:rPr>
        <w:t>Any individual 5MW+ project requires transmission impact study</w:t>
      </w:r>
    </w:p>
    <w:p w14:paraId="52AB7CE5" w14:textId="77777777" w:rsidR="002F162B" w:rsidRPr="002F162B" w:rsidRDefault="002F162B" w:rsidP="002F162B">
      <w:pPr>
        <w:jc w:val="both"/>
        <w:rPr>
          <w:rFonts w:cs="Arial"/>
          <w:szCs w:val="24"/>
        </w:rPr>
      </w:pPr>
    </w:p>
    <w:p w14:paraId="18C75BD4" w14:textId="619A2AB3" w:rsidR="00372F44" w:rsidRPr="002F162B" w:rsidRDefault="002F162B" w:rsidP="002F162B">
      <w:pPr>
        <w:jc w:val="both"/>
        <w:rPr>
          <w:rFonts w:cs="Arial"/>
          <w:b/>
          <w:szCs w:val="24"/>
        </w:rPr>
      </w:pPr>
      <w:r w:rsidRPr="002F162B">
        <w:rPr>
          <w:rFonts w:cs="Arial"/>
          <w:b/>
          <w:szCs w:val="24"/>
        </w:rPr>
        <w:t>Discussion on Electrically Close substations</w:t>
      </w:r>
    </w:p>
    <w:p w14:paraId="3D157318" w14:textId="6D0400B5" w:rsidR="002F162B" w:rsidRDefault="002F162B" w:rsidP="002F162B">
      <w:pPr>
        <w:pStyle w:val="ListParagraph"/>
        <w:numPr>
          <w:ilvl w:val="0"/>
          <w:numId w:val="29"/>
        </w:numPr>
        <w:jc w:val="both"/>
        <w:rPr>
          <w:rFonts w:cs="Arial"/>
          <w:szCs w:val="24"/>
        </w:rPr>
      </w:pPr>
      <w:r>
        <w:rPr>
          <w:rFonts w:cs="Arial"/>
          <w:szCs w:val="24"/>
        </w:rPr>
        <w:t>A fault at one substation will also cause a fault at an</w:t>
      </w:r>
      <w:r w:rsidRPr="002F162B">
        <w:rPr>
          <w:rFonts w:cs="Arial"/>
          <w:szCs w:val="24"/>
        </w:rPr>
        <w:t xml:space="preserve"> </w:t>
      </w:r>
      <w:r>
        <w:rPr>
          <w:rFonts w:cs="Arial"/>
          <w:szCs w:val="24"/>
        </w:rPr>
        <w:t>electrically close substation</w:t>
      </w:r>
    </w:p>
    <w:p w14:paraId="4AA673C2" w14:textId="0F68A883" w:rsidR="00FD7B4B" w:rsidRDefault="002F162B" w:rsidP="002F162B">
      <w:pPr>
        <w:pStyle w:val="ListParagraph"/>
        <w:numPr>
          <w:ilvl w:val="0"/>
          <w:numId w:val="29"/>
        </w:numPr>
        <w:jc w:val="both"/>
        <w:rPr>
          <w:rFonts w:cs="Arial"/>
          <w:szCs w:val="24"/>
        </w:rPr>
      </w:pPr>
      <w:r>
        <w:rPr>
          <w:rFonts w:cs="Arial"/>
          <w:szCs w:val="24"/>
        </w:rPr>
        <w:t>The farther two substations are apart, the less likely they are to be electrically close due to impedance</w:t>
      </w:r>
    </w:p>
    <w:p w14:paraId="49614114" w14:textId="2D994A74" w:rsidR="002F162B" w:rsidRDefault="002F162B" w:rsidP="002F162B">
      <w:pPr>
        <w:pStyle w:val="ListParagraph"/>
        <w:numPr>
          <w:ilvl w:val="0"/>
          <w:numId w:val="29"/>
        </w:numPr>
        <w:jc w:val="both"/>
        <w:rPr>
          <w:rFonts w:cs="Arial"/>
          <w:szCs w:val="24"/>
        </w:rPr>
      </w:pPr>
      <w:r>
        <w:rPr>
          <w:rFonts w:cs="Arial"/>
          <w:szCs w:val="24"/>
        </w:rPr>
        <w:t>Conversely, electrically close substations are generally geographically close</w:t>
      </w:r>
    </w:p>
    <w:p w14:paraId="3CF60DA0" w14:textId="7539C00C" w:rsidR="002F162B" w:rsidRDefault="002F162B" w:rsidP="002F162B">
      <w:pPr>
        <w:pStyle w:val="ListParagraph"/>
        <w:numPr>
          <w:ilvl w:val="0"/>
          <w:numId w:val="29"/>
        </w:numPr>
        <w:jc w:val="both"/>
        <w:rPr>
          <w:rFonts w:cs="Arial"/>
          <w:szCs w:val="24"/>
        </w:rPr>
      </w:pPr>
      <w:r>
        <w:rPr>
          <w:rFonts w:cs="Arial"/>
          <w:szCs w:val="24"/>
        </w:rPr>
        <w:t xml:space="preserve">DER loads at electrically close substations must be aggregated </w:t>
      </w:r>
    </w:p>
    <w:p w14:paraId="6CCA1211" w14:textId="0CB0243A" w:rsidR="002F162B" w:rsidRDefault="002F162B" w:rsidP="002F162B">
      <w:pPr>
        <w:pStyle w:val="ListParagraph"/>
        <w:numPr>
          <w:ilvl w:val="0"/>
          <w:numId w:val="29"/>
        </w:numPr>
        <w:jc w:val="both"/>
        <w:rPr>
          <w:rFonts w:cs="Arial"/>
          <w:szCs w:val="24"/>
        </w:rPr>
      </w:pPr>
      <w:r>
        <w:rPr>
          <w:rFonts w:cs="Arial"/>
          <w:szCs w:val="24"/>
        </w:rPr>
        <w:t>ISO doesn’t cre</w:t>
      </w:r>
      <w:r w:rsidR="0065120E">
        <w:rPr>
          <w:rFonts w:cs="Arial"/>
          <w:szCs w:val="24"/>
        </w:rPr>
        <w:t>ate capacity maps; there is some info in the solar forecasting maps and local distribution hosting capacity maps show highly saturated feeders.</w:t>
      </w:r>
    </w:p>
    <w:p w14:paraId="5C6A7D31" w14:textId="3055E779" w:rsidR="00BD5BA2" w:rsidRDefault="00BD5BA2" w:rsidP="002F162B">
      <w:pPr>
        <w:pStyle w:val="ListParagraph"/>
        <w:numPr>
          <w:ilvl w:val="0"/>
          <w:numId w:val="29"/>
        </w:numPr>
        <w:jc w:val="both"/>
        <w:rPr>
          <w:rFonts w:cs="Arial"/>
          <w:szCs w:val="24"/>
        </w:rPr>
      </w:pPr>
      <w:r>
        <w:rPr>
          <w:rFonts w:cs="Arial"/>
          <w:szCs w:val="24"/>
        </w:rPr>
        <w:t xml:space="preserve">There is no list of </w:t>
      </w:r>
      <w:r>
        <w:rPr>
          <w:rFonts w:cs="Arial"/>
          <w:szCs w:val="24"/>
        </w:rPr>
        <w:t>electrically close substations</w:t>
      </w:r>
      <w:r>
        <w:rPr>
          <w:rFonts w:cs="Arial"/>
          <w:szCs w:val="24"/>
        </w:rPr>
        <w:t xml:space="preserve"> or radial substations; such lists would become obsolete quickly with the current rate of deployments</w:t>
      </w:r>
    </w:p>
    <w:p w14:paraId="6A9DDFE6" w14:textId="6B7FC553" w:rsidR="00BD5BA2" w:rsidRDefault="00BD5BA2" w:rsidP="00752BC4">
      <w:pPr>
        <w:jc w:val="both"/>
        <w:rPr>
          <w:rFonts w:cs="Arial"/>
          <w:szCs w:val="24"/>
        </w:rPr>
      </w:pPr>
    </w:p>
    <w:p w14:paraId="1FC1E8A1" w14:textId="5E73C129" w:rsidR="00752BC4" w:rsidRPr="00752BC4" w:rsidRDefault="00752BC4" w:rsidP="00752BC4">
      <w:pPr>
        <w:jc w:val="both"/>
        <w:rPr>
          <w:rFonts w:cs="Arial"/>
          <w:b/>
          <w:szCs w:val="24"/>
        </w:rPr>
      </w:pPr>
      <w:r w:rsidRPr="00752BC4">
        <w:rPr>
          <w:rFonts w:cs="Arial"/>
          <w:b/>
          <w:szCs w:val="24"/>
        </w:rPr>
        <w:t>Discussion on Impacts of More DERs on the system</w:t>
      </w:r>
    </w:p>
    <w:p w14:paraId="3EE3C0FD" w14:textId="0FD85DCE" w:rsidR="00FF18CF" w:rsidRDefault="00752BC4" w:rsidP="00752BC4">
      <w:pPr>
        <w:pStyle w:val="ListParagraph"/>
        <w:numPr>
          <w:ilvl w:val="0"/>
          <w:numId w:val="30"/>
        </w:numPr>
        <w:jc w:val="both"/>
        <w:rPr>
          <w:rFonts w:cs="Arial"/>
          <w:szCs w:val="24"/>
        </w:rPr>
      </w:pPr>
      <w:r>
        <w:rPr>
          <w:rFonts w:cs="Arial"/>
          <w:szCs w:val="24"/>
        </w:rPr>
        <w:t>DER additions can cause a loss of reactive support</w:t>
      </w:r>
    </w:p>
    <w:p w14:paraId="065433BD" w14:textId="0F47F2E5" w:rsidR="00752BC4" w:rsidRDefault="00752BC4" w:rsidP="00752BC4">
      <w:pPr>
        <w:pStyle w:val="ListParagraph"/>
        <w:numPr>
          <w:ilvl w:val="0"/>
          <w:numId w:val="30"/>
        </w:numPr>
        <w:jc w:val="both"/>
        <w:rPr>
          <w:rFonts w:cs="Arial"/>
          <w:szCs w:val="24"/>
        </w:rPr>
      </w:pPr>
      <w:r>
        <w:rPr>
          <w:rFonts w:cs="Arial"/>
          <w:szCs w:val="24"/>
        </w:rPr>
        <w:t>DERs are either reducing load or exporting power; if power is coming onto the transmission system, it can affect voltage; more power equals greater reactive losses</w:t>
      </w:r>
    </w:p>
    <w:p w14:paraId="563E0512" w14:textId="523A538F" w:rsidR="00752BC4" w:rsidRDefault="00752BC4" w:rsidP="00752BC4">
      <w:pPr>
        <w:pStyle w:val="ListParagraph"/>
        <w:numPr>
          <w:ilvl w:val="0"/>
          <w:numId w:val="30"/>
        </w:numPr>
        <w:jc w:val="both"/>
        <w:rPr>
          <w:rFonts w:cs="Arial"/>
          <w:szCs w:val="24"/>
        </w:rPr>
      </w:pPr>
      <w:r>
        <w:rPr>
          <w:rFonts w:cs="Arial"/>
          <w:szCs w:val="24"/>
        </w:rPr>
        <w:t xml:space="preserve">Large transmission-connected generators have voltage and frequency control obligations; the fewer that are connected, the </w:t>
      </w:r>
      <w:r w:rsidR="00BC35C6">
        <w:rPr>
          <w:rFonts w:cs="Arial"/>
          <w:szCs w:val="24"/>
        </w:rPr>
        <w:t>less reactive support available</w:t>
      </w:r>
    </w:p>
    <w:p w14:paraId="22A4845F" w14:textId="2C6A2055" w:rsidR="00BC35C6" w:rsidRDefault="00BC35C6" w:rsidP="00752BC4">
      <w:pPr>
        <w:pStyle w:val="ListParagraph"/>
        <w:numPr>
          <w:ilvl w:val="0"/>
          <w:numId w:val="30"/>
        </w:numPr>
        <w:jc w:val="both"/>
        <w:rPr>
          <w:rFonts w:cs="Arial"/>
          <w:szCs w:val="24"/>
        </w:rPr>
      </w:pPr>
      <w:r>
        <w:rPr>
          <w:rFonts w:cs="Arial"/>
          <w:szCs w:val="24"/>
        </w:rPr>
        <w:t>Storage doesn’t help much with voltage control but will help with frequency control</w:t>
      </w:r>
    </w:p>
    <w:p w14:paraId="7E67252E" w14:textId="6CFD3C12" w:rsidR="00BC35C6" w:rsidRDefault="00BC35C6" w:rsidP="00BC35C6">
      <w:pPr>
        <w:jc w:val="both"/>
        <w:rPr>
          <w:rFonts w:cs="Arial"/>
          <w:szCs w:val="24"/>
        </w:rPr>
      </w:pPr>
    </w:p>
    <w:p w14:paraId="49F6627E" w14:textId="22CE8F1A" w:rsidR="00BC35C6" w:rsidRDefault="00BC35C6" w:rsidP="00BC35C6">
      <w:pPr>
        <w:jc w:val="both"/>
        <w:rPr>
          <w:rFonts w:cs="Arial"/>
          <w:b/>
          <w:szCs w:val="24"/>
        </w:rPr>
      </w:pPr>
      <w:r>
        <w:rPr>
          <w:rFonts w:cs="Arial"/>
          <w:b/>
          <w:szCs w:val="24"/>
        </w:rPr>
        <w:t>Discussion on Various Topics</w:t>
      </w:r>
    </w:p>
    <w:p w14:paraId="6954AAB7" w14:textId="163EE7FB" w:rsidR="00BC35C6" w:rsidRDefault="00BC35C6" w:rsidP="00BC35C6">
      <w:pPr>
        <w:pStyle w:val="ListParagraph"/>
        <w:numPr>
          <w:ilvl w:val="0"/>
          <w:numId w:val="31"/>
        </w:numPr>
        <w:jc w:val="both"/>
        <w:rPr>
          <w:rFonts w:cs="Arial"/>
          <w:szCs w:val="24"/>
        </w:rPr>
      </w:pPr>
      <w:r>
        <w:rPr>
          <w:rFonts w:cs="Arial"/>
          <w:szCs w:val="24"/>
        </w:rPr>
        <w:t>In response to a question on what CT should be doing from a policy standpoint, Brad recommended that CT adopt IEEE 1547-2018 and the MA TSRG bulk system settings</w:t>
      </w:r>
    </w:p>
    <w:p w14:paraId="06563D89" w14:textId="1F9EEA78" w:rsidR="00BC35C6" w:rsidRDefault="00BC35C6" w:rsidP="00BC35C6">
      <w:pPr>
        <w:pStyle w:val="ListParagraph"/>
        <w:numPr>
          <w:ilvl w:val="0"/>
          <w:numId w:val="31"/>
        </w:numPr>
        <w:jc w:val="both"/>
        <w:rPr>
          <w:rFonts w:cs="Arial"/>
          <w:szCs w:val="24"/>
        </w:rPr>
      </w:pPr>
      <w:r>
        <w:rPr>
          <w:rFonts w:cs="Arial"/>
          <w:szCs w:val="24"/>
        </w:rPr>
        <w:t>Eversource stated that it is adopting IEEE settings</w:t>
      </w:r>
    </w:p>
    <w:p w14:paraId="2E95C899" w14:textId="24F83BEF" w:rsidR="00BC35C6" w:rsidRDefault="00BC35C6" w:rsidP="00BC35C6">
      <w:pPr>
        <w:pStyle w:val="ListParagraph"/>
        <w:numPr>
          <w:ilvl w:val="0"/>
          <w:numId w:val="31"/>
        </w:numPr>
        <w:jc w:val="both"/>
        <w:rPr>
          <w:rFonts w:cs="Arial"/>
          <w:szCs w:val="24"/>
        </w:rPr>
      </w:pPr>
      <w:r>
        <w:rPr>
          <w:rFonts w:cs="Arial"/>
          <w:szCs w:val="24"/>
        </w:rPr>
        <w:t>Cluster studies can help by identifying which projects are contributing to a given issue and pro-rate upgrade costs according to voltage or other criteria</w:t>
      </w:r>
    </w:p>
    <w:p w14:paraId="621FF8D8" w14:textId="114F3E9B" w:rsidR="00BC35C6" w:rsidRDefault="00D53874" w:rsidP="00BC35C6">
      <w:pPr>
        <w:pStyle w:val="ListParagraph"/>
        <w:numPr>
          <w:ilvl w:val="0"/>
          <w:numId w:val="31"/>
        </w:numPr>
        <w:jc w:val="both"/>
        <w:rPr>
          <w:rFonts w:cs="Arial"/>
          <w:szCs w:val="24"/>
        </w:rPr>
      </w:pPr>
      <w:r>
        <w:rPr>
          <w:rFonts w:cs="Arial"/>
          <w:szCs w:val="24"/>
        </w:rPr>
        <w:t>Massachusetts is discussing whether to base rate some upgrade costs</w:t>
      </w:r>
    </w:p>
    <w:p w14:paraId="282177C2" w14:textId="38B909AE" w:rsidR="00D53874" w:rsidRDefault="00D53874" w:rsidP="00BC35C6">
      <w:pPr>
        <w:pStyle w:val="ListParagraph"/>
        <w:numPr>
          <w:ilvl w:val="0"/>
          <w:numId w:val="31"/>
        </w:numPr>
        <w:jc w:val="both"/>
        <w:rPr>
          <w:rFonts w:cs="Arial"/>
          <w:szCs w:val="24"/>
        </w:rPr>
      </w:pPr>
      <w:r>
        <w:rPr>
          <w:rFonts w:cs="Arial"/>
          <w:szCs w:val="24"/>
        </w:rPr>
        <w:t xml:space="preserve">Tom </w:t>
      </w:r>
      <w:proofErr w:type="spellStart"/>
      <w:r>
        <w:rPr>
          <w:rFonts w:cs="Arial"/>
          <w:szCs w:val="24"/>
        </w:rPr>
        <w:t>Melone</w:t>
      </w:r>
      <w:proofErr w:type="spellEnd"/>
      <w:r>
        <w:rPr>
          <w:rFonts w:cs="Arial"/>
          <w:szCs w:val="24"/>
        </w:rPr>
        <w:t xml:space="preserve"> discussed the drawbacks of cluster studies at the distribution level; studies have to be repeated if developers drop out after the estimate is provided, leading to the study being repeated, sometimes multiple times</w:t>
      </w:r>
    </w:p>
    <w:p w14:paraId="2DB525C3" w14:textId="5F3A6DCB" w:rsidR="00D53874" w:rsidRDefault="00D53874" w:rsidP="00BC35C6">
      <w:pPr>
        <w:pStyle w:val="ListParagraph"/>
        <w:numPr>
          <w:ilvl w:val="0"/>
          <w:numId w:val="31"/>
        </w:numPr>
        <w:jc w:val="both"/>
        <w:rPr>
          <w:rFonts w:cs="Arial"/>
          <w:szCs w:val="24"/>
        </w:rPr>
      </w:pPr>
      <w:r>
        <w:rPr>
          <w:rFonts w:cs="Arial"/>
          <w:szCs w:val="24"/>
        </w:rPr>
        <w:t xml:space="preserve">MISO used to have </w:t>
      </w:r>
      <w:r w:rsidR="00593418">
        <w:rPr>
          <w:rFonts w:cs="Arial"/>
          <w:szCs w:val="24"/>
        </w:rPr>
        <w:t>a reimbursement</w:t>
      </w:r>
      <w:r w:rsidR="00D6606C">
        <w:rPr>
          <w:rFonts w:cs="Arial"/>
          <w:szCs w:val="24"/>
        </w:rPr>
        <w:t xml:space="preserve"> program</w:t>
      </w:r>
    </w:p>
    <w:p w14:paraId="5F92DAD6" w14:textId="38E086CB" w:rsidR="00D6606C" w:rsidRDefault="00D6606C" w:rsidP="00BC35C6">
      <w:pPr>
        <w:pStyle w:val="ListParagraph"/>
        <w:numPr>
          <w:ilvl w:val="0"/>
          <w:numId w:val="31"/>
        </w:numPr>
        <w:jc w:val="both"/>
        <w:rPr>
          <w:rFonts w:cs="Arial"/>
          <w:szCs w:val="24"/>
        </w:rPr>
      </w:pPr>
      <w:r>
        <w:rPr>
          <w:rFonts w:cs="Arial"/>
          <w:szCs w:val="24"/>
        </w:rPr>
        <w:t xml:space="preserve">Smaller more dispersed projects are worse from an ISO perspective than larger projects because the larger projects are more likely able to provide support services </w:t>
      </w:r>
    </w:p>
    <w:p w14:paraId="189FF4C9" w14:textId="4D368EF6" w:rsidR="00D6606C" w:rsidRDefault="00D6606C" w:rsidP="00BC35C6">
      <w:pPr>
        <w:pStyle w:val="ListParagraph"/>
        <w:numPr>
          <w:ilvl w:val="0"/>
          <w:numId w:val="31"/>
        </w:numPr>
        <w:jc w:val="both"/>
        <w:rPr>
          <w:rFonts w:cs="Arial"/>
          <w:szCs w:val="24"/>
        </w:rPr>
      </w:pPr>
      <w:r>
        <w:rPr>
          <w:rFonts w:cs="Arial"/>
          <w:szCs w:val="24"/>
        </w:rPr>
        <w:t>A member asked whether they could use curtailment in lieu of paying for upgrades</w:t>
      </w:r>
    </w:p>
    <w:p w14:paraId="41174EA1" w14:textId="632CA8F4" w:rsidR="00D6606C" w:rsidRDefault="00D6606C" w:rsidP="00D6606C">
      <w:pPr>
        <w:pStyle w:val="ListParagraph"/>
        <w:numPr>
          <w:ilvl w:val="1"/>
          <w:numId w:val="31"/>
        </w:numPr>
        <w:jc w:val="both"/>
        <w:rPr>
          <w:rFonts w:cs="Arial"/>
          <w:szCs w:val="24"/>
        </w:rPr>
      </w:pPr>
      <w:r>
        <w:rPr>
          <w:rFonts w:cs="Arial"/>
          <w:szCs w:val="24"/>
        </w:rPr>
        <w:t xml:space="preserve">Per Brad the main problem is the lack of visibility and controllability of DERs by ISO </w:t>
      </w:r>
    </w:p>
    <w:p w14:paraId="435A84EA" w14:textId="13DE2691" w:rsidR="00D6606C" w:rsidRDefault="00D6606C" w:rsidP="00D6606C">
      <w:pPr>
        <w:pStyle w:val="ListParagraph"/>
        <w:numPr>
          <w:ilvl w:val="1"/>
          <w:numId w:val="31"/>
        </w:numPr>
        <w:jc w:val="both"/>
        <w:rPr>
          <w:rFonts w:cs="Arial"/>
          <w:szCs w:val="24"/>
        </w:rPr>
      </w:pPr>
      <w:r>
        <w:rPr>
          <w:rFonts w:cs="Arial"/>
          <w:szCs w:val="24"/>
        </w:rPr>
        <w:lastRenderedPageBreak/>
        <w:t>FERC Order 2222 is attempting to address this but there are hurdles</w:t>
      </w:r>
    </w:p>
    <w:p w14:paraId="4C7A442B" w14:textId="4E5FE9AB" w:rsidR="00D6606C" w:rsidRDefault="00D6606C" w:rsidP="00D6606C">
      <w:pPr>
        <w:pStyle w:val="ListParagraph"/>
        <w:numPr>
          <w:ilvl w:val="1"/>
          <w:numId w:val="31"/>
        </w:numPr>
        <w:jc w:val="both"/>
        <w:rPr>
          <w:rFonts w:cs="Arial"/>
          <w:szCs w:val="24"/>
        </w:rPr>
      </w:pPr>
      <w:r>
        <w:rPr>
          <w:rFonts w:cs="Arial"/>
          <w:szCs w:val="24"/>
        </w:rPr>
        <w:t>Even in MA they lack the infrastructure/software to have these capabilities</w:t>
      </w:r>
    </w:p>
    <w:p w14:paraId="509424F4" w14:textId="1ED551D5" w:rsidR="00D6606C" w:rsidRDefault="00D6606C" w:rsidP="00D6606C">
      <w:pPr>
        <w:pStyle w:val="ListParagraph"/>
        <w:numPr>
          <w:ilvl w:val="0"/>
          <w:numId w:val="31"/>
        </w:numPr>
        <w:jc w:val="both"/>
        <w:rPr>
          <w:rFonts w:cs="Arial"/>
          <w:szCs w:val="24"/>
        </w:rPr>
      </w:pPr>
      <w:r>
        <w:rPr>
          <w:rFonts w:cs="Arial"/>
          <w:szCs w:val="24"/>
        </w:rPr>
        <w:t>One member commented that the future grid must be more focused on distribution and local control of DERs</w:t>
      </w:r>
    </w:p>
    <w:p w14:paraId="78B1294C" w14:textId="42804366" w:rsidR="00D6606C" w:rsidRDefault="00D6606C" w:rsidP="00D6606C">
      <w:pPr>
        <w:pStyle w:val="ListParagraph"/>
        <w:numPr>
          <w:ilvl w:val="1"/>
          <w:numId w:val="31"/>
        </w:numPr>
        <w:jc w:val="both"/>
        <w:rPr>
          <w:rFonts w:cs="Arial"/>
          <w:szCs w:val="24"/>
        </w:rPr>
      </w:pPr>
      <w:r>
        <w:rPr>
          <w:rFonts w:cs="Arial"/>
          <w:szCs w:val="24"/>
        </w:rPr>
        <w:t>Transmission system will likely always be necessary. Even though MA has a lot of DERs, very few are in the Boston area (load center)</w:t>
      </w:r>
    </w:p>
    <w:p w14:paraId="4DA66583" w14:textId="34E4A7D9" w:rsidR="00D6606C" w:rsidRDefault="00D6606C" w:rsidP="00D6606C">
      <w:pPr>
        <w:pStyle w:val="ListParagraph"/>
        <w:numPr>
          <w:ilvl w:val="1"/>
          <w:numId w:val="31"/>
        </w:numPr>
        <w:jc w:val="both"/>
        <w:rPr>
          <w:rFonts w:cs="Arial"/>
          <w:szCs w:val="24"/>
        </w:rPr>
      </w:pPr>
      <w:proofErr w:type="spellStart"/>
      <w:r>
        <w:rPr>
          <w:rFonts w:cs="Arial"/>
          <w:szCs w:val="24"/>
        </w:rPr>
        <w:t>HydroQuebec</w:t>
      </w:r>
      <w:proofErr w:type="spellEnd"/>
      <w:r>
        <w:rPr>
          <w:rFonts w:cs="Arial"/>
          <w:szCs w:val="24"/>
        </w:rPr>
        <w:t xml:space="preserve"> has the ability to dispatch and control solar resources but they own the distribution, transmission, and generation assets</w:t>
      </w:r>
    </w:p>
    <w:p w14:paraId="4307FD03" w14:textId="00974F52" w:rsidR="00D6606C" w:rsidRDefault="00D6606C" w:rsidP="00D6606C">
      <w:pPr>
        <w:pStyle w:val="ListParagraph"/>
        <w:numPr>
          <w:ilvl w:val="1"/>
          <w:numId w:val="31"/>
        </w:numPr>
        <w:jc w:val="both"/>
        <w:rPr>
          <w:rFonts w:cs="Arial"/>
          <w:szCs w:val="24"/>
        </w:rPr>
      </w:pPr>
      <w:r>
        <w:rPr>
          <w:rFonts w:cs="Arial"/>
          <w:szCs w:val="24"/>
        </w:rPr>
        <w:t xml:space="preserve">Could be done in New England, but with one of the oldest distributions systems in the country, the costs could be </w:t>
      </w:r>
      <w:r w:rsidR="00AD1C92">
        <w:rPr>
          <w:rFonts w:cs="Arial"/>
          <w:szCs w:val="24"/>
        </w:rPr>
        <w:t>enormous</w:t>
      </w:r>
    </w:p>
    <w:p w14:paraId="6335B936" w14:textId="143FE2D6" w:rsidR="00D6606C" w:rsidRDefault="00AD1C92" w:rsidP="00D6606C">
      <w:pPr>
        <w:pStyle w:val="ListParagraph"/>
        <w:numPr>
          <w:ilvl w:val="1"/>
          <w:numId w:val="31"/>
        </w:numPr>
        <w:jc w:val="both"/>
        <w:rPr>
          <w:rFonts w:cs="Arial"/>
          <w:szCs w:val="24"/>
        </w:rPr>
      </w:pPr>
      <w:r>
        <w:rPr>
          <w:rFonts w:cs="Arial"/>
          <w:szCs w:val="24"/>
        </w:rPr>
        <w:t>It may be possible to dispatch/curtail via wireless internet rather than fiber, but the connection would have to meet OP-18 speed requirements and appropriate cybersecurity protocols would have to be developed</w:t>
      </w:r>
    </w:p>
    <w:p w14:paraId="71EDF518" w14:textId="1A70308E" w:rsidR="00AD1C92" w:rsidRDefault="00AD1C92" w:rsidP="00AD1C92">
      <w:pPr>
        <w:jc w:val="both"/>
        <w:rPr>
          <w:rFonts w:cs="Arial"/>
          <w:szCs w:val="24"/>
        </w:rPr>
      </w:pPr>
    </w:p>
    <w:p w14:paraId="5D03885B" w14:textId="750CBD2F" w:rsidR="00AD1C92" w:rsidRDefault="00AD1C92" w:rsidP="00AD1C92">
      <w:pPr>
        <w:jc w:val="both"/>
        <w:rPr>
          <w:rFonts w:cs="Arial"/>
          <w:b/>
          <w:szCs w:val="24"/>
        </w:rPr>
      </w:pPr>
      <w:r>
        <w:rPr>
          <w:rFonts w:cs="Arial"/>
          <w:b/>
          <w:szCs w:val="24"/>
        </w:rPr>
        <w:t>Discussion on Residential Application Cost Sharing</w:t>
      </w:r>
    </w:p>
    <w:p w14:paraId="732A6032" w14:textId="77777777" w:rsidR="00AD1C92" w:rsidRDefault="00AD1C92" w:rsidP="00AD1C92">
      <w:pPr>
        <w:pStyle w:val="ListParagraph"/>
        <w:numPr>
          <w:ilvl w:val="0"/>
          <w:numId w:val="32"/>
        </w:numPr>
        <w:jc w:val="both"/>
        <w:rPr>
          <w:rFonts w:cs="Arial"/>
          <w:szCs w:val="24"/>
        </w:rPr>
      </w:pPr>
      <w:r>
        <w:rPr>
          <w:rFonts w:cs="Arial"/>
          <w:szCs w:val="24"/>
        </w:rPr>
        <w:t xml:space="preserve">Some customers </w:t>
      </w:r>
      <w:proofErr w:type="spellStart"/>
      <w:r>
        <w:rPr>
          <w:rFonts w:cs="Arial"/>
          <w:szCs w:val="24"/>
        </w:rPr>
        <w:t xml:space="preserve">want </w:t>
      </w:r>
      <w:proofErr w:type="spellEnd"/>
      <w:r>
        <w:rPr>
          <w:rFonts w:cs="Arial"/>
          <w:szCs w:val="24"/>
        </w:rPr>
        <w:t>net metering but also want to participate in the 2022 battery incentive program</w:t>
      </w:r>
    </w:p>
    <w:p w14:paraId="04C2BD0C" w14:textId="60929B6A" w:rsidR="00AD1C92" w:rsidRDefault="00AD1C92" w:rsidP="00AD1C92">
      <w:pPr>
        <w:pStyle w:val="ListParagraph"/>
        <w:numPr>
          <w:ilvl w:val="0"/>
          <w:numId w:val="32"/>
        </w:numPr>
        <w:jc w:val="both"/>
        <w:rPr>
          <w:rFonts w:cs="Arial"/>
          <w:szCs w:val="24"/>
        </w:rPr>
      </w:pPr>
      <w:r>
        <w:rPr>
          <w:rFonts w:cs="Arial"/>
          <w:szCs w:val="24"/>
        </w:rPr>
        <w:t>In Eversource territory, so long as the battery is part of the interconnection application, they can apply once and energize the solar system regardless of whether the battery is installed.  In UI territory, however, they have to file a second application if they do not have the battery installed but still want to energize the solar system</w:t>
      </w:r>
    </w:p>
    <w:p w14:paraId="2EBA9B6E" w14:textId="50D66833" w:rsidR="00AD1C92" w:rsidRDefault="00AD1C92" w:rsidP="00AD1C92">
      <w:pPr>
        <w:pStyle w:val="ListParagraph"/>
        <w:numPr>
          <w:ilvl w:val="0"/>
          <w:numId w:val="32"/>
        </w:numPr>
        <w:jc w:val="both"/>
        <w:rPr>
          <w:rFonts w:cs="Arial"/>
          <w:szCs w:val="24"/>
        </w:rPr>
      </w:pPr>
      <w:r>
        <w:rPr>
          <w:rFonts w:cs="Arial"/>
          <w:szCs w:val="24"/>
        </w:rPr>
        <w:t>UI does not issue approval for a partial system; Eversource does not share these concerns, but notes that some municipal inspectors may not approve an incomplete system</w:t>
      </w:r>
    </w:p>
    <w:p w14:paraId="4C684E15" w14:textId="0608E166" w:rsidR="00AD1C92" w:rsidRDefault="00AD1C92" w:rsidP="00AD1C92">
      <w:pPr>
        <w:pStyle w:val="ListParagraph"/>
        <w:numPr>
          <w:ilvl w:val="0"/>
          <w:numId w:val="32"/>
        </w:numPr>
        <w:jc w:val="both"/>
        <w:rPr>
          <w:rFonts w:cs="Arial"/>
          <w:szCs w:val="24"/>
        </w:rPr>
      </w:pPr>
      <w:r>
        <w:rPr>
          <w:rFonts w:cs="Arial"/>
          <w:szCs w:val="24"/>
        </w:rPr>
        <w:t xml:space="preserve">Tom </w:t>
      </w:r>
      <w:proofErr w:type="spellStart"/>
      <w:r>
        <w:rPr>
          <w:rFonts w:cs="Arial"/>
          <w:szCs w:val="24"/>
        </w:rPr>
        <w:t>Melone</w:t>
      </w:r>
      <w:proofErr w:type="spellEnd"/>
      <w:r>
        <w:rPr>
          <w:rFonts w:cs="Arial"/>
          <w:szCs w:val="24"/>
        </w:rPr>
        <w:t xml:space="preserve"> stated that the Eversource position is consistent with FERC rules in that the system operating at a lower than approved size would not be a material modification</w:t>
      </w:r>
    </w:p>
    <w:p w14:paraId="1DBBC8D1" w14:textId="7BF31642" w:rsidR="00AD1C92" w:rsidRPr="00AD1C92" w:rsidRDefault="00EC0C1D" w:rsidP="00AD1C92">
      <w:pPr>
        <w:pStyle w:val="ListParagraph"/>
        <w:numPr>
          <w:ilvl w:val="0"/>
          <w:numId w:val="32"/>
        </w:numPr>
        <w:jc w:val="both"/>
        <w:rPr>
          <w:rFonts w:cs="Arial"/>
          <w:szCs w:val="24"/>
        </w:rPr>
      </w:pPr>
      <w:r>
        <w:rPr>
          <w:rFonts w:cs="Arial"/>
          <w:szCs w:val="24"/>
        </w:rPr>
        <w:t>Zak suggested that UI discuss its stance with Eversource to see if they could reach a common approach</w:t>
      </w:r>
      <w:bookmarkStart w:id="0" w:name="_GoBack"/>
      <w:bookmarkEnd w:id="0"/>
    </w:p>
    <w:p w14:paraId="3DAC83D3" w14:textId="7DEAA872" w:rsidR="004E6C31" w:rsidRDefault="004E6C31" w:rsidP="00126A02">
      <w:pPr>
        <w:jc w:val="both"/>
        <w:rPr>
          <w:rFonts w:cs="Arial"/>
          <w:b/>
          <w:szCs w:val="24"/>
        </w:rPr>
      </w:pPr>
    </w:p>
    <w:p w14:paraId="2E4D2509" w14:textId="77777777" w:rsidR="00AD1C92" w:rsidRDefault="00AD1C92" w:rsidP="00126A02">
      <w:pPr>
        <w:jc w:val="both"/>
        <w:rPr>
          <w:rFonts w:cs="Arial"/>
          <w:b/>
          <w:szCs w:val="24"/>
        </w:rPr>
      </w:pPr>
    </w:p>
    <w:p w14:paraId="3244BFFB" w14:textId="77777777" w:rsidR="00336B04" w:rsidRPr="00336B04" w:rsidRDefault="00336B04" w:rsidP="00336B04">
      <w:pPr>
        <w:pStyle w:val="ListParagraph"/>
        <w:jc w:val="both"/>
        <w:rPr>
          <w:rFonts w:cs="Arial"/>
          <w:szCs w:val="24"/>
          <w:u w:val="single"/>
        </w:rPr>
      </w:pPr>
    </w:p>
    <w:sectPr w:rsidR="00336B04" w:rsidRPr="00336B04" w:rsidSect="0067222B">
      <w:footerReference w:type="first" r:id="rId12"/>
      <w:pgSz w:w="12240" w:h="15840" w:code="1"/>
      <w:pgMar w:top="1440" w:right="1440" w:bottom="1440" w:left="1440" w:header="720" w:footer="720" w:gutter="0"/>
      <w:paperSrc w:first="3" w:other="3"/>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AB68E" w14:textId="77777777" w:rsidR="00687202" w:rsidRDefault="00687202" w:rsidP="00327991">
      <w:r>
        <w:separator/>
      </w:r>
    </w:p>
  </w:endnote>
  <w:endnote w:type="continuationSeparator" w:id="0">
    <w:p w14:paraId="22AA5F56" w14:textId="77777777" w:rsidR="00687202" w:rsidRDefault="00687202" w:rsidP="00327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AngsanaUPC">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F7418" w14:textId="77777777" w:rsidR="007A3192" w:rsidRPr="0067222B" w:rsidRDefault="007A3192" w:rsidP="00680B7C">
    <w:pPr>
      <w:tabs>
        <w:tab w:val="center" w:pos="4680"/>
        <w:tab w:val="right" w:pos="9360"/>
      </w:tabs>
      <w:jc w:val="center"/>
      <w:rPr>
        <w:rFonts w:ascii="Bodoni MT" w:hAnsi="Bodoni MT" w:cs="AngsanaUPC"/>
        <w:b/>
        <w:color w:val="1F497D"/>
        <w:sz w:val="20"/>
        <w:szCs w:val="20"/>
      </w:rPr>
    </w:pPr>
    <w:r w:rsidRPr="0067222B">
      <w:rPr>
        <w:rFonts w:ascii="Bodoni MT" w:hAnsi="Bodoni MT" w:cs="AngsanaUPC"/>
        <w:b/>
        <w:color w:val="1F497D"/>
        <w:sz w:val="20"/>
        <w:szCs w:val="20"/>
      </w:rPr>
      <w:t>10 Franklin Square, New Britain, CT 06051</w:t>
    </w:r>
  </w:p>
  <w:p w14:paraId="5EA571FE" w14:textId="77777777" w:rsidR="007A3192" w:rsidRPr="009200CE" w:rsidRDefault="007A3192" w:rsidP="00680B7C">
    <w:pPr>
      <w:tabs>
        <w:tab w:val="center" w:pos="4680"/>
        <w:tab w:val="right" w:pos="9360"/>
      </w:tabs>
      <w:jc w:val="center"/>
      <w:rPr>
        <w:rFonts w:ascii="Bodoni MT" w:hAnsi="Bodoni MT"/>
        <w:color w:val="1F497D"/>
        <w:sz w:val="18"/>
        <w:szCs w:val="18"/>
      </w:rPr>
    </w:pPr>
    <w:r w:rsidRPr="009200CE">
      <w:rPr>
        <w:rFonts w:ascii="Bodoni MT" w:hAnsi="Bodoni MT"/>
        <w:color w:val="1F497D"/>
        <w:sz w:val="18"/>
        <w:szCs w:val="18"/>
      </w:rPr>
      <w:t>An Equal Opportunity Employer</w:t>
    </w:r>
  </w:p>
  <w:p w14:paraId="0C12FCBC" w14:textId="77777777" w:rsidR="007A3192" w:rsidRPr="0067222B" w:rsidRDefault="007A3192" w:rsidP="0067222B">
    <w:pPr>
      <w:tabs>
        <w:tab w:val="center" w:pos="4680"/>
        <w:tab w:val="right" w:pos="9360"/>
      </w:tabs>
      <w:jc w:val="center"/>
      <w:rPr>
        <w:rFonts w:ascii="Bodoni MT" w:hAnsi="Bodoni MT"/>
        <w:color w:val="1F497D"/>
        <w:sz w:val="18"/>
        <w:szCs w:val="18"/>
      </w:rPr>
    </w:pPr>
    <w:r>
      <w:rPr>
        <w:rFonts w:ascii="Bodoni MT" w:hAnsi="Bodoni MT"/>
        <w:color w:val="1F497D"/>
        <w:sz w:val="18"/>
        <w:szCs w:val="18"/>
      </w:rPr>
      <w:t>www.ct.gov/pura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9D0568" w14:textId="77777777" w:rsidR="00687202" w:rsidRDefault="00687202" w:rsidP="00327991">
      <w:r>
        <w:separator/>
      </w:r>
    </w:p>
  </w:footnote>
  <w:footnote w:type="continuationSeparator" w:id="0">
    <w:p w14:paraId="45D4372B" w14:textId="77777777" w:rsidR="00687202" w:rsidRDefault="00687202" w:rsidP="003279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01F26176"/>
    <w:multiLevelType w:val="hybridMultilevel"/>
    <w:tmpl w:val="73ACF2FC"/>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15:restartNumberingAfterBreak="0">
    <w:nsid w:val="036745A3"/>
    <w:multiLevelType w:val="hybridMultilevel"/>
    <w:tmpl w:val="51D4B3B6"/>
    <w:lvl w:ilvl="0" w:tplc="200824C8">
      <w:numFmt w:val="bullet"/>
      <w:lvlText w:val="-"/>
      <w:lvlJc w:val="left"/>
      <w:pPr>
        <w:ind w:left="3240" w:hanging="360"/>
      </w:pPr>
      <w:rPr>
        <w:rFonts w:ascii="Arial" w:eastAsia="Calibri" w:hAnsi="Arial"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051C4076"/>
    <w:multiLevelType w:val="multilevel"/>
    <w:tmpl w:val="66BC9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46702D"/>
    <w:multiLevelType w:val="hybridMultilevel"/>
    <w:tmpl w:val="692671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CA0C44"/>
    <w:multiLevelType w:val="hybridMultilevel"/>
    <w:tmpl w:val="82EE5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9B2321"/>
    <w:multiLevelType w:val="hybridMultilevel"/>
    <w:tmpl w:val="DA7C7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93DFF"/>
    <w:multiLevelType w:val="hybridMultilevel"/>
    <w:tmpl w:val="4C142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C55F92"/>
    <w:multiLevelType w:val="hybridMultilevel"/>
    <w:tmpl w:val="50BA4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5F77BC"/>
    <w:multiLevelType w:val="hybridMultilevel"/>
    <w:tmpl w:val="4D7CE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E16975"/>
    <w:multiLevelType w:val="hybridMultilevel"/>
    <w:tmpl w:val="D9425F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AE96C1C"/>
    <w:multiLevelType w:val="hybridMultilevel"/>
    <w:tmpl w:val="88689B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5327938"/>
    <w:multiLevelType w:val="hybridMultilevel"/>
    <w:tmpl w:val="7C5A0CCE"/>
    <w:lvl w:ilvl="0" w:tplc="281C33F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DDA1BF3"/>
    <w:multiLevelType w:val="hybridMultilevel"/>
    <w:tmpl w:val="EE6C6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DE3116"/>
    <w:multiLevelType w:val="hybridMultilevel"/>
    <w:tmpl w:val="4AC85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DE4430"/>
    <w:multiLevelType w:val="multilevel"/>
    <w:tmpl w:val="44C46ECA"/>
    <w:styleLink w:val="Decision"/>
    <w:lvl w:ilvl="0">
      <w:start w:val="1"/>
      <w:numFmt w:val="upperRoman"/>
      <w:pStyle w:val="Heading1"/>
      <w:lvlText w:val="%1."/>
      <w:lvlJc w:val="left"/>
      <w:pPr>
        <w:tabs>
          <w:tab w:val="num" w:pos="360"/>
        </w:tabs>
        <w:ind w:left="0" w:firstLine="0"/>
      </w:pPr>
      <w:rPr>
        <w:rFonts w:hint="default"/>
        <w:sz w:val="24"/>
      </w:rPr>
    </w:lvl>
    <w:lvl w:ilvl="1">
      <w:start w:val="1"/>
      <w:numFmt w:val="upperLetter"/>
      <w:pStyle w:val="Heading2"/>
      <w:lvlText w:val="%2."/>
      <w:lvlJc w:val="left"/>
      <w:pPr>
        <w:tabs>
          <w:tab w:val="num" w:pos="1350"/>
        </w:tabs>
        <w:ind w:left="990" w:hanging="72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lowerRoman"/>
      <w:pStyle w:val="Heading5"/>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505E5E8D"/>
    <w:multiLevelType w:val="hybridMultilevel"/>
    <w:tmpl w:val="1BB68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A35681"/>
    <w:multiLevelType w:val="hybridMultilevel"/>
    <w:tmpl w:val="D318E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EA6503"/>
    <w:multiLevelType w:val="hybridMultilevel"/>
    <w:tmpl w:val="D3E2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B5387C"/>
    <w:multiLevelType w:val="hybridMultilevel"/>
    <w:tmpl w:val="422046FC"/>
    <w:lvl w:ilvl="0" w:tplc="281C33F4">
      <w:numFmt w:val="bullet"/>
      <w:lvlText w:val="-"/>
      <w:lvlJc w:val="left"/>
      <w:pPr>
        <w:ind w:left="3240" w:hanging="360"/>
      </w:pPr>
      <w:rPr>
        <w:rFonts w:ascii="Arial" w:eastAsiaTheme="minorHAnsi" w:hAnsi="Arial"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0" w15:restartNumberingAfterBreak="0">
    <w:nsid w:val="58C70ED7"/>
    <w:multiLevelType w:val="multilevel"/>
    <w:tmpl w:val="103A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7CD5F15"/>
    <w:multiLevelType w:val="multilevel"/>
    <w:tmpl w:val="E1DEA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4C73F5"/>
    <w:multiLevelType w:val="hybridMultilevel"/>
    <w:tmpl w:val="7DACA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607431"/>
    <w:multiLevelType w:val="hybridMultilevel"/>
    <w:tmpl w:val="88443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2500A3"/>
    <w:multiLevelType w:val="hybridMultilevel"/>
    <w:tmpl w:val="4258B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F70E93"/>
    <w:multiLevelType w:val="hybridMultilevel"/>
    <w:tmpl w:val="F834A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C41CFD"/>
    <w:multiLevelType w:val="hybridMultilevel"/>
    <w:tmpl w:val="ECD066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C76848"/>
    <w:multiLevelType w:val="hybridMultilevel"/>
    <w:tmpl w:val="9BF8F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622645"/>
    <w:multiLevelType w:val="hybridMultilevel"/>
    <w:tmpl w:val="C8D2A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6C7369"/>
    <w:multiLevelType w:val="hybridMultilevel"/>
    <w:tmpl w:val="9342C2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411CAB"/>
    <w:multiLevelType w:val="hybridMultilevel"/>
    <w:tmpl w:val="2A382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5"/>
  </w:num>
  <w:num w:numId="3">
    <w:abstractNumId w:val="26"/>
  </w:num>
  <w:num w:numId="4">
    <w:abstractNumId w:val="12"/>
  </w:num>
  <w:num w:numId="5">
    <w:abstractNumId w:val="0"/>
    <w:lvlOverride w:ilvl="0">
      <w:startOverride w:val="1"/>
      <w:lvl w:ilvl="0">
        <w:start w:val="1"/>
        <w:numFmt w:val="decimal"/>
        <w:pStyle w:val="Quick1"/>
        <w:lvlText w:val="%1."/>
        <w:lvlJc w:val="left"/>
      </w:lvl>
    </w:lvlOverride>
  </w:num>
  <w:num w:numId="6">
    <w:abstractNumId w:val="14"/>
  </w:num>
  <w:num w:numId="7">
    <w:abstractNumId w:val="28"/>
  </w:num>
  <w:num w:numId="8">
    <w:abstractNumId w:val="6"/>
  </w:num>
  <w:num w:numId="9">
    <w:abstractNumId w:val="18"/>
  </w:num>
  <w:num w:numId="10">
    <w:abstractNumId w:val="17"/>
  </w:num>
  <w:num w:numId="11">
    <w:abstractNumId w:val="27"/>
  </w:num>
  <w:num w:numId="12">
    <w:abstractNumId w:val="25"/>
  </w:num>
  <w:num w:numId="13">
    <w:abstractNumId w:val="2"/>
  </w:num>
  <w:num w:numId="14">
    <w:abstractNumId w:val="21"/>
  </w:num>
  <w:num w:numId="15">
    <w:abstractNumId w:val="20"/>
  </w:num>
  <w:num w:numId="16">
    <w:abstractNumId w:val="3"/>
  </w:num>
  <w:num w:numId="17">
    <w:abstractNumId w:val="23"/>
  </w:num>
  <w:num w:numId="18">
    <w:abstractNumId w:val="16"/>
  </w:num>
  <w:num w:numId="19">
    <w:abstractNumId w:val="1"/>
  </w:num>
  <w:num w:numId="20">
    <w:abstractNumId w:val="19"/>
  </w:num>
  <w:num w:numId="21">
    <w:abstractNumId w:val="11"/>
  </w:num>
  <w:num w:numId="22">
    <w:abstractNumId w:val="7"/>
  </w:num>
  <w:num w:numId="23">
    <w:abstractNumId w:val="30"/>
  </w:num>
  <w:num w:numId="24">
    <w:abstractNumId w:val="5"/>
  </w:num>
  <w:num w:numId="25">
    <w:abstractNumId w:val="29"/>
  </w:num>
  <w:num w:numId="26">
    <w:abstractNumId w:val="10"/>
  </w:num>
  <w:num w:numId="27">
    <w:abstractNumId w:val="4"/>
  </w:num>
  <w:num w:numId="28">
    <w:abstractNumId w:val="9"/>
  </w:num>
  <w:num w:numId="29">
    <w:abstractNumId w:val="22"/>
  </w:num>
  <w:num w:numId="30">
    <w:abstractNumId w:val="8"/>
  </w:num>
  <w:num w:numId="31">
    <w:abstractNumId w:val="24"/>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A02"/>
    <w:rsid w:val="00004F7C"/>
    <w:rsid w:val="00011B6C"/>
    <w:rsid w:val="00013AF6"/>
    <w:rsid w:val="00016489"/>
    <w:rsid w:val="00030F6A"/>
    <w:rsid w:val="0004217E"/>
    <w:rsid w:val="00055A8B"/>
    <w:rsid w:val="000756BF"/>
    <w:rsid w:val="000773DA"/>
    <w:rsid w:val="000801B8"/>
    <w:rsid w:val="00081B26"/>
    <w:rsid w:val="00083166"/>
    <w:rsid w:val="00084364"/>
    <w:rsid w:val="00093D63"/>
    <w:rsid w:val="000A613A"/>
    <w:rsid w:val="000A77D2"/>
    <w:rsid w:val="000B5E67"/>
    <w:rsid w:val="000D58E6"/>
    <w:rsid w:val="000E54CF"/>
    <w:rsid w:val="00100ADE"/>
    <w:rsid w:val="0010296C"/>
    <w:rsid w:val="00103775"/>
    <w:rsid w:val="0011108E"/>
    <w:rsid w:val="001140C0"/>
    <w:rsid w:val="00116DE4"/>
    <w:rsid w:val="00124B5C"/>
    <w:rsid w:val="00126A02"/>
    <w:rsid w:val="00132E6C"/>
    <w:rsid w:val="00134972"/>
    <w:rsid w:val="00141745"/>
    <w:rsid w:val="00151031"/>
    <w:rsid w:val="00152A4A"/>
    <w:rsid w:val="00156E59"/>
    <w:rsid w:val="00165354"/>
    <w:rsid w:val="00166334"/>
    <w:rsid w:val="0016637C"/>
    <w:rsid w:val="0018405E"/>
    <w:rsid w:val="001840EA"/>
    <w:rsid w:val="001A1782"/>
    <w:rsid w:val="001A2A63"/>
    <w:rsid w:val="001A534F"/>
    <w:rsid w:val="001A5AB8"/>
    <w:rsid w:val="001B10ED"/>
    <w:rsid w:val="001B6D95"/>
    <w:rsid w:val="001B7D77"/>
    <w:rsid w:val="001C6AA1"/>
    <w:rsid w:val="001E12AB"/>
    <w:rsid w:val="001E7BF2"/>
    <w:rsid w:val="001F2792"/>
    <w:rsid w:val="00201472"/>
    <w:rsid w:val="002262A1"/>
    <w:rsid w:val="00255DC5"/>
    <w:rsid w:val="00280AC2"/>
    <w:rsid w:val="00282546"/>
    <w:rsid w:val="0028491F"/>
    <w:rsid w:val="002A0AB9"/>
    <w:rsid w:val="002A5ED9"/>
    <w:rsid w:val="002A6F77"/>
    <w:rsid w:val="002A7193"/>
    <w:rsid w:val="002B25E0"/>
    <w:rsid w:val="002B5E27"/>
    <w:rsid w:val="002B6CAE"/>
    <w:rsid w:val="002C267A"/>
    <w:rsid w:val="002C5FFD"/>
    <w:rsid w:val="002D1E9B"/>
    <w:rsid w:val="002D2E71"/>
    <w:rsid w:val="002E1D3C"/>
    <w:rsid w:val="002F162B"/>
    <w:rsid w:val="002F6A85"/>
    <w:rsid w:val="00325A95"/>
    <w:rsid w:val="00327991"/>
    <w:rsid w:val="00331438"/>
    <w:rsid w:val="00335923"/>
    <w:rsid w:val="00336B04"/>
    <w:rsid w:val="00337AEA"/>
    <w:rsid w:val="0034500B"/>
    <w:rsid w:val="00346B97"/>
    <w:rsid w:val="003506F4"/>
    <w:rsid w:val="00351CE5"/>
    <w:rsid w:val="00353B8D"/>
    <w:rsid w:val="00354FA1"/>
    <w:rsid w:val="00354FF0"/>
    <w:rsid w:val="003561F1"/>
    <w:rsid w:val="00356939"/>
    <w:rsid w:val="00365121"/>
    <w:rsid w:val="00372F44"/>
    <w:rsid w:val="00376609"/>
    <w:rsid w:val="00383349"/>
    <w:rsid w:val="00383F95"/>
    <w:rsid w:val="00384372"/>
    <w:rsid w:val="00397B63"/>
    <w:rsid w:val="003A094D"/>
    <w:rsid w:val="003A18CB"/>
    <w:rsid w:val="003A7383"/>
    <w:rsid w:val="003B0613"/>
    <w:rsid w:val="003B425F"/>
    <w:rsid w:val="003C2E7E"/>
    <w:rsid w:val="003D0D0E"/>
    <w:rsid w:val="003D325D"/>
    <w:rsid w:val="00426E4D"/>
    <w:rsid w:val="00434A1B"/>
    <w:rsid w:val="0043679C"/>
    <w:rsid w:val="004408CB"/>
    <w:rsid w:val="00440FF7"/>
    <w:rsid w:val="00467E6A"/>
    <w:rsid w:val="004A1200"/>
    <w:rsid w:val="004B5283"/>
    <w:rsid w:val="004C0DF5"/>
    <w:rsid w:val="004C34DA"/>
    <w:rsid w:val="004C4771"/>
    <w:rsid w:val="004D1AFF"/>
    <w:rsid w:val="004E15E0"/>
    <w:rsid w:val="004E35C6"/>
    <w:rsid w:val="004E67C1"/>
    <w:rsid w:val="004E6C31"/>
    <w:rsid w:val="004E75FF"/>
    <w:rsid w:val="004F10AE"/>
    <w:rsid w:val="004F4298"/>
    <w:rsid w:val="004F6183"/>
    <w:rsid w:val="005046D3"/>
    <w:rsid w:val="00506BA3"/>
    <w:rsid w:val="00540C90"/>
    <w:rsid w:val="00552D3F"/>
    <w:rsid w:val="0055444A"/>
    <w:rsid w:val="0056049A"/>
    <w:rsid w:val="005637FB"/>
    <w:rsid w:val="005653A2"/>
    <w:rsid w:val="00576A79"/>
    <w:rsid w:val="00577D4C"/>
    <w:rsid w:val="0058123A"/>
    <w:rsid w:val="00593418"/>
    <w:rsid w:val="00593B8B"/>
    <w:rsid w:val="005A29A0"/>
    <w:rsid w:val="005A2DDB"/>
    <w:rsid w:val="005A7669"/>
    <w:rsid w:val="005B7A46"/>
    <w:rsid w:val="005C670B"/>
    <w:rsid w:val="005D76C6"/>
    <w:rsid w:val="005E29EF"/>
    <w:rsid w:val="005E599B"/>
    <w:rsid w:val="005F0251"/>
    <w:rsid w:val="005F2F6F"/>
    <w:rsid w:val="005F3C90"/>
    <w:rsid w:val="005F7A09"/>
    <w:rsid w:val="00605397"/>
    <w:rsid w:val="006274EC"/>
    <w:rsid w:val="00631E03"/>
    <w:rsid w:val="00643D71"/>
    <w:rsid w:val="00644830"/>
    <w:rsid w:val="006456CE"/>
    <w:rsid w:val="0065074E"/>
    <w:rsid w:val="0065120E"/>
    <w:rsid w:val="00656665"/>
    <w:rsid w:val="00664F63"/>
    <w:rsid w:val="00670A31"/>
    <w:rsid w:val="00671846"/>
    <w:rsid w:val="0067222B"/>
    <w:rsid w:val="00676F0E"/>
    <w:rsid w:val="00677719"/>
    <w:rsid w:val="00680B7C"/>
    <w:rsid w:val="00681341"/>
    <w:rsid w:val="00681487"/>
    <w:rsid w:val="006817FF"/>
    <w:rsid w:val="00687202"/>
    <w:rsid w:val="00687235"/>
    <w:rsid w:val="00691508"/>
    <w:rsid w:val="0069356B"/>
    <w:rsid w:val="00695AFC"/>
    <w:rsid w:val="006A1AEB"/>
    <w:rsid w:val="006A1E14"/>
    <w:rsid w:val="006A28F0"/>
    <w:rsid w:val="006A5563"/>
    <w:rsid w:val="006A798C"/>
    <w:rsid w:val="006B0B58"/>
    <w:rsid w:val="006B67EE"/>
    <w:rsid w:val="006C34B6"/>
    <w:rsid w:val="006C5B2F"/>
    <w:rsid w:val="006C7FDA"/>
    <w:rsid w:val="006E2647"/>
    <w:rsid w:val="006E2CF3"/>
    <w:rsid w:val="006F1E1D"/>
    <w:rsid w:val="006F5C1D"/>
    <w:rsid w:val="007338BA"/>
    <w:rsid w:val="00737564"/>
    <w:rsid w:val="00737C20"/>
    <w:rsid w:val="00737EF8"/>
    <w:rsid w:val="007406B8"/>
    <w:rsid w:val="00746776"/>
    <w:rsid w:val="00752BC4"/>
    <w:rsid w:val="00754D1A"/>
    <w:rsid w:val="00770A31"/>
    <w:rsid w:val="00780B5A"/>
    <w:rsid w:val="007825DB"/>
    <w:rsid w:val="00782A51"/>
    <w:rsid w:val="0078501F"/>
    <w:rsid w:val="00796042"/>
    <w:rsid w:val="007A3192"/>
    <w:rsid w:val="007A4C07"/>
    <w:rsid w:val="007A63CC"/>
    <w:rsid w:val="007A6439"/>
    <w:rsid w:val="007B2F17"/>
    <w:rsid w:val="007C2627"/>
    <w:rsid w:val="007C5B8A"/>
    <w:rsid w:val="007C7627"/>
    <w:rsid w:val="007C7898"/>
    <w:rsid w:val="007C7AA7"/>
    <w:rsid w:val="007D30C9"/>
    <w:rsid w:val="007D51DD"/>
    <w:rsid w:val="007E0A18"/>
    <w:rsid w:val="007E221A"/>
    <w:rsid w:val="007E36E2"/>
    <w:rsid w:val="00803E2C"/>
    <w:rsid w:val="00807ED6"/>
    <w:rsid w:val="00810E21"/>
    <w:rsid w:val="0081277D"/>
    <w:rsid w:val="0082310B"/>
    <w:rsid w:val="008248D3"/>
    <w:rsid w:val="00834BCC"/>
    <w:rsid w:val="0084017E"/>
    <w:rsid w:val="008417F4"/>
    <w:rsid w:val="008620BA"/>
    <w:rsid w:val="00867BC1"/>
    <w:rsid w:val="00875237"/>
    <w:rsid w:val="00882F45"/>
    <w:rsid w:val="00886E8F"/>
    <w:rsid w:val="00895934"/>
    <w:rsid w:val="008A3873"/>
    <w:rsid w:val="008A402F"/>
    <w:rsid w:val="008B204E"/>
    <w:rsid w:val="008B38F9"/>
    <w:rsid w:val="008C5307"/>
    <w:rsid w:val="008C7F73"/>
    <w:rsid w:val="008D1641"/>
    <w:rsid w:val="008D7E56"/>
    <w:rsid w:val="008E151E"/>
    <w:rsid w:val="00900BC8"/>
    <w:rsid w:val="00913981"/>
    <w:rsid w:val="00913C44"/>
    <w:rsid w:val="009200CE"/>
    <w:rsid w:val="009232E1"/>
    <w:rsid w:val="0092597C"/>
    <w:rsid w:val="00927F0C"/>
    <w:rsid w:val="00936856"/>
    <w:rsid w:val="00941C1F"/>
    <w:rsid w:val="00951FE4"/>
    <w:rsid w:val="00953080"/>
    <w:rsid w:val="009546C2"/>
    <w:rsid w:val="00975AC5"/>
    <w:rsid w:val="00982FCB"/>
    <w:rsid w:val="00983C3E"/>
    <w:rsid w:val="00990E84"/>
    <w:rsid w:val="009971A8"/>
    <w:rsid w:val="009A6920"/>
    <w:rsid w:val="009B64F1"/>
    <w:rsid w:val="009D4730"/>
    <w:rsid w:val="009E06D8"/>
    <w:rsid w:val="009E3479"/>
    <w:rsid w:val="00A07C1A"/>
    <w:rsid w:val="00A14AB3"/>
    <w:rsid w:val="00A1797B"/>
    <w:rsid w:val="00A24230"/>
    <w:rsid w:val="00A417E6"/>
    <w:rsid w:val="00A4266A"/>
    <w:rsid w:val="00A437A7"/>
    <w:rsid w:val="00A506EF"/>
    <w:rsid w:val="00A7057F"/>
    <w:rsid w:val="00A70EAE"/>
    <w:rsid w:val="00A82579"/>
    <w:rsid w:val="00A86777"/>
    <w:rsid w:val="00AD1C92"/>
    <w:rsid w:val="00AD3F46"/>
    <w:rsid w:val="00AD51B3"/>
    <w:rsid w:val="00AE7C0B"/>
    <w:rsid w:val="00AF26CB"/>
    <w:rsid w:val="00B00091"/>
    <w:rsid w:val="00B05EFD"/>
    <w:rsid w:val="00B0702E"/>
    <w:rsid w:val="00B07AE3"/>
    <w:rsid w:val="00B13BBB"/>
    <w:rsid w:val="00B26312"/>
    <w:rsid w:val="00B305D4"/>
    <w:rsid w:val="00B40579"/>
    <w:rsid w:val="00B4124C"/>
    <w:rsid w:val="00B426F2"/>
    <w:rsid w:val="00B535DD"/>
    <w:rsid w:val="00B53F4A"/>
    <w:rsid w:val="00B72787"/>
    <w:rsid w:val="00B9109F"/>
    <w:rsid w:val="00BA1D64"/>
    <w:rsid w:val="00BA27DD"/>
    <w:rsid w:val="00BA74F2"/>
    <w:rsid w:val="00BB2CC7"/>
    <w:rsid w:val="00BC35C6"/>
    <w:rsid w:val="00BC6E56"/>
    <w:rsid w:val="00BC7227"/>
    <w:rsid w:val="00BC79CE"/>
    <w:rsid w:val="00BD158A"/>
    <w:rsid w:val="00BD4DEB"/>
    <w:rsid w:val="00BD5BA2"/>
    <w:rsid w:val="00BE1A70"/>
    <w:rsid w:val="00BE2076"/>
    <w:rsid w:val="00BF0AAC"/>
    <w:rsid w:val="00C136DC"/>
    <w:rsid w:val="00C300B5"/>
    <w:rsid w:val="00C373A2"/>
    <w:rsid w:val="00C4198A"/>
    <w:rsid w:val="00C442C2"/>
    <w:rsid w:val="00C53C24"/>
    <w:rsid w:val="00C5773E"/>
    <w:rsid w:val="00C60889"/>
    <w:rsid w:val="00C7111C"/>
    <w:rsid w:val="00C73CE7"/>
    <w:rsid w:val="00C73E26"/>
    <w:rsid w:val="00C7727B"/>
    <w:rsid w:val="00C83075"/>
    <w:rsid w:val="00C96DC0"/>
    <w:rsid w:val="00CA1F38"/>
    <w:rsid w:val="00CA22C5"/>
    <w:rsid w:val="00CA3986"/>
    <w:rsid w:val="00CD3700"/>
    <w:rsid w:val="00CD5159"/>
    <w:rsid w:val="00CF1F3F"/>
    <w:rsid w:val="00CF667B"/>
    <w:rsid w:val="00D006F6"/>
    <w:rsid w:val="00D21D01"/>
    <w:rsid w:val="00D27733"/>
    <w:rsid w:val="00D3222C"/>
    <w:rsid w:val="00D4046E"/>
    <w:rsid w:val="00D460F6"/>
    <w:rsid w:val="00D53874"/>
    <w:rsid w:val="00D64765"/>
    <w:rsid w:val="00D6606C"/>
    <w:rsid w:val="00D84D14"/>
    <w:rsid w:val="00D85A3A"/>
    <w:rsid w:val="00D85E39"/>
    <w:rsid w:val="00D86EA9"/>
    <w:rsid w:val="00D969F3"/>
    <w:rsid w:val="00DA2309"/>
    <w:rsid w:val="00DB448B"/>
    <w:rsid w:val="00DC68AF"/>
    <w:rsid w:val="00DC6D40"/>
    <w:rsid w:val="00DD1059"/>
    <w:rsid w:val="00DD735D"/>
    <w:rsid w:val="00DE0E38"/>
    <w:rsid w:val="00DE7308"/>
    <w:rsid w:val="00DF5F8D"/>
    <w:rsid w:val="00DF7EF5"/>
    <w:rsid w:val="00E048E2"/>
    <w:rsid w:val="00E04E83"/>
    <w:rsid w:val="00E05B48"/>
    <w:rsid w:val="00E06D85"/>
    <w:rsid w:val="00E2447C"/>
    <w:rsid w:val="00E306C8"/>
    <w:rsid w:val="00E553DF"/>
    <w:rsid w:val="00E6086B"/>
    <w:rsid w:val="00E70117"/>
    <w:rsid w:val="00E8255A"/>
    <w:rsid w:val="00E873AE"/>
    <w:rsid w:val="00E91AA6"/>
    <w:rsid w:val="00E95DDC"/>
    <w:rsid w:val="00E970D1"/>
    <w:rsid w:val="00EA0ECC"/>
    <w:rsid w:val="00EA6F0E"/>
    <w:rsid w:val="00EC0C1D"/>
    <w:rsid w:val="00EC0D27"/>
    <w:rsid w:val="00EC0DF7"/>
    <w:rsid w:val="00EC103F"/>
    <w:rsid w:val="00EC295A"/>
    <w:rsid w:val="00EC7A55"/>
    <w:rsid w:val="00ED0239"/>
    <w:rsid w:val="00ED7FF2"/>
    <w:rsid w:val="00EF40C8"/>
    <w:rsid w:val="00EF79FB"/>
    <w:rsid w:val="00F06C93"/>
    <w:rsid w:val="00F10EFF"/>
    <w:rsid w:val="00F302A9"/>
    <w:rsid w:val="00F32FE2"/>
    <w:rsid w:val="00F45502"/>
    <w:rsid w:val="00F47293"/>
    <w:rsid w:val="00F72437"/>
    <w:rsid w:val="00F74194"/>
    <w:rsid w:val="00F810F2"/>
    <w:rsid w:val="00F93AE5"/>
    <w:rsid w:val="00F94511"/>
    <w:rsid w:val="00F960B5"/>
    <w:rsid w:val="00FA59F1"/>
    <w:rsid w:val="00FB0E70"/>
    <w:rsid w:val="00FB1867"/>
    <w:rsid w:val="00FB6A85"/>
    <w:rsid w:val="00FB7E2D"/>
    <w:rsid w:val="00FC4404"/>
    <w:rsid w:val="00FC77A5"/>
    <w:rsid w:val="00FD7B4B"/>
    <w:rsid w:val="00FF18CF"/>
    <w:rsid w:val="01845703"/>
    <w:rsid w:val="1C498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5E9B5"/>
  <w15:docId w15:val="{5CBD79A3-63F9-47D3-88A7-E87908503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00CE"/>
    <w:rPr>
      <w:rFonts w:ascii="Arial" w:hAnsi="Arial"/>
      <w:sz w:val="24"/>
      <w:szCs w:val="22"/>
    </w:rPr>
  </w:style>
  <w:style w:type="paragraph" w:styleId="Heading1">
    <w:name w:val="heading 1"/>
    <w:basedOn w:val="Normal"/>
    <w:next w:val="Normal"/>
    <w:link w:val="Heading1Char"/>
    <w:qFormat/>
    <w:rsid w:val="00016489"/>
    <w:pPr>
      <w:numPr>
        <w:numId w:val="1"/>
      </w:numPr>
      <w:tabs>
        <w:tab w:val="left" w:pos="720"/>
      </w:tabs>
      <w:jc w:val="both"/>
      <w:outlineLvl w:val="0"/>
    </w:pPr>
    <w:rPr>
      <w:rFonts w:eastAsia="Times New Roman"/>
      <w:b/>
      <w:caps/>
      <w:szCs w:val="20"/>
    </w:rPr>
  </w:style>
  <w:style w:type="paragraph" w:styleId="Heading2">
    <w:name w:val="heading 2"/>
    <w:basedOn w:val="Normal"/>
    <w:next w:val="Normal"/>
    <w:link w:val="Heading2Char"/>
    <w:qFormat/>
    <w:rsid w:val="00016489"/>
    <w:pPr>
      <w:numPr>
        <w:ilvl w:val="1"/>
        <w:numId w:val="1"/>
      </w:numPr>
      <w:tabs>
        <w:tab w:val="left" w:pos="720"/>
      </w:tabs>
      <w:jc w:val="both"/>
      <w:outlineLvl w:val="1"/>
    </w:pPr>
    <w:rPr>
      <w:rFonts w:eastAsia="Times New Roman"/>
      <w:b/>
      <w:smallCaps/>
      <w:szCs w:val="20"/>
    </w:rPr>
  </w:style>
  <w:style w:type="paragraph" w:styleId="Heading3">
    <w:name w:val="heading 3"/>
    <w:basedOn w:val="Normal"/>
    <w:next w:val="Normal"/>
    <w:link w:val="Heading3Char"/>
    <w:qFormat/>
    <w:rsid w:val="00016489"/>
    <w:pPr>
      <w:numPr>
        <w:ilvl w:val="2"/>
        <w:numId w:val="1"/>
      </w:numPr>
      <w:tabs>
        <w:tab w:val="left" w:pos="720"/>
      </w:tabs>
      <w:jc w:val="both"/>
      <w:outlineLvl w:val="2"/>
    </w:pPr>
    <w:rPr>
      <w:rFonts w:eastAsia="Times New Roman"/>
      <w:b/>
      <w:szCs w:val="20"/>
    </w:rPr>
  </w:style>
  <w:style w:type="paragraph" w:styleId="Heading4">
    <w:name w:val="heading 4"/>
    <w:basedOn w:val="Normal"/>
    <w:next w:val="Normal"/>
    <w:link w:val="Heading4Char"/>
    <w:qFormat/>
    <w:rsid w:val="00016489"/>
    <w:pPr>
      <w:numPr>
        <w:ilvl w:val="3"/>
        <w:numId w:val="1"/>
      </w:numPr>
      <w:tabs>
        <w:tab w:val="left" w:pos="720"/>
      </w:tabs>
      <w:jc w:val="both"/>
      <w:outlineLvl w:val="3"/>
    </w:pPr>
    <w:rPr>
      <w:rFonts w:eastAsia="Times New Roman"/>
      <w:b/>
      <w:szCs w:val="20"/>
    </w:rPr>
  </w:style>
  <w:style w:type="paragraph" w:styleId="Heading5">
    <w:name w:val="heading 5"/>
    <w:basedOn w:val="Normal"/>
    <w:next w:val="Normal"/>
    <w:link w:val="Heading5Char"/>
    <w:qFormat/>
    <w:rsid w:val="00016489"/>
    <w:pPr>
      <w:numPr>
        <w:ilvl w:val="4"/>
        <w:numId w:val="1"/>
      </w:numPr>
      <w:tabs>
        <w:tab w:val="left" w:pos="720"/>
      </w:tabs>
      <w:jc w:val="both"/>
      <w:outlineLvl w:val="4"/>
    </w:pPr>
    <w:rPr>
      <w:rFonts w:eastAsia="Times New Roman"/>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27991"/>
    <w:pPr>
      <w:tabs>
        <w:tab w:val="center" w:pos="4680"/>
        <w:tab w:val="right" w:pos="9360"/>
      </w:tabs>
    </w:pPr>
  </w:style>
  <w:style w:type="character" w:customStyle="1" w:styleId="FooterChar">
    <w:name w:val="Footer Char"/>
    <w:link w:val="Footer"/>
    <w:uiPriority w:val="99"/>
    <w:rsid w:val="00327991"/>
    <w:rPr>
      <w:rFonts w:ascii="Arial" w:hAnsi="Arial"/>
      <w:sz w:val="24"/>
    </w:rPr>
  </w:style>
  <w:style w:type="paragraph" w:styleId="Header">
    <w:name w:val="header"/>
    <w:basedOn w:val="Normal"/>
    <w:link w:val="HeaderChar"/>
    <w:uiPriority w:val="99"/>
    <w:unhideWhenUsed/>
    <w:rsid w:val="00327991"/>
    <w:pPr>
      <w:tabs>
        <w:tab w:val="center" w:pos="4680"/>
        <w:tab w:val="right" w:pos="9360"/>
      </w:tabs>
    </w:pPr>
  </w:style>
  <w:style w:type="character" w:customStyle="1" w:styleId="HeaderChar">
    <w:name w:val="Header Char"/>
    <w:link w:val="Header"/>
    <w:uiPriority w:val="99"/>
    <w:rsid w:val="00327991"/>
    <w:rPr>
      <w:rFonts w:ascii="Arial" w:hAnsi="Arial"/>
      <w:sz w:val="24"/>
    </w:rPr>
  </w:style>
  <w:style w:type="character" w:styleId="Hyperlink">
    <w:name w:val="Hyperlink"/>
    <w:uiPriority w:val="99"/>
    <w:unhideWhenUsed/>
    <w:rsid w:val="00327991"/>
    <w:rPr>
      <w:color w:val="0000FF"/>
      <w:u w:val="single"/>
    </w:rPr>
  </w:style>
  <w:style w:type="paragraph" w:styleId="FootnoteText">
    <w:name w:val="footnote text"/>
    <w:basedOn w:val="Normal"/>
    <w:link w:val="FootnoteTextChar"/>
    <w:uiPriority w:val="99"/>
    <w:semiHidden/>
    <w:unhideWhenUsed/>
    <w:rsid w:val="00016489"/>
    <w:rPr>
      <w:sz w:val="20"/>
      <w:szCs w:val="20"/>
    </w:rPr>
  </w:style>
  <w:style w:type="character" w:customStyle="1" w:styleId="FootnoteTextChar">
    <w:name w:val="Footnote Text Char"/>
    <w:link w:val="FootnoteText"/>
    <w:uiPriority w:val="99"/>
    <w:semiHidden/>
    <w:rsid w:val="00016489"/>
    <w:rPr>
      <w:rFonts w:ascii="Arial" w:hAnsi="Arial"/>
    </w:rPr>
  </w:style>
  <w:style w:type="character" w:customStyle="1" w:styleId="Heading1Char">
    <w:name w:val="Heading 1 Char"/>
    <w:link w:val="Heading1"/>
    <w:rsid w:val="00016489"/>
    <w:rPr>
      <w:rFonts w:ascii="Arial" w:eastAsia="Times New Roman" w:hAnsi="Arial"/>
      <w:b/>
      <w:caps/>
      <w:sz w:val="24"/>
    </w:rPr>
  </w:style>
  <w:style w:type="character" w:customStyle="1" w:styleId="Heading2Char">
    <w:name w:val="Heading 2 Char"/>
    <w:link w:val="Heading2"/>
    <w:rsid w:val="00016489"/>
    <w:rPr>
      <w:rFonts w:ascii="Arial" w:eastAsia="Times New Roman" w:hAnsi="Arial"/>
      <w:b/>
      <w:smallCaps/>
      <w:sz w:val="24"/>
    </w:rPr>
  </w:style>
  <w:style w:type="character" w:customStyle="1" w:styleId="Heading3Char">
    <w:name w:val="Heading 3 Char"/>
    <w:link w:val="Heading3"/>
    <w:rsid w:val="00016489"/>
    <w:rPr>
      <w:rFonts w:ascii="Arial" w:eastAsia="Times New Roman" w:hAnsi="Arial"/>
      <w:b/>
      <w:sz w:val="24"/>
    </w:rPr>
  </w:style>
  <w:style w:type="character" w:customStyle="1" w:styleId="Heading4Char">
    <w:name w:val="Heading 4 Char"/>
    <w:link w:val="Heading4"/>
    <w:rsid w:val="00016489"/>
    <w:rPr>
      <w:rFonts w:ascii="Arial" w:eastAsia="Times New Roman" w:hAnsi="Arial"/>
      <w:b/>
      <w:sz w:val="24"/>
    </w:rPr>
  </w:style>
  <w:style w:type="character" w:customStyle="1" w:styleId="Heading5Char">
    <w:name w:val="Heading 5 Char"/>
    <w:link w:val="Heading5"/>
    <w:rsid w:val="00016489"/>
    <w:rPr>
      <w:rFonts w:ascii="Arial" w:eastAsia="Times New Roman" w:hAnsi="Arial"/>
      <w:b/>
      <w:sz w:val="24"/>
    </w:rPr>
  </w:style>
  <w:style w:type="character" w:styleId="FootnoteReference">
    <w:name w:val="footnote reference"/>
    <w:semiHidden/>
    <w:rsid w:val="00016489"/>
    <w:rPr>
      <w:rFonts w:ascii="Arial" w:hAnsi="Arial"/>
      <w:position w:val="6"/>
      <w:sz w:val="16"/>
    </w:rPr>
  </w:style>
  <w:style w:type="numbering" w:customStyle="1" w:styleId="Decision">
    <w:name w:val="Decision"/>
    <w:rsid w:val="00016489"/>
    <w:pPr>
      <w:numPr>
        <w:numId w:val="1"/>
      </w:numPr>
    </w:pPr>
  </w:style>
  <w:style w:type="paragraph" w:styleId="BalloonText">
    <w:name w:val="Balloon Text"/>
    <w:basedOn w:val="Normal"/>
    <w:link w:val="BalloonTextChar"/>
    <w:uiPriority w:val="99"/>
    <w:semiHidden/>
    <w:unhideWhenUsed/>
    <w:rsid w:val="0004217E"/>
    <w:rPr>
      <w:rFonts w:ascii="Tahoma" w:hAnsi="Tahoma" w:cs="Tahoma"/>
      <w:sz w:val="16"/>
      <w:szCs w:val="16"/>
    </w:rPr>
  </w:style>
  <w:style w:type="character" w:customStyle="1" w:styleId="BalloonTextChar">
    <w:name w:val="Balloon Text Char"/>
    <w:link w:val="BalloonText"/>
    <w:uiPriority w:val="99"/>
    <w:semiHidden/>
    <w:rsid w:val="0004217E"/>
    <w:rPr>
      <w:rFonts w:ascii="Tahoma" w:hAnsi="Tahoma" w:cs="Tahoma"/>
      <w:sz w:val="16"/>
      <w:szCs w:val="16"/>
    </w:rPr>
  </w:style>
  <w:style w:type="paragraph" w:styleId="NoSpacing">
    <w:name w:val="No Spacing"/>
    <w:uiPriority w:val="1"/>
    <w:qFormat/>
    <w:rsid w:val="0043679C"/>
    <w:rPr>
      <w:rFonts w:ascii="Arial" w:hAnsi="Arial"/>
      <w:sz w:val="24"/>
      <w:szCs w:val="22"/>
    </w:rPr>
  </w:style>
  <w:style w:type="paragraph" w:styleId="Title">
    <w:name w:val="Title"/>
    <w:basedOn w:val="Normal"/>
    <w:link w:val="TitleChar"/>
    <w:qFormat/>
    <w:rsid w:val="00152A4A"/>
    <w:pPr>
      <w:jc w:val="center"/>
    </w:pPr>
    <w:rPr>
      <w:rFonts w:eastAsia="Times New Roman"/>
      <w:b/>
      <w:szCs w:val="20"/>
      <w:u w:val="single"/>
    </w:rPr>
  </w:style>
  <w:style w:type="character" w:customStyle="1" w:styleId="TitleChar">
    <w:name w:val="Title Char"/>
    <w:link w:val="Title"/>
    <w:rsid w:val="00152A4A"/>
    <w:rPr>
      <w:rFonts w:ascii="Arial" w:eastAsia="Times New Roman" w:hAnsi="Arial"/>
      <w:b/>
      <w:sz w:val="24"/>
      <w:u w:val="single"/>
    </w:rPr>
  </w:style>
  <w:style w:type="paragraph" w:styleId="ListParagraph">
    <w:name w:val="List Paragraph"/>
    <w:basedOn w:val="Normal"/>
    <w:uiPriority w:val="34"/>
    <w:qFormat/>
    <w:rsid w:val="00126A02"/>
    <w:pPr>
      <w:ind w:left="720"/>
      <w:contextualSpacing/>
    </w:pPr>
    <w:rPr>
      <w:rFonts w:eastAsiaTheme="minorHAnsi" w:cstheme="minorBidi"/>
    </w:rPr>
  </w:style>
  <w:style w:type="paragraph" w:customStyle="1" w:styleId="Quick1">
    <w:name w:val="Quick 1."/>
    <w:basedOn w:val="Normal"/>
    <w:rsid w:val="00126A02"/>
    <w:pPr>
      <w:widowControl w:val="0"/>
      <w:numPr>
        <w:numId w:val="5"/>
      </w:numPr>
      <w:autoSpaceDE w:val="0"/>
      <w:autoSpaceDN w:val="0"/>
      <w:adjustRightInd w:val="0"/>
      <w:ind w:left="720" w:hanging="720"/>
    </w:pPr>
    <w:rPr>
      <w:rFonts w:ascii="Times New Roman" w:eastAsia="Times New Roman" w:hAnsi="Times New Roman"/>
      <w:sz w:val="20"/>
      <w:szCs w:val="24"/>
    </w:rPr>
  </w:style>
  <w:style w:type="character" w:styleId="UnresolvedMention">
    <w:name w:val="Unresolved Mention"/>
    <w:basedOn w:val="DefaultParagraphFont"/>
    <w:uiPriority w:val="99"/>
    <w:semiHidden/>
    <w:unhideWhenUsed/>
    <w:rsid w:val="00336B04"/>
    <w:rPr>
      <w:color w:val="605E5C"/>
      <w:shd w:val="clear" w:color="auto" w:fill="E1DFDD"/>
    </w:rPr>
  </w:style>
  <w:style w:type="paragraph" w:customStyle="1" w:styleId="paragraph">
    <w:name w:val="paragraph"/>
    <w:basedOn w:val="Normal"/>
    <w:rsid w:val="006A798C"/>
    <w:pPr>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6A798C"/>
  </w:style>
  <w:style w:type="character" w:customStyle="1" w:styleId="spellingerror">
    <w:name w:val="spellingerror"/>
    <w:basedOn w:val="DefaultParagraphFont"/>
    <w:rsid w:val="006A798C"/>
  </w:style>
  <w:style w:type="character" w:customStyle="1" w:styleId="eop">
    <w:name w:val="eop"/>
    <w:basedOn w:val="DefaultParagraphFont"/>
    <w:rsid w:val="006A7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54931">
      <w:bodyDiv w:val="1"/>
      <w:marLeft w:val="0"/>
      <w:marRight w:val="0"/>
      <w:marTop w:val="0"/>
      <w:marBottom w:val="0"/>
      <w:divBdr>
        <w:top w:val="none" w:sz="0" w:space="0" w:color="auto"/>
        <w:left w:val="none" w:sz="0" w:space="0" w:color="auto"/>
        <w:bottom w:val="none" w:sz="0" w:space="0" w:color="auto"/>
        <w:right w:val="none" w:sz="0" w:space="0" w:color="auto"/>
      </w:divBdr>
    </w:div>
    <w:div w:id="193662869">
      <w:bodyDiv w:val="1"/>
      <w:marLeft w:val="0"/>
      <w:marRight w:val="0"/>
      <w:marTop w:val="0"/>
      <w:marBottom w:val="0"/>
      <w:divBdr>
        <w:top w:val="none" w:sz="0" w:space="0" w:color="auto"/>
        <w:left w:val="none" w:sz="0" w:space="0" w:color="auto"/>
        <w:bottom w:val="none" w:sz="0" w:space="0" w:color="auto"/>
        <w:right w:val="none" w:sz="0" w:space="0" w:color="auto"/>
      </w:divBdr>
    </w:div>
    <w:div w:id="324364680">
      <w:bodyDiv w:val="1"/>
      <w:marLeft w:val="0"/>
      <w:marRight w:val="0"/>
      <w:marTop w:val="0"/>
      <w:marBottom w:val="0"/>
      <w:divBdr>
        <w:top w:val="none" w:sz="0" w:space="0" w:color="auto"/>
        <w:left w:val="none" w:sz="0" w:space="0" w:color="auto"/>
        <w:bottom w:val="none" w:sz="0" w:space="0" w:color="auto"/>
        <w:right w:val="none" w:sz="0" w:space="0" w:color="auto"/>
      </w:divBdr>
      <w:divsChild>
        <w:div w:id="1182890462">
          <w:marLeft w:val="0"/>
          <w:marRight w:val="0"/>
          <w:marTop w:val="0"/>
          <w:marBottom w:val="0"/>
          <w:divBdr>
            <w:top w:val="none" w:sz="0" w:space="0" w:color="auto"/>
            <w:left w:val="none" w:sz="0" w:space="0" w:color="auto"/>
            <w:bottom w:val="none" w:sz="0" w:space="0" w:color="auto"/>
            <w:right w:val="none" w:sz="0" w:space="0" w:color="auto"/>
          </w:divBdr>
        </w:div>
        <w:div w:id="2103452925">
          <w:marLeft w:val="0"/>
          <w:marRight w:val="0"/>
          <w:marTop w:val="0"/>
          <w:marBottom w:val="0"/>
          <w:divBdr>
            <w:top w:val="none" w:sz="0" w:space="0" w:color="auto"/>
            <w:left w:val="none" w:sz="0" w:space="0" w:color="auto"/>
            <w:bottom w:val="none" w:sz="0" w:space="0" w:color="auto"/>
            <w:right w:val="none" w:sz="0" w:space="0" w:color="auto"/>
          </w:divBdr>
        </w:div>
        <w:div w:id="1362584637">
          <w:marLeft w:val="0"/>
          <w:marRight w:val="0"/>
          <w:marTop w:val="0"/>
          <w:marBottom w:val="0"/>
          <w:divBdr>
            <w:top w:val="none" w:sz="0" w:space="0" w:color="auto"/>
            <w:left w:val="none" w:sz="0" w:space="0" w:color="auto"/>
            <w:bottom w:val="none" w:sz="0" w:space="0" w:color="auto"/>
            <w:right w:val="none" w:sz="0" w:space="0" w:color="auto"/>
          </w:divBdr>
        </w:div>
      </w:divsChild>
    </w:div>
    <w:div w:id="343287585">
      <w:bodyDiv w:val="1"/>
      <w:marLeft w:val="0"/>
      <w:marRight w:val="0"/>
      <w:marTop w:val="0"/>
      <w:marBottom w:val="0"/>
      <w:divBdr>
        <w:top w:val="none" w:sz="0" w:space="0" w:color="auto"/>
        <w:left w:val="none" w:sz="0" w:space="0" w:color="auto"/>
        <w:bottom w:val="none" w:sz="0" w:space="0" w:color="auto"/>
        <w:right w:val="none" w:sz="0" w:space="0" w:color="auto"/>
      </w:divBdr>
      <w:divsChild>
        <w:div w:id="1380011207">
          <w:marLeft w:val="0"/>
          <w:marRight w:val="0"/>
          <w:marTop w:val="0"/>
          <w:marBottom w:val="0"/>
          <w:divBdr>
            <w:top w:val="none" w:sz="0" w:space="0" w:color="auto"/>
            <w:left w:val="none" w:sz="0" w:space="0" w:color="auto"/>
            <w:bottom w:val="none" w:sz="0" w:space="0" w:color="auto"/>
            <w:right w:val="none" w:sz="0" w:space="0" w:color="auto"/>
          </w:divBdr>
        </w:div>
      </w:divsChild>
    </w:div>
    <w:div w:id="1602028591">
      <w:bodyDiv w:val="1"/>
      <w:marLeft w:val="0"/>
      <w:marRight w:val="0"/>
      <w:marTop w:val="0"/>
      <w:marBottom w:val="0"/>
      <w:divBdr>
        <w:top w:val="none" w:sz="0" w:space="0" w:color="auto"/>
        <w:left w:val="none" w:sz="0" w:space="0" w:color="auto"/>
        <w:bottom w:val="none" w:sz="0" w:space="0" w:color="auto"/>
        <w:right w:val="none" w:sz="0" w:space="0" w:color="auto"/>
      </w:divBdr>
    </w:div>
    <w:div w:id="181209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650D960BD17A4C84C378FF478A2E91" ma:contentTypeVersion="2" ma:contentTypeDescription="Create a new document." ma:contentTypeScope="" ma:versionID="d36cbb0918f989ee8cf01a3077da76ed">
  <xsd:schema xmlns:xsd="http://www.w3.org/2001/XMLSchema" xmlns:xs="http://www.w3.org/2001/XMLSchema" xmlns:p="http://schemas.microsoft.com/office/2006/metadata/properties" xmlns:ns3="01d178fc-aace-4d06-8b61-57daa5c7bca1" targetNamespace="http://schemas.microsoft.com/office/2006/metadata/properties" ma:root="true" ma:fieldsID="05de3dd1af2d854918bb29602b9c45a2" ns3:_="">
    <xsd:import namespace="01d178fc-aace-4d06-8b61-57daa5c7bca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178fc-aace-4d06-8b61-57daa5c7bc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B15E2-C1DC-472C-B62E-5473C2BAB906}">
  <ds:schemaRefs>
    <ds:schemaRef ds:uri="http://schemas.microsoft.com/sharepoint/v3/contenttype/forms"/>
  </ds:schemaRefs>
</ds:datastoreItem>
</file>

<file path=customXml/itemProps2.xml><?xml version="1.0" encoding="utf-8"?>
<ds:datastoreItem xmlns:ds="http://schemas.openxmlformats.org/officeDocument/2006/customXml" ds:itemID="{481998F5-6D16-4740-A8B3-26C85245B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d178fc-aace-4d06-8b61-57daa5c7b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688983-69C9-4D2D-834B-2CDE7B5E19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A0AD37-EF7B-4BC1-B214-4E07F3486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3</Pages>
  <Words>979</Words>
  <Characters>5585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DEEP</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Bergman</dc:creator>
  <cp:lastModifiedBy>Alexander, Zachary</cp:lastModifiedBy>
  <cp:revision>3</cp:revision>
  <cp:lastPrinted>2015-02-26T16:45:00Z</cp:lastPrinted>
  <dcterms:created xsi:type="dcterms:W3CDTF">2021-12-06T14:00:00Z</dcterms:created>
  <dcterms:modified xsi:type="dcterms:W3CDTF">2021-12-06T20:51:00Z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0x0101004A650D960BD17A4C84C378FF478A2E91</vt:lpwstr>
  </property>
</Properties>
</file>