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FB9AB" w14:textId="77777777" w:rsidR="00152A4A" w:rsidRDefault="00DC68AF" w:rsidP="00152A4A">
      <w:pPr>
        <w:pStyle w:val="Title"/>
      </w:pPr>
      <w:r>
        <w:rPr>
          <w:noProof/>
        </w:rPr>
        <mc:AlternateContent>
          <mc:Choice Requires="wps">
            <w:drawing>
              <wp:anchor distT="0" distB="0" distL="114300" distR="114300" simplePos="0" relativeHeight="251657728" behindDoc="0" locked="0" layoutInCell="1" allowOverlap="1" wp14:anchorId="4D779E45" wp14:editId="00FFABBD">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AD00F" w14:textId="77777777" w:rsidR="00D74B7F" w:rsidRDefault="00D74B7F" w:rsidP="00152A4A">
                            <w:r>
                              <w:rPr>
                                <w:noProof/>
                              </w:rPr>
                              <w:drawing>
                                <wp:inline distT="0" distB="0" distL="0" distR="0" wp14:anchorId="77102F1A" wp14:editId="42EBE398">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779E45"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" stroked="f">
                <v:textbox style="mso-fit-shape-to-text:t">
                  <w:txbxContent>
                    <w:p w14:paraId="086AD00F" w14:textId="77777777" w:rsidR="00D74B7F" w:rsidRDefault="00D74B7F" w:rsidP="00152A4A">
                      <w:r>
                        <w:rPr>
                          <w:noProof/>
                        </w:rPr>
                        <w:drawing>
                          <wp:inline distT="0" distB="0" distL="0" distR="0" wp14:anchorId="77102F1A" wp14:editId="42EBE398">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7F928E23" w14:textId="77777777" w:rsidR="007C5B8A" w:rsidRDefault="007C5B8A" w:rsidP="007C5B8A">
      <w:pPr>
        <w:jc w:val="center"/>
        <w:rPr>
          <w:szCs w:val="24"/>
        </w:rPr>
      </w:pPr>
    </w:p>
    <w:p w14:paraId="3463DDAF" w14:textId="77777777" w:rsidR="00B426F2" w:rsidRPr="002B7ECD" w:rsidRDefault="00B426F2" w:rsidP="007C5B8A">
      <w:pPr>
        <w:jc w:val="center"/>
        <w:rPr>
          <w:szCs w:val="24"/>
        </w:rPr>
      </w:pPr>
    </w:p>
    <w:p w14:paraId="763C5DE9" w14:textId="77777777" w:rsidR="00B426F2" w:rsidRPr="00B426F2" w:rsidRDefault="00B426F2" w:rsidP="00B426F2">
      <w:pPr>
        <w:jc w:val="center"/>
        <w:rPr>
          <w:szCs w:val="24"/>
        </w:rPr>
      </w:pPr>
      <w:r w:rsidRPr="00B426F2">
        <w:rPr>
          <w:szCs w:val="24"/>
        </w:rPr>
        <w:t xml:space="preserve">CONNECTICUT DISTRIBUTED GENERATION </w:t>
      </w:r>
      <w:r w:rsidR="00354BD8">
        <w:rPr>
          <w:szCs w:val="24"/>
        </w:rPr>
        <w:t xml:space="preserve">TECHNICAL AND </w:t>
      </w:r>
      <w:r w:rsidR="006E006F">
        <w:rPr>
          <w:szCs w:val="24"/>
        </w:rPr>
        <w:t>POLICY</w:t>
      </w:r>
      <w:r w:rsidRPr="00B426F2">
        <w:rPr>
          <w:szCs w:val="24"/>
        </w:rPr>
        <w:t xml:space="preserve"> </w:t>
      </w:r>
      <w:r w:rsidR="00354BD8">
        <w:rPr>
          <w:szCs w:val="24"/>
        </w:rPr>
        <w:t xml:space="preserve">JOINT </w:t>
      </w:r>
      <w:r w:rsidRPr="00B426F2">
        <w:rPr>
          <w:szCs w:val="24"/>
        </w:rPr>
        <w:t>WORKING GROUP</w:t>
      </w:r>
    </w:p>
    <w:p w14:paraId="04EB9D99" w14:textId="77777777" w:rsidR="00B426F2" w:rsidRDefault="00B426F2" w:rsidP="007C5B8A">
      <w:pPr>
        <w:jc w:val="center"/>
        <w:rPr>
          <w:szCs w:val="24"/>
          <w:u w:val="single"/>
        </w:rPr>
      </w:pPr>
    </w:p>
    <w:p w14:paraId="5E09A410" w14:textId="77777777" w:rsidR="007C5B8A" w:rsidRPr="002B7ECD" w:rsidRDefault="00354BD8" w:rsidP="007C5B8A">
      <w:pPr>
        <w:jc w:val="center"/>
        <w:rPr>
          <w:szCs w:val="24"/>
          <w:u w:val="single"/>
        </w:rPr>
      </w:pPr>
      <w:r>
        <w:rPr>
          <w:szCs w:val="24"/>
          <w:u w:val="single"/>
        </w:rPr>
        <w:t>JOINT</w:t>
      </w:r>
      <w:r w:rsidR="00B426F2">
        <w:rPr>
          <w:szCs w:val="24"/>
          <w:u w:val="single"/>
        </w:rPr>
        <w:t xml:space="preserve"> MEETING AGENDA</w:t>
      </w:r>
    </w:p>
    <w:p w14:paraId="32E7DD78" w14:textId="77777777" w:rsidR="007C5B8A" w:rsidRPr="002B7ECD" w:rsidRDefault="00354BD8" w:rsidP="007C5B8A">
      <w:pPr>
        <w:jc w:val="center"/>
        <w:rPr>
          <w:szCs w:val="24"/>
        </w:rPr>
      </w:pPr>
      <w:r>
        <w:rPr>
          <w:szCs w:val="24"/>
        </w:rPr>
        <w:t>Monday</w:t>
      </w:r>
      <w:r w:rsidR="00B426F2">
        <w:rPr>
          <w:szCs w:val="24"/>
        </w:rPr>
        <w:t xml:space="preserve">, </w:t>
      </w:r>
      <w:r>
        <w:rPr>
          <w:szCs w:val="24"/>
        </w:rPr>
        <w:t>September</w:t>
      </w:r>
      <w:r w:rsidR="00221FE4">
        <w:rPr>
          <w:szCs w:val="24"/>
        </w:rPr>
        <w:t xml:space="preserve"> 2</w:t>
      </w:r>
      <w:r>
        <w:rPr>
          <w:szCs w:val="24"/>
        </w:rPr>
        <w:t>0</w:t>
      </w:r>
      <w:r w:rsidR="00B426F2" w:rsidRPr="00B426F2">
        <w:rPr>
          <w:szCs w:val="24"/>
        </w:rPr>
        <w:t>, 2021</w:t>
      </w:r>
    </w:p>
    <w:p w14:paraId="04280E67" w14:textId="77777777" w:rsidR="00126A02" w:rsidRPr="00B426F2" w:rsidRDefault="00126A02" w:rsidP="00126A02">
      <w:pPr>
        <w:spacing w:line="360" w:lineRule="auto"/>
        <w:jc w:val="center"/>
        <w:rPr>
          <w:rFonts w:cs="Arial"/>
          <w:szCs w:val="24"/>
        </w:rPr>
      </w:pPr>
      <w:r w:rsidRPr="00B426F2">
        <w:rPr>
          <w:rFonts w:cs="Arial"/>
          <w:szCs w:val="24"/>
        </w:rPr>
        <w:t>9:00 AM – 1</w:t>
      </w:r>
      <w:r w:rsidR="00004D72">
        <w:rPr>
          <w:rFonts w:cs="Arial"/>
          <w:szCs w:val="24"/>
        </w:rPr>
        <w:t>2</w:t>
      </w:r>
      <w:r w:rsidRPr="00B426F2">
        <w:rPr>
          <w:rFonts w:cs="Arial"/>
          <w:szCs w:val="24"/>
        </w:rPr>
        <w:t>:00 PM</w:t>
      </w:r>
    </w:p>
    <w:p w14:paraId="0FBD35AD" w14:textId="77777777" w:rsidR="00823AD6" w:rsidRPr="00823AD6" w:rsidRDefault="00126A02" w:rsidP="00823AD6">
      <w:pPr>
        <w:jc w:val="center"/>
      </w:pPr>
      <w:r>
        <w:rPr>
          <w:rFonts w:cs="Arial"/>
          <w:szCs w:val="24"/>
        </w:rPr>
        <w:t xml:space="preserve">Location: </w:t>
      </w:r>
      <w:r w:rsidR="00336B04" w:rsidRPr="00336B04">
        <w:rPr>
          <w:rFonts w:cs="Arial"/>
          <w:szCs w:val="24"/>
        </w:rPr>
        <w:t xml:space="preserve">Microsoft Teams </w:t>
      </w:r>
      <w:hyperlink r:id="rId9" w:tgtFrame="_blank" w:history="1">
        <w:r w:rsidR="00004D72" w:rsidRPr="00004D72">
          <w:rPr>
            <w:rStyle w:val="Hyperlink"/>
            <w:rFonts w:cs="Arial"/>
            <w:szCs w:val="24"/>
          </w:rPr>
          <w:t>Click here to join the meeting</w:t>
        </w:r>
      </w:hyperlink>
      <w:r w:rsidR="00823AD6" w:rsidRPr="00823AD6">
        <w:t xml:space="preserve"> </w:t>
      </w:r>
    </w:p>
    <w:p w14:paraId="68C0E06C" w14:textId="77777777" w:rsidR="00C568C8" w:rsidRDefault="00C568C8" w:rsidP="00C568C8">
      <w:pPr>
        <w:jc w:val="center"/>
        <w:rPr>
          <w:rFonts w:cs="Arial"/>
          <w:szCs w:val="24"/>
        </w:rPr>
      </w:pPr>
      <w:r>
        <w:rPr>
          <w:rFonts w:cs="Arial"/>
          <w:szCs w:val="24"/>
        </w:rPr>
        <w:t xml:space="preserve">Dial in Number:  </w:t>
      </w:r>
      <w:r w:rsidR="00354BD8" w:rsidRPr="00354BD8">
        <w:rPr>
          <w:rFonts w:cs="Arial"/>
          <w:szCs w:val="24"/>
        </w:rPr>
        <w:t>+1 860-840-</w:t>
      </w:r>
      <w:proofErr w:type="gramStart"/>
      <w:r w:rsidR="00354BD8" w:rsidRPr="00354BD8">
        <w:rPr>
          <w:rFonts w:cs="Arial"/>
          <w:szCs w:val="24"/>
        </w:rPr>
        <w:t>2075,,</w:t>
      </w:r>
      <w:proofErr w:type="gramEnd"/>
      <w:r w:rsidR="00354BD8" w:rsidRPr="00354BD8">
        <w:rPr>
          <w:rFonts w:cs="Arial"/>
          <w:szCs w:val="24"/>
        </w:rPr>
        <w:t xml:space="preserve">747176115#   </w:t>
      </w:r>
    </w:p>
    <w:p w14:paraId="4A6E8060" w14:textId="77777777" w:rsidR="00C568C8" w:rsidRDefault="00C568C8" w:rsidP="00C568C8">
      <w:pPr>
        <w:jc w:val="center"/>
        <w:rPr>
          <w:rFonts w:cs="Arial"/>
          <w:szCs w:val="24"/>
        </w:rPr>
      </w:pPr>
      <w:r w:rsidRPr="00C568C8">
        <w:rPr>
          <w:rFonts w:cs="Arial"/>
          <w:szCs w:val="24"/>
        </w:rPr>
        <w:t xml:space="preserve">Phone Conference ID: </w:t>
      </w:r>
      <w:r w:rsidR="00354BD8" w:rsidRPr="00354BD8">
        <w:rPr>
          <w:rFonts w:cs="Arial"/>
          <w:szCs w:val="24"/>
        </w:rPr>
        <w:t>747</w:t>
      </w:r>
      <w:r w:rsidR="00354BD8">
        <w:rPr>
          <w:rFonts w:cs="Arial"/>
          <w:szCs w:val="24"/>
        </w:rPr>
        <w:t xml:space="preserve"> </w:t>
      </w:r>
      <w:r w:rsidR="00354BD8" w:rsidRPr="00354BD8">
        <w:rPr>
          <w:rFonts w:cs="Arial"/>
          <w:szCs w:val="24"/>
        </w:rPr>
        <w:t>176</w:t>
      </w:r>
      <w:r w:rsidR="00354BD8">
        <w:rPr>
          <w:rFonts w:cs="Arial"/>
          <w:szCs w:val="24"/>
        </w:rPr>
        <w:t xml:space="preserve"> </w:t>
      </w:r>
      <w:r w:rsidR="00354BD8" w:rsidRPr="00354BD8">
        <w:rPr>
          <w:rFonts w:cs="Arial"/>
          <w:szCs w:val="24"/>
        </w:rPr>
        <w:t>115</w:t>
      </w:r>
    </w:p>
    <w:p w14:paraId="0C3FC75B" w14:textId="77777777" w:rsidR="00126A02" w:rsidRDefault="00126A02" w:rsidP="00126A02">
      <w:pPr>
        <w:jc w:val="both"/>
        <w:rPr>
          <w:rFonts w:cs="Arial"/>
          <w:szCs w:val="24"/>
        </w:rPr>
      </w:pPr>
    </w:p>
    <w:p w14:paraId="05CFB7CB" w14:textId="77777777" w:rsidR="00B426F2" w:rsidRDefault="00B426F2" w:rsidP="00004D72">
      <w:pPr>
        <w:rPr>
          <w:rFonts w:cs="Arial"/>
          <w:szCs w:val="24"/>
        </w:rPr>
      </w:pPr>
    </w:p>
    <w:p w14:paraId="0CCA9009" w14:textId="77777777" w:rsidR="00126A02" w:rsidRDefault="00126A02" w:rsidP="00126A02">
      <w:pPr>
        <w:jc w:val="both"/>
        <w:rPr>
          <w:rFonts w:cs="Arial"/>
          <w:b/>
          <w:szCs w:val="24"/>
        </w:rPr>
      </w:pPr>
      <w:r w:rsidRPr="00B426F2">
        <w:rPr>
          <w:rFonts w:cs="Arial"/>
          <w:b/>
          <w:szCs w:val="24"/>
        </w:rPr>
        <w:t>9:00 AM – 9:</w:t>
      </w:r>
      <w:r w:rsidR="0026478E">
        <w:rPr>
          <w:rFonts w:cs="Arial"/>
          <w:b/>
          <w:szCs w:val="24"/>
        </w:rPr>
        <w:t>0</w:t>
      </w:r>
      <w:r w:rsidRPr="00B426F2">
        <w:rPr>
          <w:rFonts w:cs="Arial"/>
          <w:b/>
          <w:szCs w:val="24"/>
        </w:rPr>
        <w:t>5 AM</w:t>
      </w:r>
      <w:r w:rsidRPr="00B426F2">
        <w:rPr>
          <w:rFonts w:cs="Arial"/>
          <w:b/>
          <w:szCs w:val="24"/>
        </w:rPr>
        <w:tab/>
      </w:r>
      <w:r w:rsidRPr="00B426F2">
        <w:rPr>
          <w:rFonts w:cs="Arial"/>
          <w:b/>
          <w:szCs w:val="24"/>
        </w:rPr>
        <w:tab/>
        <w:t>Introduction</w:t>
      </w:r>
      <w:r w:rsidR="0026478E">
        <w:rPr>
          <w:rFonts w:cs="Arial"/>
          <w:b/>
          <w:szCs w:val="24"/>
        </w:rPr>
        <w:t xml:space="preserve"> </w:t>
      </w:r>
    </w:p>
    <w:p w14:paraId="52045FF7" w14:textId="77777777" w:rsidR="00BF0AAC" w:rsidRDefault="00BF0AAC" w:rsidP="00004D72">
      <w:pPr>
        <w:jc w:val="center"/>
        <w:rPr>
          <w:rFonts w:cs="Arial"/>
          <w:b/>
          <w:szCs w:val="24"/>
        </w:rPr>
      </w:pPr>
    </w:p>
    <w:p w14:paraId="0CE27780" w14:textId="77777777" w:rsidR="00004D72" w:rsidRPr="00004D72" w:rsidRDefault="00354BD8" w:rsidP="00004D72">
      <w:pPr>
        <w:spacing w:line="360" w:lineRule="auto"/>
        <w:jc w:val="center"/>
        <w:rPr>
          <w:rFonts w:cs="Arial"/>
          <w:i/>
          <w:szCs w:val="24"/>
        </w:rPr>
      </w:pPr>
      <w:r>
        <w:rPr>
          <w:rFonts w:eastAsia="Times New Roman"/>
        </w:rPr>
        <w:t>PURA to take meeting minutes</w:t>
      </w:r>
    </w:p>
    <w:p w14:paraId="670F2B23" w14:textId="77777777" w:rsidR="00004D72" w:rsidRDefault="00004D72" w:rsidP="00126A02">
      <w:pPr>
        <w:jc w:val="both"/>
        <w:rPr>
          <w:rFonts w:cs="Arial"/>
          <w:b/>
          <w:szCs w:val="24"/>
        </w:rPr>
      </w:pPr>
    </w:p>
    <w:p w14:paraId="4BF6BC0D" w14:textId="77777777" w:rsidR="0026478E" w:rsidRPr="00DA52B1" w:rsidRDefault="0026478E" w:rsidP="0026478E">
      <w:pPr>
        <w:ind w:left="2880" w:hanging="2880"/>
        <w:jc w:val="both"/>
        <w:rPr>
          <w:rFonts w:cs="Arial"/>
          <w:bCs/>
          <w:i/>
          <w:iCs/>
          <w:szCs w:val="24"/>
        </w:rPr>
      </w:pPr>
      <w:r w:rsidRPr="00BF0AAC">
        <w:rPr>
          <w:rFonts w:cs="Arial"/>
          <w:b/>
          <w:szCs w:val="24"/>
        </w:rPr>
        <w:t>9:</w:t>
      </w:r>
      <w:r>
        <w:rPr>
          <w:rFonts w:cs="Arial"/>
          <w:b/>
          <w:szCs w:val="24"/>
        </w:rPr>
        <w:t>0</w:t>
      </w:r>
      <w:r w:rsidRPr="00BF0AAC">
        <w:rPr>
          <w:rFonts w:cs="Arial"/>
          <w:b/>
          <w:szCs w:val="24"/>
        </w:rPr>
        <w:t>5 AM – 1</w:t>
      </w:r>
      <w:r w:rsidR="00C4572C">
        <w:rPr>
          <w:rFonts w:cs="Arial"/>
          <w:b/>
          <w:szCs w:val="24"/>
        </w:rPr>
        <w:t>2</w:t>
      </w:r>
      <w:r w:rsidR="009E1019">
        <w:rPr>
          <w:rFonts w:cs="Arial"/>
          <w:b/>
          <w:szCs w:val="24"/>
        </w:rPr>
        <w:t>:0</w:t>
      </w:r>
      <w:r w:rsidRPr="00BF0AAC">
        <w:rPr>
          <w:rFonts w:cs="Arial"/>
          <w:b/>
          <w:szCs w:val="24"/>
        </w:rPr>
        <w:t xml:space="preserve">0 </w:t>
      </w:r>
      <w:r w:rsidR="009E1019">
        <w:rPr>
          <w:rFonts w:cs="Arial"/>
          <w:b/>
          <w:szCs w:val="24"/>
        </w:rPr>
        <w:t>P</w:t>
      </w:r>
      <w:r w:rsidRPr="00BF0AAC">
        <w:rPr>
          <w:rFonts w:cs="Arial"/>
          <w:b/>
          <w:szCs w:val="24"/>
        </w:rPr>
        <w:t>M</w:t>
      </w:r>
      <w:r w:rsidRPr="00BF0AAC">
        <w:rPr>
          <w:rFonts w:cs="Arial"/>
          <w:b/>
          <w:szCs w:val="24"/>
        </w:rPr>
        <w:tab/>
      </w:r>
      <w:r w:rsidRPr="00DA52B1">
        <w:rPr>
          <w:rFonts w:cs="Arial"/>
          <w:bCs/>
          <w:i/>
          <w:iCs/>
          <w:szCs w:val="24"/>
        </w:rPr>
        <w:t>Discuss</w:t>
      </w:r>
      <w:r w:rsidR="009E1019" w:rsidRPr="00DA52B1">
        <w:rPr>
          <w:rFonts w:cs="Arial"/>
          <w:bCs/>
          <w:i/>
          <w:iCs/>
          <w:szCs w:val="24"/>
        </w:rPr>
        <w:t>ion</w:t>
      </w:r>
      <w:r w:rsidRPr="00DA52B1">
        <w:rPr>
          <w:rFonts w:cs="Arial"/>
          <w:bCs/>
          <w:i/>
          <w:iCs/>
          <w:szCs w:val="24"/>
        </w:rPr>
        <w:t xml:space="preserve"> </w:t>
      </w:r>
      <w:r w:rsidR="00354BD8" w:rsidRPr="00DA52B1">
        <w:rPr>
          <w:rFonts w:cs="Arial"/>
          <w:bCs/>
          <w:i/>
          <w:iCs/>
          <w:szCs w:val="24"/>
        </w:rPr>
        <w:t>and Voting on Fast Track Proposals</w:t>
      </w:r>
    </w:p>
    <w:p w14:paraId="53990C7F" w14:textId="0DB91925" w:rsidR="0026478E" w:rsidRDefault="0026478E" w:rsidP="0026478E">
      <w:pPr>
        <w:jc w:val="both"/>
        <w:rPr>
          <w:rFonts w:cs="Arial"/>
          <w:szCs w:val="24"/>
        </w:rPr>
      </w:pPr>
    </w:p>
    <w:p w14:paraId="5BA0F5F5" w14:textId="1928B6E8" w:rsidR="00DA52B1" w:rsidRPr="00DA52B1" w:rsidRDefault="00DA52B1" w:rsidP="00DA52B1">
      <w:pPr>
        <w:pStyle w:val="ListParagraph"/>
        <w:numPr>
          <w:ilvl w:val="0"/>
          <w:numId w:val="15"/>
        </w:numPr>
        <w:jc w:val="both"/>
        <w:rPr>
          <w:rFonts w:cs="Arial"/>
          <w:b/>
          <w:szCs w:val="24"/>
        </w:rPr>
      </w:pPr>
      <w:r w:rsidRPr="00DA52B1">
        <w:rPr>
          <w:rFonts w:cs="Arial"/>
          <w:b/>
          <w:szCs w:val="24"/>
        </w:rPr>
        <w:t xml:space="preserve">Mike Trahan asks for members to be able to vote later today if they are not here, </w:t>
      </w:r>
      <w:r>
        <w:rPr>
          <w:rFonts w:cs="Arial"/>
          <w:b/>
          <w:szCs w:val="24"/>
        </w:rPr>
        <w:t>no objections</w:t>
      </w:r>
      <w:r w:rsidRPr="00DA52B1">
        <w:rPr>
          <w:rFonts w:cs="Arial"/>
          <w:b/>
          <w:szCs w:val="24"/>
        </w:rPr>
        <w:t xml:space="preserve"> </w:t>
      </w:r>
    </w:p>
    <w:p w14:paraId="5D6CB8A1" w14:textId="77777777" w:rsidR="00DA52B1" w:rsidRDefault="00DA52B1" w:rsidP="0026478E">
      <w:pPr>
        <w:jc w:val="both"/>
        <w:rPr>
          <w:rFonts w:cs="Arial"/>
          <w:szCs w:val="24"/>
        </w:rPr>
      </w:pPr>
    </w:p>
    <w:p w14:paraId="318152CF" w14:textId="77777777" w:rsidR="00354BD8" w:rsidRPr="00DA52B1" w:rsidRDefault="00354BD8" w:rsidP="0051702C">
      <w:pPr>
        <w:jc w:val="both"/>
        <w:rPr>
          <w:rFonts w:cs="Arial"/>
          <w:bCs/>
          <w:i/>
          <w:iCs/>
          <w:szCs w:val="24"/>
        </w:rPr>
      </w:pPr>
      <w:bookmarkStart w:id="0" w:name="_Hlk65234323"/>
      <w:r w:rsidRPr="00DA52B1">
        <w:rPr>
          <w:rFonts w:cs="Arial"/>
          <w:bCs/>
          <w:i/>
          <w:iCs/>
          <w:szCs w:val="24"/>
        </w:rPr>
        <w:t>General Approach for Each Issue</w:t>
      </w:r>
    </w:p>
    <w:p w14:paraId="49528D8A" w14:textId="77777777" w:rsidR="00354BD8" w:rsidRPr="00354BD8" w:rsidRDefault="00354BD8" w:rsidP="00354BD8">
      <w:pPr>
        <w:pStyle w:val="ListParagraph"/>
        <w:numPr>
          <w:ilvl w:val="1"/>
          <w:numId w:val="12"/>
        </w:numPr>
        <w:jc w:val="both"/>
        <w:rPr>
          <w:rFonts w:cs="Arial"/>
          <w:b/>
          <w:szCs w:val="24"/>
        </w:rPr>
      </w:pPr>
      <w:r>
        <w:rPr>
          <w:rFonts w:cs="Arial"/>
          <w:szCs w:val="24"/>
        </w:rPr>
        <w:t>Proponent of action item will give a brief summary of the issue and proposed resolution</w:t>
      </w:r>
    </w:p>
    <w:p w14:paraId="7F0CC5C4" w14:textId="77777777" w:rsidR="00354BD8" w:rsidRPr="00354BD8" w:rsidRDefault="00354BD8" w:rsidP="00354BD8">
      <w:pPr>
        <w:pStyle w:val="ListParagraph"/>
        <w:numPr>
          <w:ilvl w:val="1"/>
          <w:numId w:val="12"/>
        </w:numPr>
        <w:jc w:val="both"/>
        <w:rPr>
          <w:rFonts w:cs="Arial"/>
          <w:b/>
          <w:szCs w:val="24"/>
        </w:rPr>
      </w:pPr>
      <w:r>
        <w:rPr>
          <w:rFonts w:cs="Arial"/>
          <w:szCs w:val="24"/>
        </w:rPr>
        <w:t>Other members may ask clarifying questions of proponent</w:t>
      </w:r>
    </w:p>
    <w:p w14:paraId="280BD9DB" w14:textId="77777777" w:rsidR="00354BD8" w:rsidRPr="00354BD8" w:rsidRDefault="00354BD8" w:rsidP="00354BD8">
      <w:pPr>
        <w:pStyle w:val="ListParagraph"/>
        <w:numPr>
          <w:ilvl w:val="1"/>
          <w:numId w:val="12"/>
        </w:numPr>
        <w:jc w:val="both"/>
        <w:rPr>
          <w:rFonts w:cs="Arial"/>
          <w:b/>
          <w:szCs w:val="24"/>
        </w:rPr>
      </w:pPr>
      <w:r>
        <w:rPr>
          <w:rFonts w:cs="Arial"/>
          <w:szCs w:val="24"/>
        </w:rPr>
        <w:t>Open discussion on proposal</w:t>
      </w:r>
    </w:p>
    <w:p w14:paraId="69B15E87" w14:textId="77777777" w:rsidR="00354BD8" w:rsidRPr="00354BD8" w:rsidRDefault="00354BD8" w:rsidP="00354BD8">
      <w:pPr>
        <w:pStyle w:val="ListParagraph"/>
        <w:numPr>
          <w:ilvl w:val="1"/>
          <w:numId w:val="12"/>
        </w:numPr>
        <w:jc w:val="both"/>
        <w:rPr>
          <w:rFonts w:cs="Arial"/>
          <w:b/>
          <w:szCs w:val="24"/>
        </w:rPr>
      </w:pPr>
      <w:r>
        <w:rPr>
          <w:rFonts w:cs="Arial"/>
          <w:szCs w:val="24"/>
        </w:rPr>
        <w:t>Vote</w:t>
      </w:r>
    </w:p>
    <w:p w14:paraId="5484552E" w14:textId="77777777" w:rsidR="00354BD8" w:rsidRDefault="00354BD8" w:rsidP="00354BD8">
      <w:pPr>
        <w:pStyle w:val="ListParagraph"/>
        <w:numPr>
          <w:ilvl w:val="1"/>
          <w:numId w:val="12"/>
        </w:numPr>
        <w:jc w:val="both"/>
        <w:rPr>
          <w:rFonts w:cs="Arial"/>
          <w:b/>
          <w:szCs w:val="24"/>
        </w:rPr>
      </w:pPr>
      <w:r>
        <w:rPr>
          <w:rFonts w:cs="Arial"/>
          <w:szCs w:val="24"/>
        </w:rPr>
        <w:t>Next steps</w:t>
      </w:r>
      <w:r w:rsidR="0051702C">
        <w:rPr>
          <w:rFonts w:cs="Arial"/>
          <w:szCs w:val="24"/>
        </w:rPr>
        <w:t xml:space="preserve">, e.g., send to PURA as unanimous proposal, send to PURA with objections, revisit at future date, etc. </w:t>
      </w:r>
    </w:p>
    <w:p w14:paraId="73C4B461" w14:textId="59310A26" w:rsidR="0026478E" w:rsidRPr="00DA52B1" w:rsidRDefault="001900BE" w:rsidP="0051702C">
      <w:pPr>
        <w:pStyle w:val="ListParagraph"/>
        <w:numPr>
          <w:ilvl w:val="0"/>
          <w:numId w:val="13"/>
        </w:numPr>
        <w:jc w:val="both"/>
        <w:rPr>
          <w:rFonts w:cs="Arial"/>
          <w:bCs/>
          <w:i/>
          <w:iCs/>
          <w:szCs w:val="24"/>
        </w:rPr>
      </w:pPr>
      <w:r w:rsidRPr="00DA52B1">
        <w:rPr>
          <w:rFonts w:cs="Arial"/>
          <w:bCs/>
          <w:i/>
          <w:iCs/>
          <w:szCs w:val="24"/>
        </w:rPr>
        <w:t>D</w:t>
      </w:r>
      <w:r w:rsidR="00354BD8" w:rsidRPr="00DA52B1">
        <w:rPr>
          <w:rFonts w:cs="Arial"/>
          <w:bCs/>
          <w:i/>
          <w:iCs/>
          <w:szCs w:val="24"/>
        </w:rPr>
        <w:t>ispute Resolution Process</w:t>
      </w:r>
    </w:p>
    <w:p w14:paraId="495F483E" w14:textId="6EB55AAB" w:rsidR="00134AA7" w:rsidRDefault="00DA52B1" w:rsidP="00134AA7">
      <w:pPr>
        <w:pStyle w:val="ListParagraph"/>
        <w:numPr>
          <w:ilvl w:val="1"/>
          <w:numId w:val="13"/>
        </w:numPr>
        <w:jc w:val="both"/>
        <w:rPr>
          <w:rFonts w:cs="Arial"/>
          <w:b/>
          <w:szCs w:val="24"/>
        </w:rPr>
      </w:pPr>
      <w:r>
        <w:rPr>
          <w:rFonts w:cs="Arial"/>
          <w:b/>
          <w:szCs w:val="24"/>
        </w:rPr>
        <w:t>This would be a</w:t>
      </w:r>
      <w:r w:rsidR="00134AA7">
        <w:rPr>
          <w:rFonts w:cs="Arial"/>
          <w:b/>
          <w:szCs w:val="24"/>
        </w:rPr>
        <w:t xml:space="preserve"> process that </w:t>
      </w:r>
      <w:r>
        <w:rPr>
          <w:rFonts w:cs="Arial"/>
          <w:b/>
          <w:szCs w:val="24"/>
        </w:rPr>
        <w:t>is</w:t>
      </w:r>
      <w:r w:rsidR="00134AA7">
        <w:rPr>
          <w:rFonts w:cs="Arial"/>
          <w:b/>
          <w:szCs w:val="24"/>
        </w:rPr>
        <w:t xml:space="preserve"> less formal tha</w:t>
      </w:r>
      <w:r>
        <w:rPr>
          <w:rFonts w:cs="Arial"/>
          <w:b/>
          <w:szCs w:val="24"/>
        </w:rPr>
        <w:t>n</w:t>
      </w:r>
      <w:r w:rsidR="00134AA7">
        <w:rPr>
          <w:rFonts w:cs="Arial"/>
          <w:b/>
          <w:szCs w:val="24"/>
        </w:rPr>
        <w:t xml:space="preserve"> PURA</w:t>
      </w:r>
      <w:r>
        <w:rPr>
          <w:rFonts w:cs="Arial"/>
          <w:b/>
          <w:szCs w:val="24"/>
        </w:rPr>
        <w:t>’s</w:t>
      </w:r>
      <w:r w:rsidR="00134AA7">
        <w:rPr>
          <w:rFonts w:cs="Arial"/>
          <w:b/>
          <w:szCs w:val="24"/>
        </w:rPr>
        <w:t xml:space="preserve"> complaint process. The draft process is based on the IREC rules. This is not the first step, this is after you have tried to resolve things informally through the EDC; which works for almost all issues in the past </w:t>
      </w:r>
    </w:p>
    <w:p w14:paraId="37114096" w14:textId="0B4EA998" w:rsidR="00DA52B1" w:rsidRDefault="00DA52B1" w:rsidP="00134AA7">
      <w:pPr>
        <w:pStyle w:val="ListParagraph"/>
        <w:numPr>
          <w:ilvl w:val="1"/>
          <w:numId w:val="13"/>
        </w:numPr>
        <w:jc w:val="both"/>
        <w:rPr>
          <w:rFonts w:cs="Arial"/>
          <w:b/>
          <w:szCs w:val="24"/>
        </w:rPr>
      </w:pPr>
      <w:r>
        <w:rPr>
          <w:rFonts w:cs="Arial"/>
          <w:b/>
          <w:szCs w:val="24"/>
        </w:rPr>
        <w:t>Discussion regarding scenario of a party using dispute resolution process to “buy more time” in the queue if they are otherwise not ready to proceed</w:t>
      </w:r>
    </w:p>
    <w:p w14:paraId="63CCF499" w14:textId="069EE154" w:rsidR="008B62A4" w:rsidRDefault="008B62A4" w:rsidP="008B62A4">
      <w:pPr>
        <w:pStyle w:val="ListParagraph"/>
        <w:numPr>
          <w:ilvl w:val="2"/>
          <w:numId w:val="13"/>
        </w:numPr>
        <w:jc w:val="both"/>
        <w:rPr>
          <w:rFonts w:cs="Arial"/>
          <w:b/>
          <w:szCs w:val="24"/>
        </w:rPr>
      </w:pPr>
      <w:r>
        <w:rPr>
          <w:rFonts w:cs="Arial"/>
          <w:b/>
          <w:szCs w:val="24"/>
        </w:rPr>
        <w:t>Issue raised that if one developer needs more time for whatever reason, other developers in the queue will probably want more time for the same reason. Therefore</w:t>
      </w:r>
      <w:r w:rsidR="005F79BF">
        <w:rPr>
          <w:rFonts w:cs="Arial"/>
          <w:b/>
          <w:szCs w:val="24"/>
        </w:rPr>
        <w:t>,</w:t>
      </w:r>
      <w:r>
        <w:rPr>
          <w:rFonts w:cs="Arial"/>
          <w:b/>
          <w:szCs w:val="24"/>
        </w:rPr>
        <w:t xml:space="preserve"> the scenario would not be problematic</w:t>
      </w:r>
    </w:p>
    <w:p w14:paraId="1B9003C3" w14:textId="77777777" w:rsidR="008B62A4" w:rsidRDefault="008B62A4" w:rsidP="008B62A4">
      <w:pPr>
        <w:pStyle w:val="ListParagraph"/>
        <w:numPr>
          <w:ilvl w:val="3"/>
          <w:numId w:val="13"/>
        </w:numPr>
        <w:jc w:val="both"/>
        <w:rPr>
          <w:rFonts w:cs="Arial"/>
          <w:b/>
          <w:szCs w:val="24"/>
        </w:rPr>
      </w:pPr>
      <w:r>
        <w:rPr>
          <w:rFonts w:cs="Arial"/>
          <w:b/>
          <w:szCs w:val="24"/>
        </w:rPr>
        <w:t xml:space="preserve">Some disagreement on this discussion. One solution would be to let the two parties in the queue to be in </w:t>
      </w:r>
      <w:r>
        <w:rPr>
          <w:rFonts w:cs="Arial"/>
          <w:b/>
          <w:szCs w:val="24"/>
        </w:rPr>
        <w:lastRenderedPageBreak/>
        <w:t>contact with one another in case party 1’s delay would affect party 2</w:t>
      </w:r>
    </w:p>
    <w:p w14:paraId="57816131" w14:textId="0E629C2B" w:rsidR="008B62A4" w:rsidRDefault="008B62A4" w:rsidP="008B62A4">
      <w:pPr>
        <w:pStyle w:val="ListParagraph"/>
        <w:numPr>
          <w:ilvl w:val="3"/>
          <w:numId w:val="13"/>
        </w:numPr>
        <w:jc w:val="both"/>
        <w:rPr>
          <w:rFonts w:cs="Arial"/>
          <w:b/>
          <w:szCs w:val="24"/>
        </w:rPr>
      </w:pPr>
      <w:r w:rsidRPr="008B62A4">
        <w:rPr>
          <w:rFonts w:cs="Arial"/>
          <w:b/>
          <w:szCs w:val="24"/>
        </w:rPr>
        <w:t xml:space="preserve">Dispute Resolution process is </w:t>
      </w:r>
      <w:r>
        <w:rPr>
          <w:rFonts w:cs="Arial"/>
          <w:b/>
          <w:szCs w:val="24"/>
        </w:rPr>
        <w:t>a good faith process</w:t>
      </w:r>
      <w:r w:rsidRPr="008B62A4">
        <w:rPr>
          <w:rFonts w:cs="Arial"/>
          <w:b/>
          <w:szCs w:val="24"/>
        </w:rPr>
        <w:t xml:space="preserve">, </w:t>
      </w:r>
      <w:r>
        <w:rPr>
          <w:rFonts w:cs="Arial"/>
          <w:b/>
          <w:szCs w:val="24"/>
        </w:rPr>
        <w:t>it will become clear is a party is trying to abuse the process</w:t>
      </w:r>
      <w:r w:rsidR="005F79BF">
        <w:rPr>
          <w:rFonts w:cs="Arial"/>
          <w:b/>
          <w:szCs w:val="24"/>
        </w:rPr>
        <w:t xml:space="preserve"> and the ombudsperson will not entertain bad faith claims.</w:t>
      </w:r>
    </w:p>
    <w:p w14:paraId="4D64B6E4" w14:textId="6D5B850A" w:rsidR="00F13991" w:rsidRDefault="005F79BF" w:rsidP="00F13991">
      <w:pPr>
        <w:pStyle w:val="ListParagraph"/>
        <w:numPr>
          <w:ilvl w:val="1"/>
          <w:numId w:val="13"/>
        </w:numPr>
        <w:jc w:val="both"/>
        <w:rPr>
          <w:rFonts w:cs="Arial"/>
          <w:b/>
          <w:szCs w:val="24"/>
        </w:rPr>
      </w:pPr>
      <w:r>
        <w:rPr>
          <w:rFonts w:cs="Arial"/>
          <w:b/>
          <w:szCs w:val="24"/>
        </w:rPr>
        <w:t xml:space="preserve">For issues related to timeframe compliance, </w:t>
      </w:r>
      <w:r w:rsidR="00F13991">
        <w:rPr>
          <w:rFonts w:cs="Arial"/>
          <w:b/>
          <w:szCs w:val="24"/>
        </w:rPr>
        <w:t>8 days for dispute resolution between parties until escalated to ombudsperson, ~2 week dispute resolution process with ombudsperson</w:t>
      </w:r>
    </w:p>
    <w:p w14:paraId="262AA766" w14:textId="41147DD4" w:rsidR="00F13991" w:rsidRDefault="00F13991" w:rsidP="00F13991">
      <w:pPr>
        <w:pStyle w:val="ListParagraph"/>
        <w:numPr>
          <w:ilvl w:val="1"/>
          <w:numId w:val="13"/>
        </w:numPr>
        <w:jc w:val="both"/>
        <w:rPr>
          <w:rFonts w:cs="Arial"/>
          <w:b/>
          <w:szCs w:val="24"/>
        </w:rPr>
      </w:pPr>
      <w:r>
        <w:rPr>
          <w:rFonts w:cs="Arial"/>
          <w:b/>
          <w:szCs w:val="24"/>
        </w:rPr>
        <w:t>Vote on submitting draft of dispute resolution process, based on IREC procedures,  to PURA</w:t>
      </w:r>
    </w:p>
    <w:p w14:paraId="0E4ED0C3" w14:textId="77777777" w:rsidR="005F79BF" w:rsidRPr="00B869EC" w:rsidRDefault="005F79BF" w:rsidP="00B869EC">
      <w:pPr>
        <w:pStyle w:val="ListParagraph"/>
        <w:numPr>
          <w:ilvl w:val="1"/>
          <w:numId w:val="13"/>
        </w:numPr>
        <w:rPr>
          <w:b/>
        </w:rPr>
      </w:pPr>
      <w:r w:rsidRPr="00B869EC">
        <w:rPr>
          <w:b/>
        </w:rPr>
        <w:t>Vote Total:  10 for; 2 against; 1 abstention</w:t>
      </w:r>
    </w:p>
    <w:tbl>
      <w:tblPr>
        <w:tblStyle w:val="GridTable1Light-Accent5"/>
        <w:tblW w:w="0" w:type="auto"/>
        <w:tblLook w:val="04A0" w:firstRow="1" w:lastRow="0" w:firstColumn="1" w:lastColumn="0" w:noHBand="0" w:noVBand="1"/>
      </w:tblPr>
      <w:tblGrid>
        <w:gridCol w:w="4675"/>
        <w:gridCol w:w="4675"/>
      </w:tblGrid>
      <w:tr w:rsidR="005F79BF" w14:paraId="43955F7C" w14:textId="77777777" w:rsidTr="00AD15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00B0F0"/>
          </w:tcPr>
          <w:p w14:paraId="4DF53F49" w14:textId="77777777" w:rsidR="005F79BF" w:rsidRPr="002E0BB9" w:rsidRDefault="005F79BF" w:rsidP="00AD1560">
            <w:pPr>
              <w:rPr>
                <w:b w:val="0"/>
              </w:rPr>
            </w:pPr>
            <w:r>
              <w:rPr>
                <w:b w:val="0"/>
              </w:rPr>
              <w:t>Policy Group</w:t>
            </w:r>
          </w:p>
        </w:tc>
        <w:tc>
          <w:tcPr>
            <w:tcW w:w="4675" w:type="dxa"/>
            <w:shd w:val="clear" w:color="auto" w:fill="00B0F0"/>
          </w:tcPr>
          <w:p w14:paraId="5489BFF1" w14:textId="77777777" w:rsidR="005F79BF" w:rsidRPr="002E0BB9" w:rsidRDefault="005F79BF" w:rsidP="00AD1560">
            <w:pPr>
              <w:cnfStyle w:val="100000000000" w:firstRow="1" w:lastRow="0" w:firstColumn="0" w:lastColumn="0" w:oddVBand="0" w:evenVBand="0" w:oddHBand="0" w:evenHBand="0" w:firstRowFirstColumn="0" w:firstRowLastColumn="0" w:lastRowFirstColumn="0" w:lastRowLastColumn="0"/>
              <w:rPr>
                <w:b w:val="0"/>
              </w:rPr>
            </w:pPr>
            <w:r>
              <w:rPr>
                <w:b w:val="0"/>
              </w:rPr>
              <w:t>Technical Group</w:t>
            </w:r>
          </w:p>
        </w:tc>
      </w:tr>
      <w:tr w:rsidR="005F79BF" w14:paraId="67676D57" w14:textId="77777777" w:rsidTr="005F79BF">
        <w:tc>
          <w:tcPr>
            <w:cnfStyle w:val="001000000000" w:firstRow="0" w:lastRow="0" w:firstColumn="1" w:lastColumn="0" w:oddVBand="0" w:evenVBand="0" w:oddHBand="0" w:evenHBand="0" w:firstRowFirstColumn="0" w:firstRowLastColumn="0" w:lastRowFirstColumn="0" w:lastRowLastColumn="0"/>
            <w:tcW w:w="4675" w:type="dxa"/>
            <w:shd w:val="clear" w:color="auto" w:fill="DBE5F1" w:themeFill="accent1" w:themeFillTint="33"/>
          </w:tcPr>
          <w:p w14:paraId="547CF734" w14:textId="77777777" w:rsidR="005F79BF" w:rsidRPr="002E0BB9" w:rsidRDefault="005F79BF" w:rsidP="00AD1560">
            <w:r w:rsidRPr="002E0BB9">
              <w:t>FOR</w:t>
            </w:r>
          </w:p>
        </w:tc>
        <w:tc>
          <w:tcPr>
            <w:tcW w:w="4675" w:type="dxa"/>
            <w:shd w:val="clear" w:color="auto" w:fill="DBE5F1" w:themeFill="accent1" w:themeFillTint="33"/>
          </w:tcPr>
          <w:p w14:paraId="592479F4" w14:textId="77777777" w:rsidR="005F79BF" w:rsidRPr="002E0BB9" w:rsidRDefault="005F79BF" w:rsidP="00AD1560">
            <w:pPr>
              <w:cnfStyle w:val="000000000000" w:firstRow="0" w:lastRow="0" w:firstColumn="0" w:lastColumn="0" w:oddVBand="0" w:evenVBand="0" w:oddHBand="0" w:evenHBand="0" w:firstRowFirstColumn="0" w:firstRowLastColumn="0" w:lastRowFirstColumn="0" w:lastRowLastColumn="0"/>
              <w:rPr>
                <w:b/>
              </w:rPr>
            </w:pPr>
            <w:r w:rsidRPr="002E0BB9">
              <w:rPr>
                <w:b/>
              </w:rPr>
              <w:t>FOR</w:t>
            </w:r>
          </w:p>
        </w:tc>
      </w:tr>
      <w:tr w:rsidR="005F79BF" w14:paraId="76512683"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05DA8B6F" w14:textId="77777777" w:rsidR="005F79BF" w:rsidRPr="002E0BB9" w:rsidRDefault="005F79BF" w:rsidP="00AD1560">
            <w:pPr>
              <w:rPr>
                <w:bCs w:val="0"/>
              </w:rPr>
            </w:pPr>
            <w:r>
              <w:rPr>
                <w:b w:val="0"/>
              </w:rPr>
              <w:t>Developer – N. Lafayette</w:t>
            </w:r>
          </w:p>
        </w:tc>
        <w:tc>
          <w:tcPr>
            <w:tcW w:w="4675" w:type="dxa"/>
          </w:tcPr>
          <w:p w14:paraId="2C23D939" w14:textId="295D7855" w:rsidR="005F79BF" w:rsidRPr="002E0BB9" w:rsidRDefault="005F79BF" w:rsidP="00AD1560">
            <w:pPr>
              <w:cnfStyle w:val="000000000000" w:firstRow="0" w:lastRow="0" w:firstColumn="0" w:lastColumn="0" w:oddVBand="0" w:evenVBand="0" w:oddHBand="0" w:evenHBand="0" w:firstRowFirstColumn="0" w:firstRowLastColumn="0" w:lastRowFirstColumn="0" w:lastRowLastColumn="0"/>
            </w:pPr>
            <w:r w:rsidRPr="002E0BB9">
              <w:t xml:space="preserve">Developer – </w:t>
            </w:r>
            <w:r>
              <w:t xml:space="preserve">J.P. </w:t>
            </w:r>
            <w:proofErr w:type="spellStart"/>
            <w:r>
              <w:t>LaMarche</w:t>
            </w:r>
            <w:proofErr w:type="spellEnd"/>
            <w:r>
              <w:t xml:space="preserve"> </w:t>
            </w:r>
            <w:r w:rsidRPr="005F79BF">
              <w:t>(voted after meeting)</w:t>
            </w:r>
          </w:p>
        </w:tc>
      </w:tr>
      <w:tr w:rsidR="005F79BF" w14:paraId="536527D5"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223F6262" w14:textId="77777777" w:rsidR="005F79BF" w:rsidRPr="002E0BB9" w:rsidRDefault="005F79BF" w:rsidP="00AD1560">
            <w:pPr>
              <w:rPr>
                <w:bCs w:val="0"/>
              </w:rPr>
            </w:pPr>
            <w:r>
              <w:rPr>
                <w:b w:val="0"/>
              </w:rPr>
              <w:t>Developer – M. Farrell</w:t>
            </w:r>
          </w:p>
        </w:tc>
        <w:tc>
          <w:tcPr>
            <w:tcW w:w="4675" w:type="dxa"/>
          </w:tcPr>
          <w:p w14:paraId="74AE0790" w14:textId="77777777" w:rsidR="005F79BF" w:rsidRPr="002E0BB9" w:rsidRDefault="005F79BF" w:rsidP="00AD1560">
            <w:pPr>
              <w:cnfStyle w:val="000000000000" w:firstRow="0" w:lastRow="0" w:firstColumn="0" w:lastColumn="0" w:oddVBand="0" w:evenVBand="0" w:oddHBand="0" w:evenHBand="0" w:firstRowFirstColumn="0" w:firstRowLastColumn="0" w:lastRowFirstColumn="0" w:lastRowLastColumn="0"/>
            </w:pPr>
            <w:r w:rsidRPr="002E0BB9">
              <w:t xml:space="preserve">Developer – </w:t>
            </w:r>
            <w:r>
              <w:t xml:space="preserve">A. </w:t>
            </w:r>
            <w:proofErr w:type="spellStart"/>
            <w:r>
              <w:t>Mayshar</w:t>
            </w:r>
            <w:proofErr w:type="spellEnd"/>
          </w:p>
        </w:tc>
      </w:tr>
      <w:tr w:rsidR="005F79BF" w14:paraId="6C359377"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6AB5EE6B" w14:textId="77777777" w:rsidR="005F79BF" w:rsidRPr="002E0BB9" w:rsidRDefault="005F79BF" w:rsidP="00AD1560">
            <w:pPr>
              <w:rPr>
                <w:b w:val="0"/>
              </w:rPr>
            </w:pPr>
            <w:r>
              <w:rPr>
                <w:b w:val="0"/>
              </w:rPr>
              <w:t>Eversource</w:t>
            </w:r>
          </w:p>
        </w:tc>
        <w:tc>
          <w:tcPr>
            <w:tcW w:w="4675" w:type="dxa"/>
          </w:tcPr>
          <w:p w14:paraId="6088691E" w14:textId="77777777" w:rsidR="005F79BF" w:rsidRPr="002E0BB9" w:rsidRDefault="005F79BF" w:rsidP="00AD1560">
            <w:pPr>
              <w:cnfStyle w:val="000000000000" w:firstRow="0" w:lastRow="0" w:firstColumn="0" w:lastColumn="0" w:oddVBand="0" w:evenVBand="0" w:oddHBand="0" w:evenHBand="0" w:firstRowFirstColumn="0" w:firstRowLastColumn="0" w:lastRowFirstColumn="0" w:lastRowLastColumn="0"/>
            </w:pPr>
            <w:r w:rsidRPr="002E0BB9">
              <w:t>Eversource</w:t>
            </w:r>
          </w:p>
        </w:tc>
      </w:tr>
      <w:tr w:rsidR="005F79BF" w14:paraId="78AE3317"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5E6727D3" w14:textId="77777777" w:rsidR="005F79BF" w:rsidRPr="002E0BB9" w:rsidRDefault="005F79BF" w:rsidP="00AD1560">
            <w:pPr>
              <w:rPr>
                <w:b w:val="0"/>
              </w:rPr>
            </w:pPr>
            <w:r>
              <w:rPr>
                <w:b w:val="0"/>
              </w:rPr>
              <w:t>UI</w:t>
            </w:r>
          </w:p>
        </w:tc>
        <w:tc>
          <w:tcPr>
            <w:tcW w:w="4675" w:type="dxa"/>
          </w:tcPr>
          <w:p w14:paraId="366FC390" w14:textId="77777777" w:rsidR="005F79BF" w:rsidRPr="002E0BB9" w:rsidRDefault="005F79BF" w:rsidP="00AD1560">
            <w:pPr>
              <w:cnfStyle w:val="000000000000" w:firstRow="0" w:lastRow="0" w:firstColumn="0" w:lastColumn="0" w:oddVBand="0" w:evenVBand="0" w:oddHBand="0" w:evenHBand="0" w:firstRowFirstColumn="0" w:firstRowLastColumn="0" w:lastRowFirstColumn="0" w:lastRowLastColumn="0"/>
            </w:pPr>
            <w:r w:rsidRPr="002E0BB9">
              <w:t>UI</w:t>
            </w:r>
          </w:p>
        </w:tc>
      </w:tr>
      <w:tr w:rsidR="005F79BF" w14:paraId="0FEB6C5E"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4DEAFA02" w14:textId="77777777" w:rsidR="005F79BF" w:rsidRPr="002E0BB9" w:rsidRDefault="005F79BF" w:rsidP="00AD1560">
            <w:pPr>
              <w:rPr>
                <w:b w:val="0"/>
              </w:rPr>
            </w:pPr>
            <w:r>
              <w:rPr>
                <w:b w:val="0"/>
              </w:rPr>
              <w:t>CIEC</w:t>
            </w:r>
          </w:p>
        </w:tc>
        <w:tc>
          <w:tcPr>
            <w:tcW w:w="4675" w:type="dxa"/>
          </w:tcPr>
          <w:p w14:paraId="4A85F3EB" w14:textId="77777777" w:rsidR="005F79BF" w:rsidRPr="002E0BB9" w:rsidRDefault="005F79BF" w:rsidP="00AD1560">
            <w:pPr>
              <w:cnfStyle w:val="000000000000" w:firstRow="0" w:lastRow="0" w:firstColumn="0" w:lastColumn="0" w:oddVBand="0" w:evenVBand="0" w:oddHBand="0" w:evenHBand="0" w:firstRowFirstColumn="0" w:firstRowLastColumn="0" w:lastRowFirstColumn="0" w:lastRowLastColumn="0"/>
            </w:pPr>
            <w:r w:rsidRPr="002E0BB9">
              <w:t>CIEC</w:t>
            </w:r>
          </w:p>
        </w:tc>
      </w:tr>
      <w:tr w:rsidR="005F79BF" w14:paraId="36626B33" w14:textId="77777777" w:rsidTr="005F79BF">
        <w:tc>
          <w:tcPr>
            <w:cnfStyle w:val="001000000000" w:firstRow="0" w:lastRow="0" w:firstColumn="1" w:lastColumn="0" w:oddVBand="0" w:evenVBand="0" w:oddHBand="0" w:evenHBand="0" w:firstRowFirstColumn="0" w:firstRowLastColumn="0" w:lastRowFirstColumn="0" w:lastRowLastColumn="0"/>
            <w:tcW w:w="4675" w:type="dxa"/>
            <w:shd w:val="clear" w:color="auto" w:fill="DBE5F1" w:themeFill="accent1" w:themeFillTint="33"/>
          </w:tcPr>
          <w:p w14:paraId="55A91E80" w14:textId="77777777" w:rsidR="005F79BF" w:rsidRPr="002E0BB9" w:rsidRDefault="005F79BF" w:rsidP="00AD1560">
            <w:r w:rsidRPr="002E0BB9">
              <w:t>AGAINST</w:t>
            </w:r>
          </w:p>
        </w:tc>
        <w:tc>
          <w:tcPr>
            <w:tcW w:w="4675" w:type="dxa"/>
            <w:shd w:val="clear" w:color="auto" w:fill="DBE5F1" w:themeFill="accent1" w:themeFillTint="33"/>
          </w:tcPr>
          <w:p w14:paraId="5403F1DC" w14:textId="77777777" w:rsidR="005F79BF" w:rsidRPr="002E0BB9" w:rsidRDefault="005F79BF" w:rsidP="00AD1560">
            <w:pPr>
              <w:cnfStyle w:val="000000000000" w:firstRow="0" w:lastRow="0" w:firstColumn="0" w:lastColumn="0" w:oddVBand="0" w:evenVBand="0" w:oddHBand="0" w:evenHBand="0" w:firstRowFirstColumn="0" w:firstRowLastColumn="0" w:lastRowFirstColumn="0" w:lastRowLastColumn="0"/>
              <w:rPr>
                <w:b/>
              </w:rPr>
            </w:pPr>
            <w:r>
              <w:rPr>
                <w:b/>
              </w:rPr>
              <w:t>AGAINST</w:t>
            </w:r>
          </w:p>
        </w:tc>
      </w:tr>
      <w:tr w:rsidR="005F79BF" w14:paraId="22566F25"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78B75B0A" w14:textId="77777777" w:rsidR="005F79BF" w:rsidRPr="002E0BB9" w:rsidRDefault="005F79BF" w:rsidP="00AD1560">
            <w:pPr>
              <w:rPr>
                <w:b w:val="0"/>
              </w:rPr>
            </w:pPr>
            <w:r>
              <w:rPr>
                <w:b w:val="0"/>
              </w:rPr>
              <w:t>OCC</w:t>
            </w:r>
          </w:p>
        </w:tc>
        <w:tc>
          <w:tcPr>
            <w:tcW w:w="4675" w:type="dxa"/>
          </w:tcPr>
          <w:p w14:paraId="2D2C94D5" w14:textId="77777777" w:rsidR="005F79BF" w:rsidRPr="002E0BB9" w:rsidRDefault="005F79BF" w:rsidP="00AD1560">
            <w:pPr>
              <w:cnfStyle w:val="000000000000" w:firstRow="0" w:lastRow="0" w:firstColumn="0" w:lastColumn="0" w:oddVBand="0" w:evenVBand="0" w:oddHBand="0" w:evenHBand="0" w:firstRowFirstColumn="0" w:firstRowLastColumn="0" w:lastRowFirstColumn="0" w:lastRowLastColumn="0"/>
            </w:pPr>
            <w:r w:rsidRPr="002E0BB9">
              <w:t>OCC</w:t>
            </w:r>
          </w:p>
        </w:tc>
      </w:tr>
      <w:tr w:rsidR="005F79BF" w14:paraId="5A7CA321" w14:textId="77777777" w:rsidTr="005F79BF">
        <w:tc>
          <w:tcPr>
            <w:cnfStyle w:val="001000000000" w:firstRow="0" w:lastRow="0" w:firstColumn="1" w:lastColumn="0" w:oddVBand="0" w:evenVBand="0" w:oddHBand="0" w:evenHBand="0" w:firstRowFirstColumn="0" w:firstRowLastColumn="0" w:lastRowFirstColumn="0" w:lastRowLastColumn="0"/>
            <w:tcW w:w="4675" w:type="dxa"/>
            <w:shd w:val="clear" w:color="auto" w:fill="DBE5F1" w:themeFill="accent1" w:themeFillTint="33"/>
          </w:tcPr>
          <w:p w14:paraId="68F2A805" w14:textId="77777777" w:rsidR="005F79BF" w:rsidRPr="006B03F9" w:rsidRDefault="005F79BF" w:rsidP="00AD1560">
            <w:r w:rsidRPr="006B03F9">
              <w:t>ABSTAIN</w:t>
            </w:r>
          </w:p>
        </w:tc>
        <w:tc>
          <w:tcPr>
            <w:tcW w:w="4675" w:type="dxa"/>
          </w:tcPr>
          <w:p w14:paraId="4024AFE4" w14:textId="77777777" w:rsidR="005F79BF" w:rsidRDefault="005F79BF" w:rsidP="00AD1560">
            <w:pPr>
              <w:cnfStyle w:val="000000000000" w:firstRow="0" w:lastRow="0" w:firstColumn="0" w:lastColumn="0" w:oddVBand="0" w:evenVBand="0" w:oddHBand="0" w:evenHBand="0" w:firstRowFirstColumn="0" w:firstRowLastColumn="0" w:lastRowFirstColumn="0" w:lastRowLastColumn="0"/>
              <w:rPr>
                <w:b/>
              </w:rPr>
            </w:pPr>
          </w:p>
        </w:tc>
      </w:tr>
      <w:tr w:rsidR="005F79BF" w14:paraId="6FA6B91C"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7A8B1901" w14:textId="39DB6F73" w:rsidR="005F79BF" w:rsidRPr="002E0BB9" w:rsidRDefault="005F79BF" w:rsidP="00AD1560">
            <w:pPr>
              <w:rPr>
                <w:b w:val="0"/>
              </w:rPr>
            </w:pPr>
            <w:r>
              <w:rPr>
                <w:b w:val="0"/>
              </w:rPr>
              <w:t>BETP</w:t>
            </w:r>
            <w:r>
              <w:rPr>
                <w:b w:val="0"/>
              </w:rPr>
              <w:t xml:space="preserve"> (voted after meeting)</w:t>
            </w:r>
          </w:p>
        </w:tc>
        <w:tc>
          <w:tcPr>
            <w:tcW w:w="4675" w:type="dxa"/>
          </w:tcPr>
          <w:p w14:paraId="454B2A68" w14:textId="77777777" w:rsidR="005F79BF" w:rsidRDefault="005F79BF" w:rsidP="00AD1560">
            <w:pPr>
              <w:cnfStyle w:val="000000000000" w:firstRow="0" w:lastRow="0" w:firstColumn="0" w:lastColumn="0" w:oddVBand="0" w:evenVBand="0" w:oddHBand="0" w:evenHBand="0" w:firstRowFirstColumn="0" w:firstRowLastColumn="0" w:lastRowFirstColumn="0" w:lastRowLastColumn="0"/>
              <w:rPr>
                <w:b/>
              </w:rPr>
            </w:pPr>
          </w:p>
        </w:tc>
      </w:tr>
    </w:tbl>
    <w:p w14:paraId="4A2BFF03" w14:textId="18EA4930" w:rsidR="00F13991" w:rsidRDefault="00B869EC" w:rsidP="00B869EC">
      <w:pPr>
        <w:pStyle w:val="ListParagraph"/>
        <w:numPr>
          <w:ilvl w:val="0"/>
          <w:numId w:val="16"/>
        </w:numPr>
        <w:ind w:firstLine="0"/>
        <w:jc w:val="both"/>
        <w:rPr>
          <w:rFonts w:cs="Arial"/>
          <w:b/>
          <w:szCs w:val="24"/>
        </w:rPr>
      </w:pPr>
      <w:r>
        <w:rPr>
          <w:rFonts w:cs="Arial"/>
          <w:b/>
          <w:szCs w:val="24"/>
        </w:rPr>
        <w:t xml:space="preserve">OCC opposed because of possibility of gamesmanship. </w:t>
      </w:r>
      <w:r>
        <w:rPr>
          <w:rFonts w:cs="Arial"/>
          <w:b/>
          <w:szCs w:val="24"/>
        </w:rPr>
        <w:t>A</w:t>
      </w:r>
      <w:r w:rsidRPr="00F13991">
        <w:rPr>
          <w:rFonts w:cs="Arial"/>
          <w:b/>
          <w:szCs w:val="24"/>
        </w:rPr>
        <w:t xml:space="preserve">ll you could be doing with this process is buying time, if you </w:t>
      </w:r>
      <w:r>
        <w:rPr>
          <w:rFonts w:cs="Arial"/>
          <w:b/>
          <w:szCs w:val="24"/>
        </w:rPr>
        <w:t>do</w:t>
      </w:r>
      <w:r w:rsidRPr="00F13991">
        <w:rPr>
          <w:rFonts w:cs="Arial"/>
          <w:b/>
          <w:szCs w:val="24"/>
        </w:rPr>
        <w:t>n’t like what the ombudsperson is saying then you</w:t>
      </w:r>
      <w:r>
        <w:rPr>
          <w:rFonts w:cs="Arial"/>
          <w:b/>
          <w:szCs w:val="24"/>
        </w:rPr>
        <w:t xml:space="preserve"> </w:t>
      </w:r>
      <w:r w:rsidRPr="00F13991">
        <w:rPr>
          <w:rFonts w:cs="Arial"/>
          <w:b/>
          <w:szCs w:val="24"/>
        </w:rPr>
        <w:t>can just go</w:t>
      </w:r>
      <w:r>
        <w:rPr>
          <w:rFonts w:cs="Arial"/>
          <w:b/>
          <w:szCs w:val="24"/>
        </w:rPr>
        <w:t xml:space="preserve"> </w:t>
      </w:r>
      <w:r w:rsidRPr="00F13991">
        <w:rPr>
          <w:rFonts w:cs="Arial"/>
          <w:b/>
          <w:szCs w:val="24"/>
        </w:rPr>
        <w:t>to</w:t>
      </w:r>
      <w:r>
        <w:rPr>
          <w:rFonts w:cs="Arial"/>
          <w:b/>
          <w:szCs w:val="24"/>
        </w:rPr>
        <w:t xml:space="preserve"> </w:t>
      </w:r>
      <w:r w:rsidRPr="00F13991">
        <w:rPr>
          <w:rFonts w:cs="Arial"/>
          <w:b/>
          <w:szCs w:val="24"/>
        </w:rPr>
        <w:t>PURA after filing with the ombudsperson. OCC would prefer PURA to be the adjudicator.</w:t>
      </w:r>
    </w:p>
    <w:p w14:paraId="548BAD08" w14:textId="77777777" w:rsidR="00B869EC" w:rsidRPr="00B869EC" w:rsidRDefault="00B869EC" w:rsidP="00B869EC">
      <w:pPr>
        <w:jc w:val="both"/>
        <w:rPr>
          <w:rFonts w:cs="Arial"/>
          <w:b/>
          <w:szCs w:val="24"/>
        </w:rPr>
      </w:pPr>
    </w:p>
    <w:p w14:paraId="5C48D1F1" w14:textId="5D5E1565" w:rsidR="002927DB" w:rsidRPr="00546B1A" w:rsidRDefault="009F4286" w:rsidP="0051702C">
      <w:pPr>
        <w:pStyle w:val="ListParagraph"/>
        <w:numPr>
          <w:ilvl w:val="0"/>
          <w:numId w:val="13"/>
        </w:numPr>
        <w:jc w:val="both"/>
        <w:rPr>
          <w:rFonts w:cs="Arial"/>
          <w:bCs/>
          <w:i/>
          <w:iCs/>
          <w:szCs w:val="24"/>
        </w:rPr>
      </w:pPr>
      <w:r w:rsidRPr="00546B1A">
        <w:rPr>
          <w:rFonts w:cs="Arial"/>
          <w:bCs/>
          <w:i/>
          <w:iCs/>
          <w:szCs w:val="24"/>
        </w:rPr>
        <w:t>Increasing Level 1 Screen to 25kW</w:t>
      </w:r>
    </w:p>
    <w:p w14:paraId="7D67BECC" w14:textId="331F4BC0" w:rsidR="004D6F8E" w:rsidRDefault="004D6F8E" w:rsidP="004D6F8E">
      <w:pPr>
        <w:pStyle w:val="ListParagraph"/>
        <w:numPr>
          <w:ilvl w:val="1"/>
          <w:numId w:val="13"/>
        </w:numPr>
        <w:jc w:val="both"/>
        <w:rPr>
          <w:rFonts w:cs="Arial"/>
          <w:b/>
          <w:szCs w:val="24"/>
        </w:rPr>
      </w:pPr>
      <w:r>
        <w:rPr>
          <w:rFonts w:cs="Arial"/>
          <w:b/>
          <w:szCs w:val="24"/>
        </w:rPr>
        <w:t>Propos</w:t>
      </w:r>
      <w:r w:rsidR="00B869EC">
        <w:rPr>
          <w:rFonts w:cs="Arial"/>
          <w:b/>
          <w:szCs w:val="24"/>
        </w:rPr>
        <w:t>al</w:t>
      </w:r>
      <w:r>
        <w:rPr>
          <w:rFonts w:cs="Arial"/>
          <w:b/>
          <w:szCs w:val="24"/>
        </w:rPr>
        <w:t xml:space="preserve"> to change the system size threshold from 20 to 25 kW. This is in line with the new state statute which caps the residential tariff at 25 kW. Included in this are some technical screening changes that the EDCs feel are going to be beneficial to the process moving forward and minimize the </w:t>
      </w:r>
      <w:proofErr w:type="gramStart"/>
      <w:r>
        <w:rPr>
          <w:rFonts w:cs="Arial"/>
          <w:b/>
          <w:szCs w:val="24"/>
        </w:rPr>
        <w:t>amount</w:t>
      </w:r>
      <w:proofErr w:type="gramEnd"/>
      <w:r>
        <w:rPr>
          <w:rFonts w:cs="Arial"/>
          <w:b/>
          <w:szCs w:val="24"/>
        </w:rPr>
        <w:t xml:space="preserve"> of projects that are getting flagged. Also includes </w:t>
      </w:r>
    </w:p>
    <w:p w14:paraId="55BF72B7" w14:textId="77777777" w:rsidR="00B869EC" w:rsidRDefault="004D6F8E" w:rsidP="004D6F8E">
      <w:pPr>
        <w:pStyle w:val="ListParagraph"/>
        <w:numPr>
          <w:ilvl w:val="1"/>
          <w:numId w:val="13"/>
        </w:numPr>
        <w:jc w:val="both"/>
        <w:rPr>
          <w:rFonts w:cs="Arial"/>
          <w:b/>
          <w:szCs w:val="24"/>
        </w:rPr>
      </w:pPr>
      <w:r>
        <w:rPr>
          <w:rFonts w:cs="Arial"/>
          <w:b/>
          <w:szCs w:val="24"/>
        </w:rPr>
        <w:t xml:space="preserve">Draft to be sent out by Joe </w:t>
      </w:r>
      <w:proofErr w:type="spellStart"/>
      <w:r>
        <w:rPr>
          <w:rFonts w:cs="Arial"/>
          <w:b/>
          <w:szCs w:val="24"/>
        </w:rPr>
        <w:t>Marranca</w:t>
      </w:r>
      <w:proofErr w:type="spellEnd"/>
      <w:r>
        <w:rPr>
          <w:rFonts w:cs="Arial"/>
          <w:b/>
          <w:szCs w:val="24"/>
        </w:rPr>
        <w:t xml:space="preserve"> (UI)</w:t>
      </w:r>
      <w:r w:rsidR="00AC4B24">
        <w:rPr>
          <w:rFonts w:cs="Arial"/>
          <w:b/>
          <w:szCs w:val="24"/>
        </w:rPr>
        <w:t>. Other changes were discussed to be included in the draft(nameplate rating, inverter frequency ride-thru capability). Voting members given opportunity to change their vote based on this draft, with their indicated reason.</w:t>
      </w:r>
    </w:p>
    <w:p w14:paraId="13D446D0" w14:textId="5688131B" w:rsidR="00B869EC" w:rsidRPr="00B869EC" w:rsidRDefault="00B869EC" w:rsidP="00B869EC">
      <w:pPr>
        <w:pStyle w:val="ListParagraph"/>
        <w:numPr>
          <w:ilvl w:val="1"/>
          <w:numId w:val="13"/>
        </w:numPr>
        <w:rPr>
          <w:b/>
        </w:rPr>
      </w:pPr>
      <w:r w:rsidRPr="00B869EC">
        <w:rPr>
          <w:b/>
        </w:rPr>
        <w:t>Vote Total:  13 for; 0 against; 0 abstention</w:t>
      </w:r>
    </w:p>
    <w:tbl>
      <w:tblPr>
        <w:tblStyle w:val="GridTable1Light-Accent5"/>
        <w:tblW w:w="0" w:type="auto"/>
        <w:tblLook w:val="04A0" w:firstRow="1" w:lastRow="0" w:firstColumn="1" w:lastColumn="0" w:noHBand="0" w:noVBand="1"/>
      </w:tblPr>
      <w:tblGrid>
        <w:gridCol w:w="4675"/>
        <w:gridCol w:w="4675"/>
      </w:tblGrid>
      <w:tr w:rsidR="00B869EC" w14:paraId="59A04E90" w14:textId="77777777" w:rsidTr="00AD15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00B0F0"/>
          </w:tcPr>
          <w:p w14:paraId="51AD6264" w14:textId="77777777" w:rsidR="00B869EC" w:rsidRPr="002E0BB9" w:rsidRDefault="00B869EC" w:rsidP="00AD1560">
            <w:pPr>
              <w:rPr>
                <w:b w:val="0"/>
              </w:rPr>
            </w:pPr>
            <w:r>
              <w:rPr>
                <w:b w:val="0"/>
              </w:rPr>
              <w:t>Policy Group</w:t>
            </w:r>
          </w:p>
        </w:tc>
        <w:tc>
          <w:tcPr>
            <w:tcW w:w="4675" w:type="dxa"/>
            <w:shd w:val="clear" w:color="auto" w:fill="00B0F0"/>
          </w:tcPr>
          <w:p w14:paraId="03A48573" w14:textId="77777777" w:rsidR="00B869EC" w:rsidRPr="002E0BB9" w:rsidRDefault="00B869EC" w:rsidP="00AD1560">
            <w:pPr>
              <w:cnfStyle w:val="100000000000" w:firstRow="1" w:lastRow="0" w:firstColumn="0" w:lastColumn="0" w:oddVBand="0" w:evenVBand="0" w:oddHBand="0" w:evenHBand="0" w:firstRowFirstColumn="0" w:firstRowLastColumn="0" w:lastRowFirstColumn="0" w:lastRowLastColumn="0"/>
              <w:rPr>
                <w:b w:val="0"/>
              </w:rPr>
            </w:pPr>
            <w:r>
              <w:rPr>
                <w:b w:val="0"/>
              </w:rPr>
              <w:t>Technical Group</w:t>
            </w:r>
          </w:p>
        </w:tc>
      </w:tr>
      <w:tr w:rsidR="00B869EC" w14:paraId="40041B99" w14:textId="77777777" w:rsidTr="00B869EC">
        <w:tc>
          <w:tcPr>
            <w:cnfStyle w:val="001000000000" w:firstRow="0" w:lastRow="0" w:firstColumn="1" w:lastColumn="0" w:oddVBand="0" w:evenVBand="0" w:oddHBand="0" w:evenHBand="0" w:firstRowFirstColumn="0" w:firstRowLastColumn="0" w:lastRowFirstColumn="0" w:lastRowLastColumn="0"/>
            <w:tcW w:w="4675" w:type="dxa"/>
            <w:shd w:val="clear" w:color="auto" w:fill="DBE5F1" w:themeFill="accent1" w:themeFillTint="33"/>
          </w:tcPr>
          <w:p w14:paraId="75F2D695" w14:textId="77777777" w:rsidR="00B869EC" w:rsidRPr="002E0BB9" w:rsidRDefault="00B869EC" w:rsidP="00AD1560">
            <w:r w:rsidRPr="002E0BB9">
              <w:t>FOR</w:t>
            </w:r>
          </w:p>
        </w:tc>
        <w:tc>
          <w:tcPr>
            <w:tcW w:w="4675" w:type="dxa"/>
            <w:shd w:val="clear" w:color="auto" w:fill="DBE5F1" w:themeFill="accent1" w:themeFillTint="33"/>
          </w:tcPr>
          <w:p w14:paraId="001EFE08" w14:textId="77777777" w:rsidR="00B869EC" w:rsidRPr="002E0BB9" w:rsidRDefault="00B869EC" w:rsidP="00AD1560">
            <w:pPr>
              <w:cnfStyle w:val="000000000000" w:firstRow="0" w:lastRow="0" w:firstColumn="0" w:lastColumn="0" w:oddVBand="0" w:evenVBand="0" w:oddHBand="0" w:evenHBand="0" w:firstRowFirstColumn="0" w:firstRowLastColumn="0" w:lastRowFirstColumn="0" w:lastRowLastColumn="0"/>
              <w:rPr>
                <w:b/>
              </w:rPr>
            </w:pPr>
            <w:r w:rsidRPr="002E0BB9">
              <w:rPr>
                <w:b/>
              </w:rPr>
              <w:t>FOR</w:t>
            </w:r>
          </w:p>
        </w:tc>
      </w:tr>
      <w:tr w:rsidR="00B869EC" w14:paraId="25166357"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78A39A3E" w14:textId="77777777" w:rsidR="00B869EC" w:rsidRPr="002E0BB9" w:rsidRDefault="00B869EC" w:rsidP="00AD1560">
            <w:pPr>
              <w:rPr>
                <w:bCs w:val="0"/>
              </w:rPr>
            </w:pPr>
            <w:r>
              <w:rPr>
                <w:b w:val="0"/>
              </w:rPr>
              <w:t>Developer – N. Lafayette</w:t>
            </w:r>
          </w:p>
        </w:tc>
        <w:tc>
          <w:tcPr>
            <w:tcW w:w="4675" w:type="dxa"/>
          </w:tcPr>
          <w:p w14:paraId="376126B3" w14:textId="518190C1" w:rsidR="00B869EC" w:rsidRPr="002E0BB9" w:rsidRDefault="00B869EC" w:rsidP="00AD1560">
            <w:pPr>
              <w:cnfStyle w:val="000000000000" w:firstRow="0" w:lastRow="0" w:firstColumn="0" w:lastColumn="0" w:oddVBand="0" w:evenVBand="0" w:oddHBand="0" w:evenHBand="0" w:firstRowFirstColumn="0" w:firstRowLastColumn="0" w:lastRowFirstColumn="0" w:lastRowLastColumn="0"/>
            </w:pPr>
            <w:r w:rsidRPr="002E0BB9">
              <w:t xml:space="preserve">Developer – </w:t>
            </w:r>
            <w:r>
              <w:t xml:space="preserve">J.P. </w:t>
            </w:r>
            <w:proofErr w:type="spellStart"/>
            <w:r>
              <w:t>LaMarche</w:t>
            </w:r>
            <w:proofErr w:type="spellEnd"/>
            <w:r>
              <w:t xml:space="preserve"> (voted after meeting)</w:t>
            </w:r>
          </w:p>
        </w:tc>
      </w:tr>
      <w:tr w:rsidR="00B869EC" w14:paraId="40FAB245"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66EDD0ED" w14:textId="77777777" w:rsidR="00B869EC" w:rsidRPr="002E0BB9" w:rsidRDefault="00B869EC" w:rsidP="00AD1560">
            <w:pPr>
              <w:rPr>
                <w:bCs w:val="0"/>
              </w:rPr>
            </w:pPr>
            <w:r>
              <w:rPr>
                <w:b w:val="0"/>
              </w:rPr>
              <w:t>Developer – M. Farrell</w:t>
            </w:r>
          </w:p>
        </w:tc>
        <w:tc>
          <w:tcPr>
            <w:tcW w:w="4675" w:type="dxa"/>
          </w:tcPr>
          <w:p w14:paraId="4C750983" w14:textId="77777777" w:rsidR="00B869EC" w:rsidRPr="002E0BB9" w:rsidRDefault="00B869EC" w:rsidP="00AD1560">
            <w:pPr>
              <w:cnfStyle w:val="000000000000" w:firstRow="0" w:lastRow="0" w:firstColumn="0" w:lastColumn="0" w:oddVBand="0" w:evenVBand="0" w:oddHBand="0" w:evenHBand="0" w:firstRowFirstColumn="0" w:firstRowLastColumn="0" w:lastRowFirstColumn="0" w:lastRowLastColumn="0"/>
            </w:pPr>
            <w:r w:rsidRPr="002E0BB9">
              <w:t xml:space="preserve">Developer – </w:t>
            </w:r>
            <w:r>
              <w:t xml:space="preserve">A. </w:t>
            </w:r>
            <w:proofErr w:type="spellStart"/>
            <w:r>
              <w:t>Mayshar</w:t>
            </w:r>
            <w:proofErr w:type="spellEnd"/>
          </w:p>
        </w:tc>
      </w:tr>
      <w:tr w:rsidR="00B869EC" w14:paraId="54BBB76D"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6C95C613" w14:textId="77777777" w:rsidR="00B869EC" w:rsidRPr="002E0BB9" w:rsidRDefault="00B869EC" w:rsidP="00AD1560">
            <w:pPr>
              <w:rPr>
                <w:b w:val="0"/>
              </w:rPr>
            </w:pPr>
            <w:r>
              <w:rPr>
                <w:b w:val="0"/>
              </w:rPr>
              <w:t>Eversource</w:t>
            </w:r>
          </w:p>
        </w:tc>
        <w:tc>
          <w:tcPr>
            <w:tcW w:w="4675" w:type="dxa"/>
          </w:tcPr>
          <w:p w14:paraId="48DCABE8" w14:textId="77777777" w:rsidR="00B869EC" w:rsidRPr="002E0BB9" w:rsidRDefault="00B869EC" w:rsidP="00AD1560">
            <w:pPr>
              <w:cnfStyle w:val="000000000000" w:firstRow="0" w:lastRow="0" w:firstColumn="0" w:lastColumn="0" w:oddVBand="0" w:evenVBand="0" w:oddHBand="0" w:evenHBand="0" w:firstRowFirstColumn="0" w:firstRowLastColumn="0" w:lastRowFirstColumn="0" w:lastRowLastColumn="0"/>
            </w:pPr>
            <w:r w:rsidRPr="002E0BB9">
              <w:t>Eversource</w:t>
            </w:r>
          </w:p>
        </w:tc>
      </w:tr>
      <w:tr w:rsidR="00B869EC" w14:paraId="037D55CD"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4078A9C3" w14:textId="77777777" w:rsidR="00B869EC" w:rsidRPr="002E0BB9" w:rsidRDefault="00B869EC" w:rsidP="00AD1560">
            <w:pPr>
              <w:rPr>
                <w:b w:val="0"/>
              </w:rPr>
            </w:pPr>
            <w:r>
              <w:rPr>
                <w:b w:val="0"/>
              </w:rPr>
              <w:lastRenderedPageBreak/>
              <w:t>UI</w:t>
            </w:r>
          </w:p>
        </w:tc>
        <w:tc>
          <w:tcPr>
            <w:tcW w:w="4675" w:type="dxa"/>
          </w:tcPr>
          <w:p w14:paraId="70157D85" w14:textId="77777777" w:rsidR="00B869EC" w:rsidRPr="002E0BB9" w:rsidRDefault="00B869EC" w:rsidP="00AD1560">
            <w:pPr>
              <w:cnfStyle w:val="000000000000" w:firstRow="0" w:lastRow="0" w:firstColumn="0" w:lastColumn="0" w:oddVBand="0" w:evenVBand="0" w:oddHBand="0" w:evenHBand="0" w:firstRowFirstColumn="0" w:firstRowLastColumn="0" w:lastRowFirstColumn="0" w:lastRowLastColumn="0"/>
            </w:pPr>
            <w:r w:rsidRPr="002E0BB9">
              <w:t>UI</w:t>
            </w:r>
          </w:p>
        </w:tc>
      </w:tr>
      <w:tr w:rsidR="00B869EC" w14:paraId="66C3A4AF"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7A513DF6" w14:textId="77777777" w:rsidR="00B869EC" w:rsidRPr="002E0BB9" w:rsidRDefault="00B869EC" w:rsidP="00AD1560">
            <w:pPr>
              <w:rPr>
                <w:b w:val="0"/>
              </w:rPr>
            </w:pPr>
            <w:r>
              <w:rPr>
                <w:b w:val="0"/>
              </w:rPr>
              <w:t>CIEC</w:t>
            </w:r>
          </w:p>
        </w:tc>
        <w:tc>
          <w:tcPr>
            <w:tcW w:w="4675" w:type="dxa"/>
          </w:tcPr>
          <w:p w14:paraId="19C2F1D1" w14:textId="77777777" w:rsidR="00B869EC" w:rsidRPr="002E0BB9" w:rsidRDefault="00B869EC" w:rsidP="00AD1560">
            <w:pPr>
              <w:cnfStyle w:val="000000000000" w:firstRow="0" w:lastRow="0" w:firstColumn="0" w:lastColumn="0" w:oddVBand="0" w:evenVBand="0" w:oddHBand="0" w:evenHBand="0" w:firstRowFirstColumn="0" w:firstRowLastColumn="0" w:lastRowFirstColumn="0" w:lastRowLastColumn="0"/>
            </w:pPr>
            <w:r w:rsidRPr="002E0BB9">
              <w:t>CIEC</w:t>
            </w:r>
          </w:p>
        </w:tc>
      </w:tr>
      <w:tr w:rsidR="00B869EC" w14:paraId="46010129"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7A91AB88" w14:textId="77777777" w:rsidR="00B869EC" w:rsidRPr="002E0BB9" w:rsidRDefault="00B869EC" w:rsidP="00AD1560">
            <w:pPr>
              <w:rPr>
                <w:b w:val="0"/>
              </w:rPr>
            </w:pPr>
            <w:r>
              <w:rPr>
                <w:b w:val="0"/>
              </w:rPr>
              <w:t>OCC</w:t>
            </w:r>
          </w:p>
        </w:tc>
        <w:tc>
          <w:tcPr>
            <w:tcW w:w="4675" w:type="dxa"/>
          </w:tcPr>
          <w:p w14:paraId="416E7811" w14:textId="77777777" w:rsidR="00B869EC" w:rsidRPr="002E0BB9" w:rsidRDefault="00B869EC" w:rsidP="00AD1560">
            <w:pPr>
              <w:cnfStyle w:val="000000000000" w:firstRow="0" w:lastRow="0" w:firstColumn="0" w:lastColumn="0" w:oddVBand="0" w:evenVBand="0" w:oddHBand="0" w:evenHBand="0" w:firstRowFirstColumn="0" w:firstRowLastColumn="0" w:lastRowFirstColumn="0" w:lastRowLastColumn="0"/>
            </w:pPr>
            <w:r w:rsidRPr="002E0BB9">
              <w:t>OCC</w:t>
            </w:r>
          </w:p>
        </w:tc>
      </w:tr>
      <w:tr w:rsidR="00B869EC" w14:paraId="12767A33"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2F966BB2" w14:textId="77777777" w:rsidR="00B869EC" w:rsidRPr="002E0BB9" w:rsidRDefault="00B869EC" w:rsidP="00AD1560">
            <w:pPr>
              <w:rPr>
                <w:b w:val="0"/>
              </w:rPr>
            </w:pPr>
            <w:r>
              <w:rPr>
                <w:b w:val="0"/>
              </w:rPr>
              <w:t>BETP</w:t>
            </w:r>
          </w:p>
        </w:tc>
        <w:tc>
          <w:tcPr>
            <w:tcW w:w="4675" w:type="dxa"/>
          </w:tcPr>
          <w:p w14:paraId="38AE516C" w14:textId="77777777" w:rsidR="00B869EC" w:rsidRDefault="00B869EC" w:rsidP="00AD1560">
            <w:pPr>
              <w:cnfStyle w:val="000000000000" w:firstRow="0" w:lastRow="0" w:firstColumn="0" w:lastColumn="0" w:oddVBand="0" w:evenVBand="0" w:oddHBand="0" w:evenHBand="0" w:firstRowFirstColumn="0" w:firstRowLastColumn="0" w:lastRowFirstColumn="0" w:lastRowLastColumn="0"/>
              <w:rPr>
                <w:b/>
              </w:rPr>
            </w:pPr>
          </w:p>
        </w:tc>
      </w:tr>
    </w:tbl>
    <w:p w14:paraId="470D15C5" w14:textId="52A9C38A" w:rsidR="00AC4B24" w:rsidRPr="00B869EC" w:rsidRDefault="00AC4B24" w:rsidP="00B869EC">
      <w:pPr>
        <w:ind w:left="1080"/>
        <w:jc w:val="both"/>
        <w:rPr>
          <w:rFonts w:cs="Arial"/>
          <w:b/>
          <w:szCs w:val="24"/>
        </w:rPr>
      </w:pPr>
      <w:r w:rsidRPr="00B869EC">
        <w:rPr>
          <w:rFonts w:cs="Arial"/>
          <w:b/>
          <w:szCs w:val="24"/>
        </w:rPr>
        <w:t xml:space="preserve"> </w:t>
      </w:r>
    </w:p>
    <w:p w14:paraId="70AAE92F" w14:textId="4CA2257D" w:rsidR="00ED6E79" w:rsidRPr="00546B1A" w:rsidRDefault="0051702C" w:rsidP="0051702C">
      <w:pPr>
        <w:pStyle w:val="ListParagraph"/>
        <w:numPr>
          <w:ilvl w:val="0"/>
          <w:numId w:val="13"/>
        </w:numPr>
        <w:jc w:val="both"/>
        <w:rPr>
          <w:rFonts w:cs="Arial"/>
          <w:bCs/>
          <w:i/>
          <w:iCs/>
          <w:szCs w:val="24"/>
        </w:rPr>
      </w:pPr>
      <w:r w:rsidRPr="00546B1A">
        <w:rPr>
          <w:rFonts w:cs="Arial"/>
          <w:bCs/>
          <w:i/>
          <w:iCs/>
          <w:szCs w:val="24"/>
        </w:rPr>
        <w:t>Hosting Capacity Maps</w:t>
      </w:r>
    </w:p>
    <w:p w14:paraId="6AD0630B" w14:textId="65213015" w:rsidR="0015342C" w:rsidRDefault="0015342C" w:rsidP="0015342C">
      <w:pPr>
        <w:pStyle w:val="ListParagraph"/>
        <w:numPr>
          <w:ilvl w:val="1"/>
          <w:numId w:val="13"/>
        </w:numPr>
        <w:jc w:val="both"/>
        <w:rPr>
          <w:rFonts w:cs="Arial"/>
          <w:b/>
          <w:szCs w:val="24"/>
        </w:rPr>
      </w:pPr>
      <w:r>
        <w:rPr>
          <w:rFonts w:cs="Arial"/>
          <w:b/>
          <w:szCs w:val="24"/>
        </w:rPr>
        <w:t>Eversource is on target  for hosting capacity upgrades by approximate end of 4</w:t>
      </w:r>
      <w:r w:rsidRPr="0015342C">
        <w:rPr>
          <w:rFonts w:cs="Arial"/>
          <w:b/>
          <w:szCs w:val="24"/>
          <w:vertAlign w:val="superscript"/>
        </w:rPr>
        <w:t>th</w:t>
      </w:r>
      <w:r>
        <w:rPr>
          <w:rFonts w:cs="Arial"/>
          <w:b/>
          <w:szCs w:val="24"/>
        </w:rPr>
        <w:t xml:space="preserve"> quarter</w:t>
      </w:r>
      <w:r w:rsidRPr="0015342C">
        <w:rPr>
          <w:rFonts w:cs="Arial"/>
          <w:b/>
          <w:szCs w:val="24"/>
        </w:rPr>
        <w:t xml:space="preserve"> </w:t>
      </w:r>
    </w:p>
    <w:p w14:paraId="2DB736C2" w14:textId="453E771C" w:rsidR="0015342C" w:rsidRDefault="0015342C" w:rsidP="0015342C">
      <w:pPr>
        <w:pStyle w:val="ListParagraph"/>
        <w:numPr>
          <w:ilvl w:val="2"/>
          <w:numId w:val="13"/>
        </w:numPr>
        <w:jc w:val="both"/>
        <w:rPr>
          <w:rFonts w:cs="Arial"/>
          <w:b/>
          <w:szCs w:val="24"/>
        </w:rPr>
      </w:pPr>
      <w:r>
        <w:rPr>
          <w:rFonts w:cs="Arial"/>
          <w:b/>
          <w:szCs w:val="24"/>
        </w:rPr>
        <w:t xml:space="preserve">Downloading capacity and load may not be available at that time </w:t>
      </w:r>
    </w:p>
    <w:p w14:paraId="086C5314" w14:textId="43B2DCE6" w:rsidR="0015342C" w:rsidRDefault="0015342C" w:rsidP="0015342C">
      <w:pPr>
        <w:pStyle w:val="ListParagraph"/>
        <w:numPr>
          <w:ilvl w:val="1"/>
          <w:numId w:val="13"/>
        </w:numPr>
        <w:jc w:val="both"/>
        <w:rPr>
          <w:rFonts w:cs="Arial"/>
          <w:b/>
          <w:szCs w:val="24"/>
        </w:rPr>
      </w:pPr>
      <w:r>
        <w:rPr>
          <w:rFonts w:cs="Arial"/>
          <w:b/>
          <w:szCs w:val="24"/>
        </w:rPr>
        <w:t>UI on schedule to have available hosting capacity maps by year end, with additional features to be added at a later time</w:t>
      </w:r>
    </w:p>
    <w:p w14:paraId="4C3D14AB" w14:textId="065E4D84" w:rsidR="0015342C" w:rsidRDefault="0015342C" w:rsidP="0015342C">
      <w:pPr>
        <w:pStyle w:val="ListParagraph"/>
        <w:numPr>
          <w:ilvl w:val="1"/>
          <w:numId w:val="13"/>
        </w:numPr>
        <w:jc w:val="both"/>
        <w:rPr>
          <w:rFonts w:cs="Arial"/>
          <w:b/>
          <w:szCs w:val="24"/>
        </w:rPr>
      </w:pPr>
      <w:r>
        <w:rPr>
          <w:rFonts w:cs="Arial"/>
          <w:b/>
          <w:szCs w:val="24"/>
        </w:rPr>
        <w:t>Developers would like to be able to download GIS files</w:t>
      </w:r>
    </w:p>
    <w:p w14:paraId="64DD47AA" w14:textId="0A79A765" w:rsidR="0015342C" w:rsidRDefault="00912C93" w:rsidP="0015342C">
      <w:pPr>
        <w:pStyle w:val="ListParagraph"/>
        <w:numPr>
          <w:ilvl w:val="1"/>
          <w:numId w:val="13"/>
        </w:numPr>
        <w:jc w:val="both"/>
        <w:rPr>
          <w:rFonts w:cs="Arial"/>
          <w:b/>
          <w:szCs w:val="24"/>
        </w:rPr>
      </w:pPr>
      <w:r>
        <w:rPr>
          <w:rFonts w:cs="Arial"/>
          <w:b/>
          <w:szCs w:val="24"/>
        </w:rPr>
        <w:t>Vote to continue informal process of HC upgrade topic (as opposed to submitting to PURA)</w:t>
      </w:r>
    </w:p>
    <w:p w14:paraId="235CF6CB" w14:textId="3B2A9A56" w:rsidR="00912C93" w:rsidRDefault="00912C93" w:rsidP="00912C93">
      <w:pPr>
        <w:pStyle w:val="ListParagraph"/>
        <w:numPr>
          <w:ilvl w:val="2"/>
          <w:numId w:val="13"/>
        </w:numPr>
        <w:jc w:val="both"/>
        <w:rPr>
          <w:rFonts w:cs="Arial"/>
          <w:b/>
          <w:szCs w:val="24"/>
        </w:rPr>
      </w:pPr>
      <w:r>
        <w:rPr>
          <w:rFonts w:cs="Arial"/>
          <w:b/>
          <w:szCs w:val="24"/>
        </w:rPr>
        <w:t>No objections</w:t>
      </w:r>
    </w:p>
    <w:p w14:paraId="6C6FB839" w14:textId="7F558E42" w:rsidR="00C8031E" w:rsidRDefault="00C8031E" w:rsidP="00C8031E">
      <w:pPr>
        <w:pStyle w:val="ListParagraph"/>
        <w:numPr>
          <w:ilvl w:val="1"/>
          <w:numId w:val="13"/>
        </w:numPr>
        <w:jc w:val="both"/>
        <w:rPr>
          <w:rFonts w:cs="Arial"/>
          <w:b/>
          <w:szCs w:val="24"/>
        </w:rPr>
      </w:pPr>
      <w:r>
        <w:rPr>
          <w:rFonts w:cs="Arial"/>
          <w:b/>
          <w:szCs w:val="24"/>
        </w:rPr>
        <w:t>Working group plans to review upgrades in subsequent meeting in Q1 2022, once EDCs have had a chance to deploy their solutions.</w:t>
      </w:r>
    </w:p>
    <w:p w14:paraId="67C099B9" w14:textId="4B0A327E" w:rsidR="0051702C" w:rsidRPr="00546B1A" w:rsidRDefault="0051702C" w:rsidP="0051702C">
      <w:pPr>
        <w:pStyle w:val="ListParagraph"/>
        <w:numPr>
          <w:ilvl w:val="0"/>
          <w:numId w:val="13"/>
        </w:numPr>
        <w:jc w:val="both"/>
        <w:rPr>
          <w:rFonts w:cs="Arial"/>
          <w:bCs/>
          <w:i/>
          <w:iCs/>
          <w:szCs w:val="24"/>
        </w:rPr>
      </w:pPr>
      <w:r w:rsidRPr="00546B1A">
        <w:rPr>
          <w:rFonts w:cs="Arial"/>
          <w:bCs/>
          <w:i/>
          <w:iCs/>
          <w:szCs w:val="24"/>
        </w:rPr>
        <w:t>Public Interconnection Queues</w:t>
      </w:r>
    </w:p>
    <w:p w14:paraId="613FEFF3" w14:textId="15C326BF" w:rsidR="00912C93" w:rsidRDefault="00912C93" w:rsidP="00912C93">
      <w:pPr>
        <w:pStyle w:val="ListParagraph"/>
        <w:numPr>
          <w:ilvl w:val="1"/>
          <w:numId w:val="13"/>
        </w:numPr>
        <w:jc w:val="both"/>
        <w:rPr>
          <w:rFonts w:cs="Arial"/>
          <w:b/>
          <w:szCs w:val="24"/>
        </w:rPr>
      </w:pPr>
      <w:r>
        <w:rPr>
          <w:rFonts w:cs="Arial"/>
          <w:b/>
          <w:szCs w:val="24"/>
        </w:rPr>
        <w:t>Developers in favor of IREC recommendations of releasing additional information on public interconnection queues</w:t>
      </w:r>
    </w:p>
    <w:p w14:paraId="7AB219F7" w14:textId="35E74352" w:rsidR="00912C93" w:rsidRDefault="00912C93" w:rsidP="00912C93">
      <w:pPr>
        <w:pStyle w:val="ListParagraph"/>
        <w:numPr>
          <w:ilvl w:val="1"/>
          <w:numId w:val="13"/>
        </w:numPr>
        <w:jc w:val="both"/>
        <w:rPr>
          <w:rFonts w:cs="Arial"/>
          <w:b/>
          <w:szCs w:val="24"/>
        </w:rPr>
      </w:pPr>
      <w:r>
        <w:rPr>
          <w:rFonts w:cs="Arial"/>
          <w:b/>
          <w:szCs w:val="24"/>
        </w:rPr>
        <w:t>Discussion on funding/management of this database</w:t>
      </w:r>
    </w:p>
    <w:p w14:paraId="040E7756" w14:textId="6D185897" w:rsidR="00912C93" w:rsidRDefault="00546B1A" w:rsidP="00912C93">
      <w:pPr>
        <w:pStyle w:val="ListParagraph"/>
        <w:numPr>
          <w:ilvl w:val="2"/>
          <w:numId w:val="13"/>
        </w:numPr>
        <w:jc w:val="both"/>
        <w:rPr>
          <w:rFonts w:cs="Arial"/>
          <w:b/>
          <w:szCs w:val="24"/>
        </w:rPr>
      </w:pPr>
      <w:r>
        <w:rPr>
          <w:rFonts w:cs="Arial"/>
          <w:b/>
          <w:szCs w:val="24"/>
        </w:rPr>
        <w:t>Massachusetts</w:t>
      </w:r>
      <w:r w:rsidR="00912C93">
        <w:rPr>
          <w:rFonts w:cs="Arial"/>
          <w:b/>
          <w:szCs w:val="24"/>
        </w:rPr>
        <w:t xml:space="preserve"> public interconnection queue is managed by </w:t>
      </w:r>
      <w:r w:rsidR="000257ED">
        <w:rPr>
          <w:rFonts w:cs="Arial"/>
          <w:b/>
          <w:szCs w:val="24"/>
        </w:rPr>
        <w:t>a third party, updated monthly which leads to questions on accuracy</w:t>
      </w:r>
    </w:p>
    <w:p w14:paraId="3C25828C" w14:textId="30A6C961" w:rsidR="00695EA1" w:rsidRDefault="00695EA1" w:rsidP="00912C93">
      <w:pPr>
        <w:pStyle w:val="ListParagraph"/>
        <w:numPr>
          <w:ilvl w:val="2"/>
          <w:numId w:val="13"/>
        </w:numPr>
        <w:jc w:val="both"/>
        <w:rPr>
          <w:rFonts w:cs="Arial"/>
          <w:b/>
          <w:szCs w:val="24"/>
        </w:rPr>
      </w:pPr>
      <w:r>
        <w:rPr>
          <w:rFonts w:cs="Arial"/>
          <w:b/>
          <w:szCs w:val="24"/>
        </w:rPr>
        <w:t xml:space="preserve">California public interconnection queue </w:t>
      </w:r>
      <w:r w:rsidR="000257ED">
        <w:rPr>
          <w:rFonts w:cs="Arial"/>
          <w:b/>
          <w:szCs w:val="24"/>
        </w:rPr>
        <w:t>also</w:t>
      </w:r>
      <w:r>
        <w:rPr>
          <w:rFonts w:cs="Arial"/>
          <w:b/>
          <w:szCs w:val="24"/>
        </w:rPr>
        <w:t xml:space="preserve"> a spreadsheet updated monthly </w:t>
      </w:r>
    </w:p>
    <w:p w14:paraId="0F1B35D0" w14:textId="522D90DA" w:rsidR="00912C93" w:rsidRDefault="00912C93" w:rsidP="00912C93">
      <w:pPr>
        <w:pStyle w:val="ListParagraph"/>
        <w:numPr>
          <w:ilvl w:val="2"/>
          <w:numId w:val="13"/>
        </w:numPr>
        <w:jc w:val="both"/>
        <w:rPr>
          <w:rFonts w:cs="Arial"/>
          <w:b/>
          <w:szCs w:val="24"/>
        </w:rPr>
      </w:pPr>
      <w:r>
        <w:rPr>
          <w:rFonts w:cs="Arial"/>
          <w:b/>
          <w:szCs w:val="24"/>
        </w:rPr>
        <w:t>H</w:t>
      </w:r>
      <w:r w:rsidR="00C8031E">
        <w:rPr>
          <w:rFonts w:cs="Arial"/>
          <w:b/>
          <w:szCs w:val="24"/>
        </w:rPr>
        <w:t>C Maps</w:t>
      </w:r>
      <w:r>
        <w:rPr>
          <w:rFonts w:cs="Arial"/>
          <w:b/>
          <w:szCs w:val="24"/>
        </w:rPr>
        <w:t xml:space="preserve"> maintained by EDCs and updated monthly</w:t>
      </w:r>
      <w:r w:rsidR="00695EA1">
        <w:rPr>
          <w:rFonts w:cs="Arial"/>
          <w:b/>
          <w:szCs w:val="24"/>
        </w:rPr>
        <w:t>. Currently have “concierge” service in place of public interconnection queue</w:t>
      </w:r>
    </w:p>
    <w:p w14:paraId="593F1F33" w14:textId="55884AA6" w:rsidR="00695EA1" w:rsidRDefault="00C8031E" w:rsidP="00912C93">
      <w:pPr>
        <w:pStyle w:val="ListParagraph"/>
        <w:numPr>
          <w:ilvl w:val="2"/>
          <w:numId w:val="13"/>
        </w:numPr>
        <w:jc w:val="both"/>
        <w:rPr>
          <w:rFonts w:cs="Arial"/>
          <w:b/>
          <w:szCs w:val="24"/>
        </w:rPr>
      </w:pPr>
      <w:r>
        <w:rPr>
          <w:rFonts w:cs="Arial"/>
          <w:b/>
          <w:szCs w:val="24"/>
        </w:rPr>
        <w:t xml:space="preserve">Eversource’s </w:t>
      </w:r>
      <w:r w:rsidR="00695EA1">
        <w:rPr>
          <w:rFonts w:cs="Arial"/>
          <w:b/>
          <w:szCs w:val="24"/>
        </w:rPr>
        <w:t>HC upgrades will include # of projects by circuit, but will not list the individual projects</w:t>
      </w:r>
    </w:p>
    <w:p w14:paraId="68A498D8" w14:textId="6A12949F" w:rsidR="00C8031E" w:rsidRDefault="00C8031E" w:rsidP="00912C93">
      <w:pPr>
        <w:pStyle w:val="ListParagraph"/>
        <w:numPr>
          <w:ilvl w:val="2"/>
          <w:numId w:val="13"/>
        </w:numPr>
        <w:jc w:val="both"/>
        <w:rPr>
          <w:rFonts w:cs="Arial"/>
          <w:b/>
          <w:szCs w:val="24"/>
        </w:rPr>
      </w:pPr>
      <w:r>
        <w:rPr>
          <w:rFonts w:cs="Arial"/>
          <w:b/>
          <w:szCs w:val="24"/>
        </w:rPr>
        <w:t>UI’s HC maps will not initially have this functionality; UI reviewing potential Excel file public queue document similar to those used in California</w:t>
      </w:r>
    </w:p>
    <w:p w14:paraId="5132F741" w14:textId="103F869F" w:rsidR="000257ED" w:rsidRDefault="000257ED" w:rsidP="000257ED">
      <w:pPr>
        <w:pStyle w:val="ListParagraph"/>
        <w:numPr>
          <w:ilvl w:val="1"/>
          <w:numId w:val="13"/>
        </w:numPr>
        <w:jc w:val="both"/>
        <w:rPr>
          <w:rFonts w:cs="Arial"/>
          <w:b/>
          <w:szCs w:val="24"/>
        </w:rPr>
      </w:pPr>
      <w:r>
        <w:rPr>
          <w:rFonts w:cs="Arial"/>
          <w:b/>
          <w:szCs w:val="24"/>
        </w:rPr>
        <w:t>Discussion on specific granularity of data sought from public interconnection queue – topic for further discussion</w:t>
      </w:r>
    </w:p>
    <w:p w14:paraId="701C32FD" w14:textId="0A5373A9" w:rsidR="00C8031E" w:rsidRDefault="00C8031E" w:rsidP="00C8031E">
      <w:pPr>
        <w:pStyle w:val="ListParagraph"/>
        <w:ind w:left="1440"/>
        <w:jc w:val="both"/>
        <w:rPr>
          <w:rFonts w:cs="Arial"/>
          <w:b/>
          <w:szCs w:val="24"/>
        </w:rPr>
      </w:pPr>
    </w:p>
    <w:p w14:paraId="62D62C8A" w14:textId="7D65DAE5" w:rsidR="001900BE" w:rsidRPr="00546B1A" w:rsidRDefault="00E91BE3" w:rsidP="00C60A4A">
      <w:pPr>
        <w:pStyle w:val="ListParagraph"/>
        <w:numPr>
          <w:ilvl w:val="0"/>
          <w:numId w:val="13"/>
        </w:numPr>
        <w:jc w:val="both"/>
        <w:rPr>
          <w:rFonts w:cs="Arial"/>
          <w:bCs/>
          <w:i/>
          <w:iCs/>
          <w:szCs w:val="24"/>
        </w:rPr>
      </w:pPr>
      <w:r w:rsidRPr="00546B1A">
        <w:rPr>
          <w:rFonts w:cs="Arial"/>
          <w:bCs/>
          <w:i/>
          <w:iCs/>
          <w:szCs w:val="24"/>
        </w:rPr>
        <w:t>Distribution System Upgrade Cost Sharing</w:t>
      </w:r>
      <w:bookmarkEnd w:id="0"/>
    </w:p>
    <w:p w14:paraId="478B7B60" w14:textId="41BAFB52" w:rsidR="000257ED" w:rsidRDefault="000257ED" w:rsidP="000257ED">
      <w:pPr>
        <w:pStyle w:val="ListParagraph"/>
        <w:numPr>
          <w:ilvl w:val="1"/>
          <w:numId w:val="13"/>
        </w:numPr>
        <w:jc w:val="both"/>
        <w:rPr>
          <w:rFonts w:cs="Arial"/>
          <w:b/>
          <w:szCs w:val="24"/>
        </w:rPr>
      </w:pPr>
      <w:r>
        <w:rPr>
          <w:rFonts w:cs="Arial"/>
          <w:b/>
          <w:szCs w:val="24"/>
        </w:rPr>
        <w:t>Developers are in favor of a similar fee cap ($350 per project under 25kW in NY) for residential projects</w:t>
      </w:r>
    </w:p>
    <w:p w14:paraId="3D485F84" w14:textId="198A6B66" w:rsidR="000257ED" w:rsidRDefault="000257ED" w:rsidP="000257ED">
      <w:pPr>
        <w:pStyle w:val="ListParagraph"/>
        <w:numPr>
          <w:ilvl w:val="2"/>
          <w:numId w:val="13"/>
        </w:numPr>
        <w:jc w:val="both"/>
        <w:rPr>
          <w:rFonts w:cs="Arial"/>
          <w:b/>
          <w:szCs w:val="24"/>
        </w:rPr>
      </w:pPr>
      <w:r>
        <w:rPr>
          <w:rFonts w:cs="Arial"/>
          <w:b/>
          <w:szCs w:val="24"/>
        </w:rPr>
        <w:t>Any cost beyond $350 would be rate based</w:t>
      </w:r>
    </w:p>
    <w:p w14:paraId="2DD3F91E" w14:textId="5ED4F07D" w:rsidR="000257ED" w:rsidRDefault="000257ED" w:rsidP="000257ED">
      <w:pPr>
        <w:pStyle w:val="ListParagraph"/>
        <w:numPr>
          <w:ilvl w:val="1"/>
          <w:numId w:val="13"/>
        </w:numPr>
        <w:jc w:val="both"/>
        <w:rPr>
          <w:rFonts w:cs="Arial"/>
          <w:b/>
          <w:szCs w:val="24"/>
        </w:rPr>
      </w:pPr>
      <w:r>
        <w:rPr>
          <w:rFonts w:cs="Arial"/>
          <w:b/>
          <w:szCs w:val="24"/>
        </w:rPr>
        <w:t>NY and CA have fee caps for projects under 25kW, based on st</w:t>
      </w:r>
      <w:r w:rsidR="00C8031E">
        <w:rPr>
          <w:rFonts w:cs="Arial"/>
          <w:b/>
          <w:szCs w:val="24"/>
        </w:rPr>
        <w:t>ate statute.</w:t>
      </w:r>
      <w:r>
        <w:rPr>
          <w:rFonts w:cs="Arial"/>
          <w:b/>
          <w:szCs w:val="24"/>
        </w:rPr>
        <w:t xml:space="preserve"> CT does not have statute at this time</w:t>
      </w:r>
    </w:p>
    <w:p w14:paraId="0202F46A" w14:textId="4F40C489" w:rsidR="000257ED" w:rsidRDefault="000257ED" w:rsidP="000257ED">
      <w:pPr>
        <w:pStyle w:val="ListParagraph"/>
        <w:numPr>
          <w:ilvl w:val="1"/>
          <w:numId w:val="13"/>
        </w:numPr>
        <w:jc w:val="both"/>
        <w:rPr>
          <w:rFonts w:cs="Arial"/>
          <w:b/>
          <w:szCs w:val="24"/>
        </w:rPr>
      </w:pPr>
      <w:r>
        <w:rPr>
          <w:rFonts w:cs="Arial"/>
          <w:b/>
          <w:szCs w:val="24"/>
        </w:rPr>
        <w:t>OCC reiterates that any recommendation from this group needs to address the cost allocation of these costs</w:t>
      </w:r>
    </w:p>
    <w:p w14:paraId="0C158D10" w14:textId="77777777" w:rsidR="00672360" w:rsidRDefault="00672360" w:rsidP="00672360">
      <w:pPr>
        <w:pStyle w:val="ListParagraph"/>
        <w:numPr>
          <w:ilvl w:val="1"/>
          <w:numId w:val="13"/>
        </w:numPr>
        <w:jc w:val="both"/>
        <w:rPr>
          <w:rFonts w:cs="Arial"/>
          <w:b/>
          <w:szCs w:val="24"/>
        </w:rPr>
      </w:pPr>
      <w:r>
        <w:rPr>
          <w:rFonts w:cs="Arial"/>
          <w:b/>
          <w:szCs w:val="24"/>
        </w:rPr>
        <w:lastRenderedPageBreak/>
        <w:t>A cost-benefit-analysis of CA and NY residential project caps would be beneficial</w:t>
      </w:r>
    </w:p>
    <w:p w14:paraId="4658D8FF" w14:textId="2A1ADD3A" w:rsidR="00672360" w:rsidRDefault="00672360" w:rsidP="00672360">
      <w:pPr>
        <w:pStyle w:val="ListParagraph"/>
        <w:numPr>
          <w:ilvl w:val="1"/>
          <w:numId w:val="13"/>
        </w:numPr>
        <w:jc w:val="both"/>
        <w:rPr>
          <w:rFonts w:cs="Arial"/>
          <w:b/>
          <w:szCs w:val="24"/>
        </w:rPr>
      </w:pPr>
      <w:r w:rsidRPr="00672360">
        <w:rPr>
          <w:rFonts w:cs="Arial"/>
          <w:b/>
          <w:szCs w:val="24"/>
        </w:rPr>
        <w:t>Vote on recommendation</w:t>
      </w:r>
      <w:r>
        <w:rPr>
          <w:rFonts w:cs="Arial"/>
          <w:b/>
          <w:szCs w:val="24"/>
        </w:rPr>
        <w:t xml:space="preserve"> to PURA:</w:t>
      </w:r>
      <w:r w:rsidRPr="00672360">
        <w:rPr>
          <w:rFonts w:cs="Arial"/>
          <w:b/>
          <w:szCs w:val="24"/>
        </w:rPr>
        <w:t xml:space="preserve"> for residential service installation only, customer would pay up to $350 and any amount in excess of that would be rate based: </w:t>
      </w:r>
    </w:p>
    <w:p w14:paraId="4BA781AA" w14:textId="77777777" w:rsidR="00C8031E" w:rsidRPr="00C8031E" w:rsidRDefault="00C8031E" w:rsidP="00C8031E">
      <w:pPr>
        <w:pStyle w:val="ListParagraph"/>
        <w:numPr>
          <w:ilvl w:val="1"/>
          <w:numId w:val="13"/>
        </w:numPr>
        <w:rPr>
          <w:b/>
        </w:rPr>
      </w:pPr>
      <w:r w:rsidRPr="00C8031E">
        <w:rPr>
          <w:b/>
        </w:rPr>
        <w:t>Vote Total:  3 for; 6 against; 4 abstention</w:t>
      </w:r>
    </w:p>
    <w:tbl>
      <w:tblPr>
        <w:tblStyle w:val="GridTable1Light-Accent5"/>
        <w:tblW w:w="0" w:type="auto"/>
        <w:tblLook w:val="04A0" w:firstRow="1" w:lastRow="0" w:firstColumn="1" w:lastColumn="0" w:noHBand="0" w:noVBand="1"/>
      </w:tblPr>
      <w:tblGrid>
        <w:gridCol w:w="4675"/>
        <w:gridCol w:w="4675"/>
      </w:tblGrid>
      <w:tr w:rsidR="00C8031E" w14:paraId="3583DF2E" w14:textId="77777777" w:rsidTr="00AD15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00B0F0"/>
          </w:tcPr>
          <w:p w14:paraId="789BE9D2" w14:textId="77777777" w:rsidR="00C8031E" w:rsidRPr="002E0BB9" w:rsidRDefault="00C8031E" w:rsidP="00AD1560">
            <w:pPr>
              <w:rPr>
                <w:b w:val="0"/>
              </w:rPr>
            </w:pPr>
            <w:r>
              <w:rPr>
                <w:b w:val="0"/>
              </w:rPr>
              <w:t>Policy Group</w:t>
            </w:r>
          </w:p>
        </w:tc>
        <w:tc>
          <w:tcPr>
            <w:tcW w:w="4675" w:type="dxa"/>
            <w:shd w:val="clear" w:color="auto" w:fill="00B0F0"/>
          </w:tcPr>
          <w:p w14:paraId="1066096A" w14:textId="77777777" w:rsidR="00C8031E" w:rsidRPr="002E0BB9" w:rsidRDefault="00C8031E" w:rsidP="00AD1560">
            <w:pPr>
              <w:cnfStyle w:val="100000000000" w:firstRow="1" w:lastRow="0" w:firstColumn="0" w:lastColumn="0" w:oddVBand="0" w:evenVBand="0" w:oddHBand="0" w:evenHBand="0" w:firstRowFirstColumn="0" w:firstRowLastColumn="0" w:lastRowFirstColumn="0" w:lastRowLastColumn="0"/>
              <w:rPr>
                <w:b w:val="0"/>
              </w:rPr>
            </w:pPr>
            <w:r>
              <w:rPr>
                <w:b w:val="0"/>
              </w:rPr>
              <w:t>Technical Group</w:t>
            </w:r>
          </w:p>
        </w:tc>
      </w:tr>
      <w:tr w:rsidR="00C8031E" w14:paraId="6B3AEDE0" w14:textId="77777777" w:rsidTr="00C8031E">
        <w:tc>
          <w:tcPr>
            <w:cnfStyle w:val="001000000000" w:firstRow="0" w:lastRow="0" w:firstColumn="1" w:lastColumn="0" w:oddVBand="0" w:evenVBand="0" w:oddHBand="0" w:evenHBand="0" w:firstRowFirstColumn="0" w:firstRowLastColumn="0" w:lastRowFirstColumn="0" w:lastRowLastColumn="0"/>
            <w:tcW w:w="4675" w:type="dxa"/>
            <w:shd w:val="clear" w:color="auto" w:fill="DBE5F1" w:themeFill="accent1" w:themeFillTint="33"/>
          </w:tcPr>
          <w:p w14:paraId="1F15BFFB" w14:textId="77777777" w:rsidR="00C8031E" w:rsidRPr="002E0BB9" w:rsidRDefault="00C8031E" w:rsidP="00AD1560">
            <w:r w:rsidRPr="002E0BB9">
              <w:t>FOR</w:t>
            </w:r>
          </w:p>
        </w:tc>
        <w:tc>
          <w:tcPr>
            <w:tcW w:w="4675" w:type="dxa"/>
            <w:shd w:val="clear" w:color="auto" w:fill="DBE5F1" w:themeFill="accent1" w:themeFillTint="33"/>
          </w:tcPr>
          <w:p w14:paraId="2072B29D" w14:textId="072FC467" w:rsidR="00C8031E" w:rsidRPr="002E0BB9" w:rsidRDefault="00C8031E" w:rsidP="00C8031E">
            <w:pPr>
              <w:tabs>
                <w:tab w:val="center" w:pos="2229"/>
              </w:tabs>
              <w:cnfStyle w:val="000000000000" w:firstRow="0" w:lastRow="0" w:firstColumn="0" w:lastColumn="0" w:oddVBand="0" w:evenVBand="0" w:oddHBand="0" w:evenHBand="0" w:firstRowFirstColumn="0" w:firstRowLastColumn="0" w:lastRowFirstColumn="0" w:lastRowLastColumn="0"/>
              <w:rPr>
                <w:b/>
              </w:rPr>
            </w:pPr>
            <w:r w:rsidRPr="002E0BB9">
              <w:rPr>
                <w:b/>
              </w:rPr>
              <w:t>FOR</w:t>
            </w:r>
            <w:r>
              <w:rPr>
                <w:b/>
              </w:rPr>
              <w:tab/>
            </w:r>
          </w:p>
        </w:tc>
      </w:tr>
      <w:tr w:rsidR="00C8031E" w14:paraId="09191361"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4EC49718" w14:textId="77777777" w:rsidR="00C8031E" w:rsidRPr="002E0BB9" w:rsidRDefault="00C8031E" w:rsidP="00AD1560">
            <w:pPr>
              <w:rPr>
                <w:bCs w:val="0"/>
              </w:rPr>
            </w:pPr>
            <w:r>
              <w:rPr>
                <w:b w:val="0"/>
              </w:rPr>
              <w:t>Developer – N. Lafayette</w:t>
            </w:r>
          </w:p>
        </w:tc>
        <w:tc>
          <w:tcPr>
            <w:tcW w:w="4675" w:type="dxa"/>
          </w:tcPr>
          <w:p w14:paraId="66E56323" w14:textId="77777777" w:rsidR="00C8031E" w:rsidRPr="002E0BB9" w:rsidRDefault="00C8031E" w:rsidP="00AD1560">
            <w:pPr>
              <w:cnfStyle w:val="000000000000" w:firstRow="0" w:lastRow="0" w:firstColumn="0" w:lastColumn="0" w:oddVBand="0" w:evenVBand="0" w:oddHBand="0" w:evenHBand="0" w:firstRowFirstColumn="0" w:firstRowLastColumn="0" w:lastRowFirstColumn="0" w:lastRowLastColumn="0"/>
            </w:pPr>
            <w:r w:rsidRPr="002E0BB9">
              <w:t xml:space="preserve">Developer – </w:t>
            </w:r>
            <w:r>
              <w:t xml:space="preserve">A. </w:t>
            </w:r>
            <w:proofErr w:type="spellStart"/>
            <w:r>
              <w:t>Mayshar</w:t>
            </w:r>
            <w:proofErr w:type="spellEnd"/>
          </w:p>
        </w:tc>
      </w:tr>
      <w:tr w:rsidR="00C8031E" w14:paraId="3A0F73B7"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220925AA" w14:textId="77777777" w:rsidR="00C8031E" w:rsidRPr="002E0BB9" w:rsidRDefault="00C8031E" w:rsidP="00AD1560">
            <w:pPr>
              <w:rPr>
                <w:bCs w:val="0"/>
              </w:rPr>
            </w:pPr>
            <w:r>
              <w:rPr>
                <w:b w:val="0"/>
              </w:rPr>
              <w:t>Developer – M. Farrell</w:t>
            </w:r>
          </w:p>
        </w:tc>
        <w:tc>
          <w:tcPr>
            <w:tcW w:w="4675" w:type="dxa"/>
          </w:tcPr>
          <w:p w14:paraId="53F6B1CA" w14:textId="77777777" w:rsidR="00C8031E" w:rsidRPr="002E0BB9" w:rsidRDefault="00C8031E" w:rsidP="00AD1560">
            <w:pPr>
              <w:cnfStyle w:val="000000000000" w:firstRow="0" w:lastRow="0" w:firstColumn="0" w:lastColumn="0" w:oddVBand="0" w:evenVBand="0" w:oddHBand="0" w:evenHBand="0" w:firstRowFirstColumn="0" w:firstRowLastColumn="0" w:lastRowFirstColumn="0" w:lastRowLastColumn="0"/>
            </w:pPr>
          </w:p>
        </w:tc>
      </w:tr>
      <w:tr w:rsidR="00C8031E" w14:paraId="2DD13511" w14:textId="77777777" w:rsidTr="00C8031E">
        <w:tc>
          <w:tcPr>
            <w:cnfStyle w:val="001000000000" w:firstRow="0" w:lastRow="0" w:firstColumn="1" w:lastColumn="0" w:oddVBand="0" w:evenVBand="0" w:oddHBand="0" w:evenHBand="0" w:firstRowFirstColumn="0" w:firstRowLastColumn="0" w:lastRowFirstColumn="0" w:lastRowLastColumn="0"/>
            <w:tcW w:w="4675" w:type="dxa"/>
            <w:shd w:val="clear" w:color="auto" w:fill="DBE5F1" w:themeFill="accent1" w:themeFillTint="33"/>
          </w:tcPr>
          <w:p w14:paraId="7DD70B71" w14:textId="77777777" w:rsidR="00C8031E" w:rsidRPr="004455C6" w:rsidRDefault="00C8031E" w:rsidP="00AD1560">
            <w:r w:rsidRPr="004455C6">
              <w:t>AGAINST</w:t>
            </w:r>
          </w:p>
        </w:tc>
        <w:tc>
          <w:tcPr>
            <w:tcW w:w="4675" w:type="dxa"/>
            <w:shd w:val="clear" w:color="auto" w:fill="DBE5F1" w:themeFill="accent1" w:themeFillTint="33"/>
          </w:tcPr>
          <w:p w14:paraId="3DDEF7B2" w14:textId="77777777" w:rsidR="00C8031E" w:rsidRPr="004455C6" w:rsidRDefault="00C8031E" w:rsidP="00AD1560">
            <w:pPr>
              <w:cnfStyle w:val="000000000000" w:firstRow="0" w:lastRow="0" w:firstColumn="0" w:lastColumn="0" w:oddVBand="0" w:evenVBand="0" w:oddHBand="0" w:evenHBand="0" w:firstRowFirstColumn="0" w:firstRowLastColumn="0" w:lastRowFirstColumn="0" w:lastRowLastColumn="0"/>
              <w:rPr>
                <w:b/>
              </w:rPr>
            </w:pPr>
            <w:r w:rsidRPr="004455C6">
              <w:rPr>
                <w:b/>
              </w:rPr>
              <w:t>AGAINST</w:t>
            </w:r>
          </w:p>
        </w:tc>
      </w:tr>
      <w:tr w:rsidR="00C8031E" w14:paraId="1C474977"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4DED9901" w14:textId="77777777" w:rsidR="00C8031E" w:rsidRPr="002E0BB9" w:rsidRDefault="00C8031E" w:rsidP="00AD1560">
            <w:pPr>
              <w:rPr>
                <w:b w:val="0"/>
              </w:rPr>
            </w:pPr>
            <w:r>
              <w:rPr>
                <w:b w:val="0"/>
              </w:rPr>
              <w:t>Eversource</w:t>
            </w:r>
          </w:p>
        </w:tc>
        <w:tc>
          <w:tcPr>
            <w:tcW w:w="4675" w:type="dxa"/>
          </w:tcPr>
          <w:p w14:paraId="2F138E4F" w14:textId="77777777" w:rsidR="00C8031E" w:rsidRPr="002E0BB9" w:rsidRDefault="00C8031E" w:rsidP="00AD1560">
            <w:pPr>
              <w:cnfStyle w:val="000000000000" w:firstRow="0" w:lastRow="0" w:firstColumn="0" w:lastColumn="0" w:oddVBand="0" w:evenVBand="0" w:oddHBand="0" w:evenHBand="0" w:firstRowFirstColumn="0" w:firstRowLastColumn="0" w:lastRowFirstColumn="0" w:lastRowLastColumn="0"/>
            </w:pPr>
            <w:r w:rsidRPr="002E0BB9">
              <w:t>Eversource</w:t>
            </w:r>
          </w:p>
        </w:tc>
      </w:tr>
      <w:tr w:rsidR="00C8031E" w14:paraId="2F0BA434"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75DA08C2" w14:textId="77777777" w:rsidR="00C8031E" w:rsidRPr="002E0BB9" w:rsidRDefault="00C8031E" w:rsidP="00AD1560">
            <w:pPr>
              <w:rPr>
                <w:b w:val="0"/>
              </w:rPr>
            </w:pPr>
            <w:r>
              <w:rPr>
                <w:b w:val="0"/>
              </w:rPr>
              <w:t>UI</w:t>
            </w:r>
          </w:p>
        </w:tc>
        <w:tc>
          <w:tcPr>
            <w:tcW w:w="4675" w:type="dxa"/>
          </w:tcPr>
          <w:p w14:paraId="488EF2F6" w14:textId="77777777" w:rsidR="00C8031E" w:rsidRPr="002E0BB9" w:rsidRDefault="00C8031E" w:rsidP="00AD1560">
            <w:pPr>
              <w:cnfStyle w:val="000000000000" w:firstRow="0" w:lastRow="0" w:firstColumn="0" w:lastColumn="0" w:oddVBand="0" w:evenVBand="0" w:oddHBand="0" w:evenHBand="0" w:firstRowFirstColumn="0" w:firstRowLastColumn="0" w:lastRowFirstColumn="0" w:lastRowLastColumn="0"/>
            </w:pPr>
            <w:r w:rsidRPr="002E0BB9">
              <w:t>UI</w:t>
            </w:r>
          </w:p>
        </w:tc>
      </w:tr>
      <w:tr w:rsidR="00C8031E" w14:paraId="35F451D2"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6CA73AC0" w14:textId="77777777" w:rsidR="00C8031E" w:rsidRPr="002E0BB9" w:rsidRDefault="00C8031E" w:rsidP="00AD1560">
            <w:pPr>
              <w:rPr>
                <w:b w:val="0"/>
              </w:rPr>
            </w:pPr>
            <w:r>
              <w:rPr>
                <w:b w:val="0"/>
              </w:rPr>
              <w:t>OCC</w:t>
            </w:r>
          </w:p>
        </w:tc>
        <w:tc>
          <w:tcPr>
            <w:tcW w:w="4675" w:type="dxa"/>
          </w:tcPr>
          <w:p w14:paraId="6685CC1D" w14:textId="77777777" w:rsidR="00C8031E" w:rsidRPr="002E0BB9" w:rsidRDefault="00C8031E" w:rsidP="00AD1560">
            <w:pPr>
              <w:cnfStyle w:val="000000000000" w:firstRow="0" w:lastRow="0" w:firstColumn="0" w:lastColumn="0" w:oddVBand="0" w:evenVBand="0" w:oddHBand="0" w:evenHBand="0" w:firstRowFirstColumn="0" w:firstRowLastColumn="0" w:lastRowFirstColumn="0" w:lastRowLastColumn="0"/>
            </w:pPr>
            <w:r>
              <w:t>OCC</w:t>
            </w:r>
          </w:p>
        </w:tc>
      </w:tr>
      <w:tr w:rsidR="00C8031E" w14:paraId="72042CE0" w14:textId="77777777" w:rsidTr="00C8031E">
        <w:tc>
          <w:tcPr>
            <w:cnfStyle w:val="001000000000" w:firstRow="0" w:lastRow="0" w:firstColumn="1" w:lastColumn="0" w:oddVBand="0" w:evenVBand="0" w:oddHBand="0" w:evenHBand="0" w:firstRowFirstColumn="0" w:firstRowLastColumn="0" w:lastRowFirstColumn="0" w:lastRowLastColumn="0"/>
            <w:tcW w:w="4675" w:type="dxa"/>
            <w:shd w:val="clear" w:color="auto" w:fill="DBE5F1" w:themeFill="accent1" w:themeFillTint="33"/>
          </w:tcPr>
          <w:p w14:paraId="78F3C498" w14:textId="77777777" w:rsidR="00C8031E" w:rsidRPr="004455C6" w:rsidRDefault="00C8031E" w:rsidP="00AD1560">
            <w:r>
              <w:t>ABSTAIN</w:t>
            </w:r>
          </w:p>
        </w:tc>
        <w:tc>
          <w:tcPr>
            <w:tcW w:w="4675" w:type="dxa"/>
            <w:shd w:val="clear" w:color="auto" w:fill="DBE5F1" w:themeFill="accent1" w:themeFillTint="33"/>
          </w:tcPr>
          <w:p w14:paraId="3AC9FD38" w14:textId="77777777" w:rsidR="00C8031E" w:rsidRPr="004455C6" w:rsidRDefault="00C8031E" w:rsidP="00AD1560">
            <w:pPr>
              <w:cnfStyle w:val="000000000000" w:firstRow="0" w:lastRow="0" w:firstColumn="0" w:lastColumn="0" w:oddVBand="0" w:evenVBand="0" w:oddHBand="0" w:evenHBand="0" w:firstRowFirstColumn="0" w:firstRowLastColumn="0" w:lastRowFirstColumn="0" w:lastRowLastColumn="0"/>
              <w:rPr>
                <w:b/>
              </w:rPr>
            </w:pPr>
            <w:r>
              <w:rPr>
                <w:b/>
              </w:rPr>
              <w:t>ABSTAIN</w:t>
            </w:r>
          </w:p>
        </w:tc>
      </w:tr>
      <w:tr w:rsidR="00C8031E" w14:paraId="494946AB"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253A7DEB" w14:textId="77777777" w:rsidR="00C8031E" w:rsidRPr="002E0BB9" w:rsidRDefault="00C8031E" w:rsidP="00AD1560">
            <w:pPr>
              <w:rPr>
                <w:b w:val="0"/>
              </w:rPr>
            </w:pPr>
            <w:r>
              <w:rPr>
                <w:b w:val="0"/>
              </w:rPr>
              <w:t>BETP</w:t>
            </w:r>
          </w:p>
        </w:tc>
        <w:tc>
          <w:tcPr>
            <w:tcW w:w="4675" w:type="dxa"/>
          </w:tcPr>
          <w:p w14:paraId="4FFD739E" w14:textId="57BE02E8" w:rsidR="00C8031E" w:rsidRPr="002E0BB9" w:rsidRDefault="00C8031E" w:rsidP="00AD1560">
            <w:pPr>
              <w:cnfStyle w:val="000000000000" w:firstRow="0" w:lastRow="0" w:firstColumn="0" w:lastColumn="0" w:oddVBand="0" w:evenVBand="0" w:oddHBand="0" w:evenHBand="0" w:firstRowFirstColumn="0" w:firstRowLastColumn="0" w:lastRowFirstColumn="0" w:lastRowLastColumn="0"/>
            </w:pPr>
            <w:r w:rsidRPr="002E0BB9">
              <w:t xml:space="preserve">Developer – </w:t>
            </w:r>
            <w:r>
              <w:t xml:space="preserve">J.P. </w:t>
            </w:r>
            <w:proofErr w:type="spellStart"/>
            <w:r>
              <w:t>LaMarche</w:t>
            </w:r>
            <w:proofErr w:type="spellEnd"/>
            <w:r w:rsidR="000F32DA">
              <w:t xml:space="preserve"> (voted after meeting)</w:t>
            </w:r>
          </w:p>
        </w:tc>
      </w:tr>
      <w:tr w:rsidR="00C8031E" w14:paraId="14E6C651" w14:textId="77777777" w:rsidTr="00AD1560">
        <w:tc>
          <w:tcPr>
            <w:cnfStyle w:val="001000000000" w:firstRow="0" w:lastRow="0" w:firstColumn="1" w:lastColumn="0" w:oddVBand="0" w:evenVBand="0" w:oddHBand="0" w:evenHBand="0" w:firstRowFirstColumn="0" w:firstRowLastColumn="0" w:lastRowFirstColumn="0" w:lastRowLastColumn="0"/>
            <w:tcW w:w="4675" w:type="dxa"/>
          </w:tcPr>
          <w:p w14:paraId="1B28F8E5" w14:textId="77777777" w:rsidR="00C8031E" w:rsidRDefault="00C8031E" w:rsidP="00AD1560">
            <w:pPr>
              <w:rPr>
                <w:b w:val="0"/>
              </w:rPr>
            </w:pPr>
            <w:r>
              <w:rPr>
                <w:b w:val="0"/>
              </w:rPr>
              <w:t>CIEC</w:t>
            </w:r>
          </w:p>
        </w:tc>
        <w:tc>
          <w:tcPr>
            <w:tcW w:w="4675" w:type="dxa"/>
          </w:tcPr>
          <w:p w14:paraId="0DE13CD1" w14:textId="77777777" w:rsidR="00C8031E" w:rsidRPr="002E0BB9" w:rsidRDefault="00C8031E" w:rsidP="00AD1560">
            <w:pPr>
              <w:cnfStyle w:val="000000000000" w:firstRow="0" w:lastRow="0" w:firstColumn="0" w:lastColumn="0" w:oddVBand="0" w:evenVBand="0" w:oddHBand="0" w:evenHBand="0" w:firstRowFirstColumn="0" w:firstRowLastColumn="0" w:lastRowFirstColumn="0" w:lastRowLastColumn="0"/>
            </w:pPr>
            <w:r>
              <w:t>CIEC</w:t>
            </w:r>
          </w:p>
        </w:tc>
      </w:tr>
    </w:tbl>
    <w:p w14:paraId="13C06D64" w14:textId="40B2BB84" w:rsidR="000F32DA" w:rsidRDefault="000F32DA" w:rsidP="000F32DA">
      <w:pPr>
        <w:pStyle w:val="ListParagraph"/>
        <w:numPr>
          <w:ilvl w:val="1"/>
          <w:numId w:val="13"/>
        </w:numPr>
        <w:jc w:val="both"/>
        <w:rPr>
          <w:rFonts w:cs="Arial"/>
          <w:b/>
          <w:szCs w:val="24"/>
        </w:rPr>
      </w:pPr>
      <w:r>
        <w:rPr>
          <w:rFonts w:cs="Arial"/>
          <w:b/>
          <w:szCs w:val="24"/>
        </w:rPr>
        <w:t xml:space="preserve">Members who voted against or abstained largely were concerned </w:t>
      </w:r>
      <w:r w:rsidR="00F8606D">
        <w:rPr>
          <w:rFonts w:cs="Arial"/>
          <w:b/>
          <w:szCs w:val="24"/>
        </w:rPr>
        <w:t>about lack of specifics on cost allocation beyond $350 but were open to further discussion on the issue.</w:t>
      </w:r>
      <w:bookmarkStart w:id="1" w:name="_GoBack"/>
      <w:bookmarkEnd w:id="1"/>
    </w:p>
    <w:p w14:paraId="59FF104F" w14:textId="2012FEA9" w:rsidR="00672360" w:rsidRPr="00672360" w:rsidRDefault="00672360" w:rsidP="000F32DA">
      <w:pPr>
        <w:pStyle w:val="ListParagraph"/>
        <w:numPr>
          <w:ilvl w:val="1"/>
          <w:numId w:val="13"/>
        </w:numPr>
        <w:jc w:val="both"/>
        <w:rPr>
          <w:rFonts w:cs="Arial"/>
          <w:b/>
          <w:szCs w:val="24"/>
        </w:rPr>
      </w:pPr>
      <w:r>
        <w:rPr>
          <w:rFonts w:cs="Arial"/>
          <w:b/>
          <w:szCs w:val="24"/>
        </w:rPr>
        <w:t>Assignment for those opposed:</w:t>
      </w:r>
      <w:r w:rsidRPr="00672360">
        <w:rPr>
          <w:rFonts w:cs="Arial"/>
          <w:b/>
          <w:szCs w:val="24"/>
        </w:rPr>
        <w:t xml:space="preserve"> put </w:t>
      </w:r>
      <w:r>
        <w:rPr>
          <w:rFonts w:cs="Arial"/>
          <w:b/>
          <w:szCs w:val="24"/>
        </w:rPr>
        <w:t xml:space="preserve">forward </w:t>
      </w:r>
      <w:r w:rsidRPr="00672360">
        <w:rPr>
          <w:rFonts w:cs="Arial"/>
          <w:b/>
          <w:szCs w:val="24"/>
        </w:rPr>
        <w:t>into writing (email Zak</w:t>
      </w:r>
      <w:r>
        <w:rPr>
          <w:rFonts w:cs="Arial"/>
          <w:b/>
          <w:szCs w:val="24"/>
        </w:rPr>
        <w:t xml:space="preserve"> Alexander</w:t>
      </w:r>
      <w:r w:rsidRPr="00672360">
        <w:rPr>
          <w:rFonts w:cs="Arial"/>
          <w:b/>
          <w:szCs w:val="24"/>
        </w:rPr>
        <w:t xml:space="preserve">) what more information we should be looking at, i.e. some bullet points about specific areas this group should discuss. </w:t>
      </w:r>
    </w:p>
    <w:p w14:paraId="29218230" w14:textId="77777777" w:rsidR="00672360" w:rsidRDefault="00672360" w:rsidP="00672360">
      <w:pPr>
        <w:jc w:val="both"/>
        <w:rPr>
          <w:rFonts w:cs="Arial"/>
          <w:b/>
          <w:szCs w:val="24"/>
        </w:rPr>
      </w:pPr>
    </w:p>
    <w:p w14:paraId="700B74D1" w14:textId="77777777" w:rsidR="00672360" w:rsidRDefault="00672360" w:rsidP="00672360">
      <w:pPr>
        <w:jc w:val="both"/>
        <w:rPr>
          <w:rFonts w:cs="Arial"/>
          <w:b/>
          <w:szCs w:val="24"/>
        </w:rPr>
      </w:pPr>
    </w:p>
    <w:p w14:paraId="0E95F1CE" w14:textId="77777777" w:rsidR="00DD151E" w:rsidRPr="00BC40AF" w:rsidRDefault="00DD151E" w:rsidP="00BC40AF">
      <w:pPr>
        <w:jc w:val="both"/>
        <w:rPr>
          <w:rFonts w:cs="Arial"/>
          <w:b/>
          <w:szCs w:val="24"/>
        </w:rPr>
      </w:pPr>
    </w:p>
    <w:sectPr w:rsidR="00DD151E" w:rsidRPr="00BC40AF" w:rsidSect="0067222B">
      <w:footerReference w:type="first" r:id="rId10"/>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2413E" w14:textId="77777777" w:rsidR="00191C0F" w:rsidRDefault="00191C0F" w:rsidP="00327991">
      <w:r>
        <w:separator/>
      </w:r>
    </w:p>
  </w:endnote>
  <w:endnote w:type="continuationSeparator" w:id="0">
    <w:p w14:paraId="07918FA9" w14:textId="77777777" w:rsidR="00191C0F" w:rsidRDefault="00191C0F"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D2810" w14:textId="77777777" w:rsidR="00D74B7F" w:rsidRPr="0067222B" w:rsidRDefault="00D74B7F"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57B6C2C8" w14:textId="77777777" w:rsidR="00D74B7F" w:rsidRPr="009200CE" w:rsidRDefault="00D74B7F"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195B4BC0" w14:textId="77777777" w:rsidR="00D74B7F" w:rsidRPr="0067222B" w:rsidRDefault="00D74B7F"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4BDDA" w14:textId="77777777" w:rsidR="00191C0F" w:rsidRDefault="00191C0F" w:rsidP="00327991">
      <w:r>
        <w:separator/>
      </w:r>
    </w:p>
  </w:footnote>
  <w:footnote w:type="continuationSeparator" w:id="0">
    <w:p w14:paraId="07CB1098" w14:textId="77777777" w:rsidR="00191C0F" w:rsidRDefault="00191C0F"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B0164"/>
    <w:multiLevelType w:val="hybridMultilevel"/>
    <w:tmpl w:val="5D0278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56FE9"/>
    <w:multiLevelType w:val="hybridMultilevel"/>
    <w:tmpl w:val="F6BC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DE3116"/>
    <w:multiLevelType w:val="hybridMultilevel"/>
    <w:tmpl w:val="AE94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D05AE"/>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F16D5"/>
    <w:multiLevelType w:val="hybridMultilevel"/>
    <w:tmpl w:val="370659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5A5F94"/>
    <w:multiLevelType w:val="hybridMultilevel"/>
    <w:tmpl w:val="99EEC2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851013"/>
    <w:multiLevelType w:val="hybridMultilevel"/>
    <w:tmpl w:val="94109F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622645"/>
    <w:multiLevelType w:val="hybridMultilevel"/>
    <w:tmpl w:val="AE74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12"/>
  </w:num>
  <w:num w:numId="4">
    <w:abstractNumId w:val="4"/>
  </w:num>
  <w:num w:numId="5">
    <w:abstractNumId w:val="0"/>
    <w:lvlOverride w:ilvl="0">
      <w:startOverride w:val="1"/>
      <w:lvl w:ilvl="0">
        <w:start w:val="1"/>
        <w:numFmt w:val="decimal"/>
        <w:pStyle w:val="Quick1"/>
        <w:lvlText w:val="%1."/>
        <w:lvlJc w:val="left"/>
      </w:lvl>
    </w:lvlOverride>
  </w:num>
  <w:num w:numId="6">
    <w:abstractNumId w:val="5"/>
  </w:num>
  <w:num w:numId="7">
    <w:abstractNumId w:val="14"/>
  </w:num>
  <w:num w:numId="8">
    <w:abstractNumId w:val="1"/>
  </w:num>
  <w:num w:numId="9">
    <w:abstractNumId w:val="10"/>
  </w:num>
  <w:num w:numId="10">
    <w:abstractNumId w:val="9"/>
  </w:num>
  <w:num w:numId="11">
    <w:abstractNumId w:val="2"/>
  </w:num>
  <w:num w:numId="12">
    <w:abstractNumId w:val="6"/>
  </w:num>
  <w:num w:numId="13">
    <w:abstractNumId w:val="11"/>
  </w:num>
  <w:num w:numId="14">
    <w:abstractNumId w:val="13"/>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D72"/>
    <w:rsid w:val="00011230"/>
    <w:rsid w:val="00016489"/>
    <w:rsid w:val="000257ED"/>
    <w:rsid w:val="00030F6A"/>
    <w:rsid w:val="0004217E"/>
    <w:rsid w:val="000448AE"/>
    <w:rsid w:val="000773DA"/>
    <w:rsid w:val="0008631E"/>
    <w:rsid w:val="000A2832"/>
    <w:rsid w:val="000B5E67"/>
    <w:rsid w:val="000F32DA"/>
    <w:rsid w:val="001140C0"/>
    <w:rsid w:val="00124B5C"/>
    <w:rsid w:val="00126A02"/>
    <w:rsid w:val="00134AA7"/>
    <w:rsid w:val="00151031"/>
    <w:rsid w:val="00152A4A"/>
    <w:rsid w:val="0015342C"/>
    <w:rsid w:val="00176DE0"/>
    <w:rsid w:val="001900BE"/>
    <w:rsid w:val="00191C0F"/>
    <w:rsid w:val="00196097"/>
    <w:rsid w:val="001A2BE4"/>
    <w:rsid w:val="001E12AB"/>
    <w:rsid w:val="001F2792"/>
    <w:rsid w:val="00201472"/>
    <w:rsid w:val="00210AA2"/>
    <w:rsid w:val="00221FE4"/>
    <w:rsid w:val="0026478E"/>
    <w:rsid w:val="002711A2"/>
    <w:rsid w:val="0027427F"/>
    <w:rsid w:val="002927DB"/>
    <w:rsid w:val="002B25E0"/>
    <w:rsid w:val="002B6CAE"/>
    <w:rsid w:val="002E1D3C"/>
    <w:rsid w:val="00301330"/>
    <w:rsid w:val="00317621"/>
    <w:rsid w:val="00327991"/>
    <w:rsid w:val="00336B04"/>
    <w:rsid w:val="0034500B"/>
    <w:rsid w:val="00353B8D"/>
    <w:rsid w:val="00354BD8"/>
    <w:rsid w:val="00384372"/>
    <w:rsid w:val="00397B63"/>
    <w:rsid w:val="003E4DD8"/>
    <w:rsid w:val="00400EFB"/>
    <w:rsid w:val="004212E8"/>
    <w:rsid w:val="00434A1B"/>
    <w:rsid w:val="0043679C"/>
    <w:rsid w:val="00440FF7"/>
    <w:rsid w:val="00441B6A"/>
    <w:rsid w:val="004D23B1"/>
    <w:rsid w:val="004D6F8E"/>
    <w:rsid w:val="004E67C1"/>
    <w:rsid w:val="004F4298"/>
    <w:rsid w:val="0051702C"/>
    <w:rsid w:val="005300BE"/>
    <w:rsid w:val="00546B1A"/>
    <w:rsid w:val="00552D3F"/>
    <w:rsid w:val="0056049A"/>
    <w:rsid w:val="00561FF8"/>
    <w:rsid w:val="00576A79"/>
    <w:rsid w:val="00577D4C"/>
    <w:rsid w:val="005A2DDB"/>
    <w:rsid w:val="005E2CCC"/>
    <w:rsid w:val="005E599B"/>
    <w:rsid w:val="005F3C90"/>
    <w:rsid w:val="005F79BF"/>
    <w:rsid w:val="00604FE8"/>
    <w:rsid w:val="00631E03"/>
    <w:rsid w:val="00650744"/>
    <w:rsid w:val="00660040"/>
    <w:rsid w:val="00664F63"/>
    <w:rsid w:val="00666E56"/>
    <w:rsid w:val="0067222B"/>
    <w:rsid w:val="00672360"/>
    <w:rsid w:val="00680A83"/>
    <w:rsid w:val="00680B7C"/>
    <w:rsid w:val="00681487"/>
    <w:rsid w:val="006817FF"/>
    <w:rsid w:val="0069356B"/>
    <w:rsid w:val="00695AFC"/>
    <w:rsid w:val="00695EA1"/>
    <w:rsid w:val="006A1AEB"/>
    <w:rsid w:val="006A28F0"/>
    <w:rsid w:val="006E006F"/>
    <w:rsid w:val="006F5C1D"/>
    <w:rsid w:val="00737EF8"/>
    <w:rsid w:val="00754D1A"/>
    <w:rsid w:val="007612EA"/>
    <w:rsid w:val="0078501F"/>
    <w:rsid w:val="00796042"/>
    <w:rsid w:val="007A4C07"/>
    <w:rsid w:val="007C5B8A"/>
    <w:rsid w:val="007D51DD"/>
    <w:rsid w:val="007E0A18"/>
    <w:rsid w:val="007E221A"/>
    <w:rsid w:val="00803E2C"/>
    <w:rsid w:val="0081277D"/>
    <w:rsid w:val="00823AD6"/>
    <w:rsid w:val="0084017E"/>
    <w:rsid w:val="008608C0"/>
    <w:rsid w:val="008620BA"/>
    <w:rsid w:val="00883CF6"/>
    <w:rsid w:val="00884CB3"/>
    <w:rsid w:val="008A21A1"/>
    <w:rsid w:val="008B62A4"/>
    <w:rsid w:val="008B7CF4"/>
    <w:rsid w:val="00912C93"/>
    <w:rsid w:val="00917425"/>
    <w:rsid w:val="009200CE"/>
    <w:rsid w:val="009232E1"/>
    <w:rsid w:val="00927F0C"/>
    <w:rsid w:val="0099555B"/>
    <w:rsid w:val="009A04A5"/>
    <w:rsid w:val="009A6920"/>
    <w:rsid w:val="009B5A2B"/>
    <w:rsid w:val="009E1019"/>
    <w:rsid w:val="009E3479"/>
    <w:rsid w:val="009F4286"/>
    <w:rsid w:val="00A07C1A"/>
    <w:rsid w:val="00A14AB3"/>
    <w:rsid w:val="00A24230"/>
    <w:rsid w:val="00A417E6"/>
    <w:rsid w:val="00A70EAE"/>
    <w:rsid w:val="00A85D56"/>
    <w:rsid w:val="00AB4999"/>
    <w:rsid w:val="00AC4B24"/>
    <w:rsid w:val="00AD51B3"/>
    <w:rsid w:val="00B03994"/>
    <w:rsid w:val="00B26312"/>
    <w:rsid w:val="00B37603"/>
    <w:rsid w:val="00B426F2"/>
    <w:rsid w:val="00B869EC"/>
    <w:rsid w:val="00B86D29"/>
    <w:rsid w:val="00BA19F6"/>
    <w:rsid w:val="00BA27DD"/>
    <w:rsid w:val="00BB1AA5"/>
    <w:rsid w:val="00BC40AF"/>
    <w:rsid w:val="00BC6E56"/>
    <w:rsid w:val="00BC7227"/>
    <w:rsid w:val="00BE1A70"/>
    <w:rsid w:val="00BF0AAC"/>
    <w:rsid w:val="00C03880"/>
    <w:rsid w:val="00C442C2"/>
    <w:rsid w:val="00C4572C"/>
    <w:rsid w:val="00C568C8"/>
    <w:rsid w:val="00C56AC2"/>
    <w:rsid w:val="00C60889"/>
    <w:rsid w:val="00C7111C"/>
    <w:rsid w:val="00C7727B"/>
    <w:rsid w:val="00C8031E"/>
    <w:rsid w:val="00C9576F"/>
    <w:rsid w:val="00CB3689"/>
    <w:rsid w:val="00CC7BBE"/>
    <w:rsid w:val="00CD5159"/>
    <w:rsid w:val="00D006F6"/>
    <w:rsid w:val="00D007D8"/>
    <w:rsid w:val="00D465A8"/>
    <w:rsid w:val="00D74B7F"/>
    <w:rsid w:val="00D969F3"/>
    <w:rsid w:val="00DA2094"/>
    <w:rsid w:val="00DA52B1"/>
    <w:rsid w:val="00DC68AF"/>
    <w:rsid w:val="00DD1059"/>
    <w:rsid w:val="00DD151E"/>
    <w:rsid w:val="00DE0E38"/>
    <w:rsid w:val="00E04E83"/>
    <w:rsid w:val="00E05B48"/>
    <w:rsid w:val="00E21DE8"/>
    <w:rsid w:val="00E6086B"/>
    <w:rsid w:val="00E91BE3"/>
    <w:rsid w:val="00EA6D69"/>
    <w:rsid w:val="00EC103F"/>
    <w:rsid w:val="00EC7A55"/>
    <w:rsid w:val="00ED6E79"/>
    <w:rsid w:val="00F13991"/>
    <w:rsid w:val="00F17545"/>
    <w:rsid w:val="00F302A9"/>
    <w:rsid w:val="00F34968"/>
    <w:rsid w:val="00F45502"/>
    <w:rsid w:val="00F8606D"/>
    <w:rsid w:val="00F94EFF"/>
    <w:rsid w:val="00FB1867"/>
    <w:rsid w:val="00FB7029"/>
    <w:rsid w:val="00FF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2D9AD"/>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customStyle="1" w:styleId="UnresolvedMention1">
    <w:name w:val="Unresolved Mention1"/>
    <w:basedOn w:val="DefaultParagraphFont"/>
    <w:uiPriority w:val="99"/>
    <w:semiHidden/>
    <w:unhideWhenUsed/>
    <w:rsid w:val="00336B04"/>
    <w:rPr>
      <w:color w:val="605E5C"/>
      <w:shd w:val="clear" w:color="auto" w:fill="E1DFDD"/>
    </w:rPr>
  </w:style>
  <w:style w:type="character" w:styleId="FollowedHyperlink">
    <w:name w:val="FollowedHyperlink"/>
    <w:basedOn w:val="DefaultParagraphFont"/>
    <w:uiPriority w:val="99"/>
    <w:semiHidden/>
    <w:unhideWhenUsed/>
    <w:rsid w:val="00210AA2"/>
    <w:rPr>
      <w:color w:val="800080" w:themeColor="followedHyperlink"/>
      <w:u w:val="single"/>
    </w:rPr>
  </w:style>
  <w:style w:type="character" w:styleId="UnresolvedMention">
    <w:name w:val="Unresolved Mention"/>
    <w:basedOn w:val="DefaultParagraphFont"/>
    <w:uiPriority w:val="99"/>
    <w:semiHidden/>
    <w:unhideWhenUsed/>
    <w:rsid w:val="00D74B7F"/>
    <w:rPr>
      <w:color w:val="605E5C"/>
      <w:shd w:val="clear" w:color="auto" w:fill="E1DFDD"/>
    </w:rPr>
  </w:style>
  <w:style w:type="table" w:styleId="GridTable1Light-Accent5">
    <w:name w:val="Grid Table 1 Light Accent 5"/>
    <w:basedOn w:val="TableNormal"/>
    <w:uiPriority w:val="46"/>
    <w:rsid w:val="005F79BF"/>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682822707">
      <w:bodyDiv w:val="1"/>
      <w:marLeft w:val="0"/>
      <w:marRight w:val="0"/>
      <w:marTop w:val="0"/>
      <w:marBottom w:val="0"/>
      <w:divBdr>
        <w:top w:val="none" w:sz="0" w:space="0" w:color="auto"/>
        <w:left w:val="none" w:sz="0" w:space="0" w:color="auto"/>
        <w:bottom w:val="none" w:sz="0" w:space="0" w:color="auto"/>
        <w:right w:val="none" w:sz="0" w:space="0" w:color="auto"/>
      </w:divBdr>
    </w:div>
    <w:div w:id="1325469320">
      <w:bodyDiv w:val="1"/>
      <w:marLeft w:val="0"/>
      <w:marRight w:val="0"/>
      <w:marTop w:val="0"/>
      <w:marBottom w:val="0"/>
      <w:divBdr>
        <w:top w:val="none" w:sz="0" w:space="0" w:color="auto"/>
        <w:left w:val="none" w:sz="0" w:space="0" w:color="auto"/>
        <w:bottom w:val="none" w:sz="0" w:space="0" w:color="auto"/>
        <w:right w:val="none" w:sz="0" w:space="0" w:color="auto"/>
      </w:divBdr>
    </w:div>
    <w:div w:id="1539200604">
      <w:bodyDiv w:val="1"/>
      <w:marLeft w:val="0"/>
      <w:marRight w:val="0"/>
      <w:marTop w:val="0"/>
      <w:marBottom w:val="0"/>
      <w:divBdr>
        <w:top w:val="none" w:sz="0" w:space="0" w:color="auto"/>
        <w:left w:val="none" w:sz="0" w:space="0" w:color="auto"/>
        <w:bottom w:val="none" w:sz="0" w:space="0" w:color="auto"/>
        <w:right w:val="none" w:sz="0" w:space="0" w:color="auto"/>
      </w:divBdr>
    </w:div>
    <w:div w:id="209547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ams.microsoft.com/l/meetup-join/19%3ameeting_MGJjODgxMTItZjU4Mi00YjdhLWJiMjMtNGU3MDY1NjhkZWU3%40thread.v2/0?context=%7b%22Tid%22%3a%22118b7cfa-a3dd-48b9-b026-31ff69bb738b%22%2c%22Oid%22%3a%227b76f256-8082-43d7-9e39-e140c20fe073%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EEF5-CF14-4C5B-91E8-87B88CB7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6646</CharactersWithSpaces>
  <SharedDoc>false</SharedDoc>
  <HLinks>
    <vt:vector size="6" baseType="variant">
      <vt:variant>
        <vt:i4>131178</vt:i4>
      </vt:variant>
      <vt:variant>
        <vt:i4>0</vt:i4>
      </vt:variant>
      <vt:variant>
        <vt:i4>0</vt:i4>
      </vt:variant>
      <vt:variant>
        <vt:i4>5</vt:i4>
      </vt:variant>
      <vt:variant>
        <vt:lpwstr>mailto:deep.accommodations@ct.gov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4</cp:revision>
  <cp:lastPrinted>2015-02-26T16:45:00Z</cp:lastPrinted>
  <dcterms:created xsi:type="dcterms:W3CDTF">2021-09-26T17:42:00Z</dcterms:created>
  <dcterms:modified xsi:type="dcterms:W3CDTF">2021-09-26T18:29:00Z</dcterms:modified>
</cp:coreProperties>
</file>