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6C4091B0" w:rsidR="00152A4A" w:rsidRDefault="00000000" w:rsidP="00152A4A">
      <w:pPr>
        <w:pStyle w:val="Title"/>
      </w:pPr>
      <w:r>
        <w:rPr>
          <w:noProof/>
        </w:rPr>
        <w:pict w14:anchorId="2242804B">
          <v:shapetype id="_x0000_t202" coordsize="21600,21600" o:spt="202" path="m,l,21600r21600,l21600,xe">
            <v:stroke joinstyle="miter"/>
            <v:path gradientshapeok="t" o:connecttype="rect"/>
          </v:shapetype>
          <v:shape id="Text Box 6" o:spid="_x0000_s2050" type="#_x0000_t202" style="position:absolute;left:0;text-align:left;margin-left:-19.2pt;margin-top:-54.85pt;width:468pt;height:97.2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129F09E3" w:rsidR="00B426F2" w:rsidRPr="00B426F2" w:rsidRDefault="00B426F2" w:rsidP="00B426F2">
      <w:pPr>
        <w:jc w:val="center"/>
        <w:rPr>
          <w:szCs w:val="24"/>
        </w:rPr>
      </w:pPr>
      <w:r w:rsidRPr="00B426F2">
        <w:rPr>
          <w:szCs w:val="24"/>
        </w:rPr>
        <w:t xml:space="preserve">CONNECTICUT DISTRIBUTED GENERATION </w:t>
      </w:r>
      <w:r w:rsidR="00E54789">
        <w:rPr>
          <w:szCs w:val="24"/>
        </w:rPr>
        <w:t xml:space="preserve">POLICY </w:t>
      </w:r>
      <w:r w:rsidRPr="00B426F2">
        <w:rPr>
          <w:szCs w:val="24"/>
        </w:rPr>
        <w:t>WORKING GROUP</w:t>
      </w:r>
      <w:r w:rsidR="00F633BD">
        <w:rPr>
          <w:szCs w:val="24"/>
        </w:rPr>
        <w:t xml:space="preserv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50A4DA61" w:rsidR="007C5B8A" w:rsidRPr="002B7ECD" w:rsidRDefault="00AD38D3" w:rsidP="007C5B8A">
      <w:pPr>
        <w:jc w:val="center"/>
        <w:rPr>
          <w:szCs w:val="24"/>
        </w:rPr>
      </w:pPr>
      <w:r>
        <w:rPr>
          <w:szCs w:val="24"/>
        </w:rPr>
        <w:t>Tue</w:t>
      </w:r>
      <w:r w:rsidR="00EA5846">
        <w:rPr>
          <w:szCs w:val="24"/>
        </w:rPr>
        <w:t>sday</w:t>
      </w:r>
      <w:r w:rsidR="00B426F2">
        <w:rPr>
          <w:szCs w:val="24"/>
        </w:rPr>
        <w:t xml:space="preserve">, </w:t>
      </w:r>
      <w:r w:rsidR="00BD6BD3">
        <w:rPr>
          <w:szCs w:val="24"/>
        </w:rPr>
        <w:t>February</w:t>
      </w:r>
      <w:r w:rsidR="00F633BD">
        <w:rPr>
          <w:szCs w:val="24"/>
        </w:rPr>
        <w:t xml:space="preserve"> </w:t>
      </w:r>
      <w:r w:rsidR="00BD6BD3">
        <w:rPr>
          <w:szCs w:val="24"/>
        </w:rPr>
        <w:t>28</w:t>
      </w:r>
      <w:r w:rsidR="00B426F2" w:rsidRPr="00B426F2">
        <w:rPr>
          <w:szCs w:val="24"/>
        </w:rPr>
        <w:t>, 202</w:t>
      </w:r>
      <w:r>
        <w:rPr>
          <w:szCs w:val="24"/>
        </w:rPr>
        <w:t>3</w:t>
      </w:r>
    </w:p>
    <w:p w14:paraId="0EEEA09E" w14:textId="293C7364" w:rsidR="00126A02" w:rsidRPr="00B426F2" w:rsidRDefault="00126A02" w:rsidP="00126A02">
      <w:pPr>
        <w:spacing w:line="360" w:lineRule="auto"/>
        <w:jc w:val="center"/>
        <w:rPr>
          <w:rFonts w:cs="Arial"/>
          <w:szCs w:val="24"/>
        </w:rPr>
      </w:pPr>
      <w:r w:rsidRPr="00B426F2">
        <w:rPr>
          <w:rFonts w:cs="Arial"/>
          <w:szCs w:val="24"/>
        </w:rPr>
        <w:t>9:00 AM – 1</w:t>
      </w:r>
      <w:r w:rsidR="00E54789">
        <w:rPr>
          <w:rFonts w:cs="Arial"/>
          <w:szCs w:val="24"/>
        </w:rPr>
        <w:t>1</w:t>
      </w:r>
      <w:r w:rsidRPr="00B426F2">
        <w:rPr>
          <w:rFonts w:cs="Arial"/>
          <w:szCs w:val="24"/>
        </w:rPr>
        <w:t xml:space="preserve">:00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059DE313" w14:textId="77777777" w:rsidR="00126A02" w:rsidRDefault="00126A02" w:rsidP="00126A02">
      <w:pPr>
        <w:jc w:val="both"/>
        <w:rPr>
          <w:rFonts w:cs="Arial"/>
          <w:szCs w:val="24"/>
        </w:rPr>
      </w:pPr>
    </w:p>
    <w:p w14:paraId="16DD9D7B" w14:textId="56AC199F" w:rsidR="00126A02" w:rsidRDefault="00126A02" w:rsidP="0060028B">
      <w:pPr>
        <w:spacing w:line="245" w:lineRule="auto"/>
        <w:jc w:val="both"/>
        <w:rPr>
          <w:rFonts w:cs="Arial"/>
          <w:b/>
          <w:szCs w:val="24"/>
        </w:rPr>
      </w:pPr>
      <w:r w:rsidRPr="00B426F2">
        <w:rPr>
          <w:rFonts w:cs="Arial"/>
          <w:b/>
          <w:szCs w:val="24"/>
        </w:rPr>
        <w:t>Int</w:t>
      </w:r>
      <w:r w:rsidR="00BD6BD3">
        <w:rPr>
          <w:rFonts w:cs="Arial"/>
          <w:b/>
          <w:szCs w:val="24"/>
        </w:rPr>
        <w:t>erconnection Upgrade Payment Schedules</w:t>
      </w:r>
      <w:r w:rsidR="0026478E">
        <w:rPr>
          <w:rFonts w:cs="Arial"/>
          <w:b/>
          <w:szCs w:val="24"/>
        </w:rPr>
        <w:t xml:space="preserve"> </w:t>
      </w:r>
    </w:p>
    <w:p w14:paraId="77B33394" w14:textId="77777777" w:rsidR="00EC751E" w:rsidRDefault="00EC751E" w:rsidP="0060028B">
      <w:pPr>
        <w:pStyle w:val="ListParagraph"/>
        <w:numPr>
          <w:ilvl w:val="0"/>
          <w:numId w:val="25"/>
        </w:numPr>
        <w:spacing w:after="20" w:line="245" w:lineRule="auto"/>
        <w:jc w:val="both"/>
        <w:rPr>
          <w:rFonts w:cs="Arial"/>
          <w:szCs w:val="24"/>
        </w:rPr>
      </w:pPr>
      <w:r>
        <w:rPr>
          <w:rFonts w:cs="Arial"/>
          <w:szCs w:val="24"/>
        </w:rPr>
        <w:t>The meeting began with Noel introducing a new topic:  payment schedules for interconnection upgrades</w:t>
      </w:r>
    </w:p>
    <w:p w14:paraId="08C22E9E" w14:textId="77777777" w:rsidR="00EC751E" w:rsidRDefault="00EC751E" w:rsidP="0060028B">
      <w:pPr>
        <w:pStyle w:val="ListParagraph"/>
        <w:numPr>
          <w:ilvl w:val="1"/>
          <w:numId w:val="25"/>
        </w:numPr>
        <w:spacing w:after="20" w:line="245" w:lineRule="auto"/>
        <w:jc w:val="both"/>
        <w:rPr>
          <w:rFonts w:cs="Arial"/>
          <w:szCs w:val="24"/>
        </w:rPr>
      </w:pPr>
      <w:r>
        <w:rPr>
          <w:rFonts w:cs="Arial"/>
          <w:szCs w:val="24"/>
        </w:rPr>
        <w:t>Noel described the current process, which includes 30/60/90 day payment milestones</w:t>
      </w:r>
    </w:p>
    <w:p w14:paraId="5F97ACB4" w14:textId="77777777" w:rsidR="00481B25" w:rsidRDefault="00481B25" w:rsidP="0060028B">
      <w:pPr>
        <w:pStyle w:val="ListParagraph"/>
        <w:numPr>
          <w:ilvl w:val="1"/>
          <w:numId w:val="25"/>
        </w:numPr>
        <w:spacing w:after="20" w:line="245" w:lineRule="auto"/>
        <w:jc w:val="both"/>
        <w:rPr>
          <w:rFonts w:cs="Arial"/>
          <w:szCs w:val="24"/>
        </w:rPr>
      </w:pPr>
      <w:r>
        <w:rPr>
          <w:rFonts w:cs="Arial"/>
          <w:szCs w:val="24"/>
        </w:rPr>
        <w:t>Noel described the difficulties in meeting those milestones when dealing with private capital</w:t>
      </w:r>
    </w:p>
    <w:p w14:paraId="7A88F540" w14:textId="77777777" w:rsidR="00481B25" w:rsidRDefault="00481B25" w:rsidP="0060028B">
      <w:pPr>
        <w:pStyle w:val="ListParagraph"/>
        <w:numPr>
          <w:ilvl w:val="1"/>
          <w:numId w:val="25"/>
        </w:numPr>
        <w:spacing w:after="20" w:line="245" w:lineRule="auto"/>
        <w:jc w:val="both"/>
        <w:rPr>
          <w:rFonts w:cs="Arial"/>
          <w:szCs w:val="24"/>
        </w:rPr>
      </w:pPr>
      <w:r>
        <w:rPr>
          <w:rFonts w:cs="Arial"/>
          <w:szCs w:val="24"/>
        </w:rPr>
        <w:t>Noel noted that some costs seemed to be paid well ahead of time and asked whether the payment schedules could be calculated by working back from the in-service date</w:t>
      </w:r>
    </w:p>
    <w:p w14:paraId="1C563045" w14:textId="77777777" w:rsidR="00481B25" w:rsidRDefault="00481B25" w:rsidP="0060028B">
      <w:pPr>
        <w:pStyle w:val="ListParagraph"/>
        <w:numPr>
          <w:ilvl w:val="0"/>
          <w:numId w:val="25"/>
        </w:numPr>
        <w:spacing w:after="20" w:line="245" w:lineRule="auto"/>
        <w:jc w:val="both"/>
        <w:rPr>
          <w:rFonts w:cs="Arial"/>
          <w:szCs w:val="24"/>
        </w:rPr>
      </w:pPr>
      <w:r>
        <w:rPr>
          <w:rFonts w:cs="Arial"/>
          <w:szCs w:val="24"/>
        </w:rPr>
        <w:t>David F. described how the existing process came to be</w:t>
      </w:r>
    </w:p>
    <w:p w14:paraId="118D21A5" w14:textId="17EE8DAE" w:rsidR="00481B25" w:rsidRDefault="00481B25" w:rsidP="0060028B">
      <w:pPr>
        <w:pStyle w:val="ListParagraph"/>
        <w:numPr>
          <w:ilvl w:val="1"/>
          <w:numId w:val="25"/>
        </w:numPr>
        <w:spacing w:after="20" w:line="245" w:lineRule="auto"/>
        <w:jc w:val="both"/>
        <w:rPr>
          <w:rFonts w:cs="Arial"/>
          <w:szCs w:val="24"/>
        </w:rPr>
      </w:pPr>
      <w:r>
        <w:rPr>
          <w:rFonts w:cs="Arial"/>
          <w:szCs w:val="24"/>
        </w:rPr>
        <w:t xml:space="preserve">The guidelines themselves </w:t>
      </w:r>
      <w:r w:rsidR="00F9793C">
        <w:rPr>
          <w:rFonts w:cs="Arial"/>
          <w:szCs w:val="24"/>
        </w:rPr>
        <w:t>do not</w:t>
      </w:r>
      <w:r>
        <w:rPr>
          <w:rFonts w:cs="Arial"/>
          <w:szCs w:val="24"/>
        </w:rPr>
        <w:t xml:space="preserve"> speak to payment timelines</w:t>
      </w:r>
    </w:p>
    <w:p w14:paraId="57F3F476" w14:textId="77777777" w:rsidR="00481B25" w:rsidRDefault="00481B25" w:rsidP="0060028B">
      <w:pPr>
        <w:pStyle w:val="ListParagraph"/>
        <w:numPr>
          <w:ilvl w:val="1"/>
          <w:numId w:val="25"/>
        </w:numPr>
        <w:spacing w:after="20" w:line="245" w:lineRule="auto"/>
        <w:jc w:val="both"/>
        <w:rPr>
          <w:rFonts w:cs="Arial"/>
          <w:szCs w:val="24"/>
        </w:rPr>
      </w:pPr>
      <w:r>
        <w:rPr>
          <w:rFonts w:cs="Arial"/>
          <w:szCs w:val="24"/>
        </w:rPr>
        <w:t>Traditionally, EDCs require upfront payment to eliminate risk to the company and to ratepayers</w:t>
      </w:r>
    </w:p>
    <w:p w14:paraId="5F3CCF43" w14:textId="56971854" w:rsidR="00780EEF" w:rsidRDefault="00481B25" w:rsidP="0060028B">
      <w:pPr>
        <w:pStyle w:val="ListParagraph"/>
        <w:numPr>
          <w:ilvl w:val="1"/>
          <w:numId w:val="25"/>
        </w:numPr>
        <w:spacing w:after="20" w:line="245" w:lineRule="auto"/>
        <w:jc w:val="both"/>
        <w:rPr>
          <w:rFonts w:cs="Arial"/>
          <w:szCs w:val="24"/>
        </w:rPr>
      </w:pPr>
      <w:r>
        <w:rPr>
          <w:rFonts w:cs="Arial"/>
          <w:szCs w:val="24"/>
        </w:rPr>
        <w:t xml:space="preserve">The individual interconnection agreements used to contain </w:t>
      </w:r>
      <w:r w:rsidR="00697E6E">
        <w:rPr>
          <w:rFonts w:cs="Arial"/>
          <w:szCs w:val="24"/>
        </w:rPr>
        <w:t>timeframes</w:t>
      </w:r>
    </w:p>
    <w:p w14:paraId="7D8D36E3" w14:textId="6A7B16DE" w:rsidR="000264C0" w:rsidRDefault="000264C0" w:rsidP="0060028B">
      <w:pPr>
        <w:pStyle w:val="ListParagraph"/>
        <w:numPr>
          <w:ilvl w:val="1"/>
          <w:numId w:val="25"/>
        </w:numPr>
        <w:spacing w:after="20" w:line="245" w:lineRule="auto"/>
        <w:jc w:val="both"/>
        <w:rPr>
          <w:rFonts w:cs="Arial"/>
          <w:szCs w:val="24"/>
        </w:rPr>
      </w:pPr>
      <w:r>
        <w:rPr>
          <w:rFonts w:cs="Arial"/>
          <w:szCs w:val="24"/>
        </w:rPr>
        <w:t>David stated that he was open to any reasonable arrangements so long as payment was received prior to the EDC spending money</w:t>
      </w:r>
    </w:p>
    <w:p w14:paraId="0F2930F2" w14:textId="131C0823" w:rsidR="000264C0" w:rsidRDefault="000264C0" w:rsidP="0060028B">
      <w:pPr>
        <w:pStyle w:val="ListParagraph"/>
        <w:numPr>
          <w:ilvl w:val="0"/>
          <w:numId w:val="25"/>
        </w:numPr>
        <w:spacing w:after="20" w:line="245" w:lineRule="auto"/>
        <w:jc w:val="both"/>
        <w:rPr>
          <w:rFonts w:cs="Arial"/>
          <w:szCs w:val="24"/>
        </w:rPr>
      </w:pPr>
      <w:r>
        <w:rPr>
          <w:rFonts w:cs="Arial"/>
          <w:szCs w:val="24"/>
        </w:rPr>
        <w:t>Joe Debs described how Eversource will develop a detailed payment schedule for large projects</w:t>
      </w:r>
    </w:p>
    <w:p w14:paraId="3570D685" w14:textId="48B02E7D" w:rsidR="000264C0" w:rsidRDefault="000264C0" w:rsidP="0060028B">
      <w:pPr>
        <w:pStyle w:val="ListParagraph"/>
        <w:numPr>
          <w:ilvl w:val="1"/>
          <w:numId w:val="25"/>
        </w:numPr>
        <w:spacing w:after="20" w:line="245" w:lineRule="auto"/>
        <w:jc w:val="both"/>
        <w:rPr>
          <w:rFonts w:cs="Arial"/>
          <w:szCs w:val="24"/>
        </w:rPr>
      </w:pPr>
      <w:r>
        <w:rPr>
          <w:rFonts w:cs="Arial"/>
          <w:szCs w:val="24"/>
        </w:rPr>
        <w:t>The 30-day payment is necessary to allow for the upfront work not addressed in the interconnection process</w:t>
      </w:r>
    </w:p>
    <w:p w14:paraId="29F45059" w14:textId="2E75826E" w:rsidR="000264C0" w:rsidRDefault="000264C0" w:rsidP="0060028B">
      <w:pPr>
        <w:pStyle w:val="ListParagraph"/>
        <w:numPr>
          <w:ilvl w:val="1"/>
          <w:numId w:val="25"/>
        </w:numPr>
        <w:spacing w:after="20" w:line="245" w:lineRule="auto"/>
        <w:jc w:val="both"/>
        <w:rPr>
          <w:rFonts w:cs="Arial"/>
          <w:szCs w:val="24"/>
        </w:rPr>
      </w:pPr>
      <w:r>
        <w:rPr>
          <w:rFonts w:cs="Arial"/>
          <w:szCs w:val="24"/>
        </w:rPr>
        <w:t>Joe also described current lead times and the need to order equipment early because it could take upwards of a year to receive and install the equipment</w:t>
      </w:r>
    </w:p>
    <w:p w14:paraId="6D198130" w14:textId="0D760BF6" w:rsidR="000264C0" w:rsidRDefault="000264C0" w:rsidP="0060028B">
      <w:pPr>
        <w:pStyle w:val="ListParagraph"/>
        <w:numPr>
          <w:ilvl w:val="0"/>
          <w:numId w:val="25"/>
        </w:numPr>
        <w:spacing w:after="20" w:line="245" w:lineRule="auto"/>
        <w:jc w:val="both"/>
        <w:rPr>
          <w:rFonts w:cs="Arial"/>
          <w:szCs w:val="24"/>
        </w:rPr>
      </w:pPr>
      <w:r>
        <w:rPr>
          <w:rFonts w:cs="Arial"/>
          <w:szCs w:val="24"/>
        </w:rPr>
        <w:t xml:space="preserve">Noel </w:t>
      </w:r>
      <w:r w:rsidR="00F73421">
        <w:rPr>
          <w:rFonts w:cs="Arial"/>
          <w:szCs w:val="24"/>
        </w:rPr>
        <w:t>stated that he understood the EDC’s position but remarked that most types of work do not require a complete up-front payment and asked about the possibility to make smaller regular payments in order to keep projects alive while avoiding abandoned projects taking up positions in the queue</w:t>
      </w:r>
    </w:p>
    <w:p w14:paraId="43F08904" w14:textId="77777777" w:rsidR="00906939" w:rsidRDefault="00474FDF" w:rsidP="0060028B">
      <w:pPr>
        <w:pStyle w:val="ListParagraph"/>
        <w:numPr>
          <w:ilvl w:val="0"/>
          <w:numId w:val="25"/>
        </w:numPr>
        <w:spacing w:after="20" w:line="245" w:lineRule="auto"/>
        <w:jc w:val="both"/>
        <w:rPr>
          <w:rFonts w:cs="Arial"/>
          <w:szCs w:val="24"/>
        </w:rPr>
      </w:pPr>
      <w:r>
        <w:rPr>
          <w:rFonts w:cs="Arial"/>
          <w:szCs w:val="24"/>
        </w:rPr>
        <w:t xml:space="preserve">Bob Ives remarked that many programs already require projects to pay upfront nonrefundable performance bonds </w:t>
      </w:r>
      <w:r w:rsidR="00906939">
        <w:rPr>
          <w:rFonts w:cs="Arial"/>
          <w:szCs w:val="24"/>
        </w:rPr>
        <w:t>so there is a significant amount of money on the line and believes there are ways to reduce upfront payments for developers</w:t>
      </w:r>
    </w:p>
    <w:p w14:paraId="0B475A97" w14:textId="77777777" w:rsidR="00906939" w:rsidRDefault="00906939" w:rsidP="0060028B">
      <w:pPr>
        <w:pStyle w:val="ListParagraph"/>
        <w:numPr>
          <w:ilvl w:val="0"/>
          <w:numId w:val="25"/>
        </w:numPr>
        <w:spacing w:after="20" w:line="245" w:lineRule="auto"/>
        <w:jc w:val="both"/>
        <w:rPr>
          <w:rFonts w:cs="Arial"/>
          <w:szCs w:val="24"/>
        </w:rPr>
      </w:pPr>
      <w:r>
        <w:rPr>
          <w:rFonts w:cs="Arial"/>
          <w:szCs w:val="24"/>
        </w:rPr>
        <w:t>Zak asked whether payments could be divided so that material costs were paid upfront and labor costs paid when the equipment was ready to be installed</w:t>
      </w:r>
    </w:p>
    <w:p w14:paraId="6CE3C2CD" w14:textId="77777777" w:rsidR="00A87A94" w:rsidRDefault="00906939" w:rsidP="0060028B">
      <w:pPr>
        <w:pStyle w:val="ListParagraph"/>
        <w:numPr>
          <w:ilvl w:val="0"/>
          <w:numId w:val="25"/>
        </w:numPr>
        <w:spacing w:after="20" w:line="245" w:lineRule="auto"/>
        <w:jc w:val="both"/>
        <w:rPr>
          <w:rFonts w:cs="Arial"/>
          <w:szCs w:val="24"/>
        </w:rPr>
      </w:pPr>
      <w:r>
        <w:rPr>
          <w:rFonts w:cs="Arial"/>
          <w:szCs w:val="24"/>
        </w:rPr>
        <w:t xml:space="preserve">Joe Marranca stated that UI </w:t>
      </w:r>
      <w:r w:rsidR="009419DF">
        <w:rPr>
          <w:rFonts w:cs="Arial"/>
          <w:szCs w:val="24"/>
        </w:rPr>
        <w:t xml:space="preserve">doesn’t typically enter into milestone payments for projects with under $1 million in upgrade costs.  Similar to Eversource, UI will not </w:t>
      </w:r>
      <w:r w:rsidR="009419DF">
        <w:rPr>
          <w:rFonts w:cs="Arial"/>
          <w:szCs w:val="24"/>
        </w:rPr>
        <w:lastRenderedPageBreak/>
        <w:t>do work without cash in hand.  A recent project with a payment schedule had the first payment cover materials and design labor costs</w:t>
      </w:r>
    </w:p>
    <w:p w14:paraId="31FDBD52" w14:textId="77777777" w:rsidR="00175211" w:rsidRDefault="00A87A94" w:rsidP="0060028B">
      <w:pPr>
        <w:pStyle w:val="ListParagraph"/>
        <w:numPr>
          <w:ilvl w:val="0"/>
          <w:numId w:val="25"/>
        </w:numPr>
        <w:spacing w:after="20" w:line="245" w:lineRule="auto"/>
        <w:jc w:val="both"/>
        <w:rPr>
          <w:rFonts w:cs="Arial"/>
          <w:szCs w:val="24"/>
        </w:rPr>
      </w:pPr>
      <w:r>
        <w:rPr>
          <w:rFonts w:cs="Arial"/>
          <w:szCs w:val="24"/>
        </w:rPr>
        <w:t xml:space="preserve">Dave F. mentioned that </w:t>
      </w:r>
      <w:r w:rsidR="00175211">
        <w:rPr>
          <w:rFonts w:cs="Arial"/>
          <w:szCs w:val="24"/>
        </w:rPr>
        <w:t>projects requiring a facilities study must pay in advance for design work</w:t>
      </w:r>
    </w:p>
    <w:p w14:paraId="24400EE8" w14:textId="77777777" w:rsidR="000123E2" w:rsidRDefault="00175211" w:rsidP="0060028B">
      <w:pPr>
        <w:pStyle w:val="ListParagraph"/>
        <w:numPr>
          <w:ilvl w:val="0"/>
          <w:numId w:val="25"/>
        </w:numPr>
        <w:spacing w:after="20" w:line="245" w:lineRule="auto"/>
        <w:jc w:val="both"/>
        <w:rPr>
          <w:rFonts w:cs="Arial"/>
          <w:szCs w:val="24"/>
        </w:rPr>
      </w:pPr>
      <w:r>
        <w:rPr>
          <w:rFonts w:cs="Arial"/>
          <w:szCs w:val="24"/>
        </w:rPr>
        <w:t xml:space="preserve">Noel asked whether </w:t>
      </w:r>
      <w:r w:rsidR="000123E2">
        <w:rPr>
          <w:rFonts w:cs="Arial"/>
          <w:szCs w:val="24"/>
        </w:rPr>
        <w:t>the EDCs could provide additional granularity on the schedule and internal costs</w:t>
      </w:r>
    </w:p>
    <w:p w14:paraId="147E9263" w14:textId="77777777" w:rsidR="008F6442" w:rsidRDefault="000123E2" w:rsidP="0060028B">
      <w:pPr>
        <w:pStyle w:val="ListParagraph"/>
        <w:numPr>
          <w:ilvl w:val="1"/>
          <w:numId w:val="25"/>
        </w:numPr>
        <w:spacing w:after="20" w:line="245" w:lineRule="auto"/>
        <w:jc w:val="both"/>
        <w:rPr>
          <w:rFonts w:cs="Arial"/>
          <w:szCs w:val="24"/>
        </w:rPr>
      </w:pPr>
      <w:r>
        <w:rPr>
          <w:rFonts w:cs="Arial"/>
          <w:szCs w:val="24"/>
        </w:rPr>
        <w:t xml:space="preserve">David commented that all of the </w:t>
      </w:r>
      <w:r w:rsidR="008F6442">
        <w:rPr>
          <w:rFonts w:cs="Arial"/>
          <w:szCs w:val="24"/>
        </w:rPr>
        <w:t>engineering costs are at a fixed per hour rate</w:t>
      </w:r>
    </w:p>
    <w:p w14:paraId="33821109" w14:textId="77777777" w:rsidR="00E50745" w:rsidRDefault="00E50745" w:rsidP="0060028B">
      <w:pPr>
        <w:spacing w:after="20" w:line="245" w:lineRule="auto"/>
        <w:jc w:val="both"/>
        <w:rPr>
          <w:rFonts w:cs="Arial"/>
          <w:szCs w:val="24"/>
        </w:rPr>
      </w:pPr>
    </w:p>
    <w:p w14:paraId="1020B248" w14:textId="77777777" w:rsidR="00E50745" w:rsidRDefault="00E50745" w:rsidP="0060028B">
      <w:pPr>
        <w:spacing w:after="20" w:line="245" w:lineRule="auto"/>
        <w:jc w:val="both"/>
        <w:rPr>
          <w:rFonts w:cs="Arial"/>
          <w:b/>
          <w:bCs/>
          <w:szCs w:val="24"/>
        </w:rPr>
      </w:pPr>
      <w:r>
        <w:rPr>
          <w:rFonts w:cs="Arial"/>
          <w:b/>
          <w:bCs/>
          <w:szCs w:val="24"/>
        </w:rPr>
        <w:t>Residential Cost Sharing</w:t>
      </w:r>
    </w:p>
    <w:p w14:paraId="666E370F" w14:textId="77777777" w:rsidR="002B20DF" w:rsidRDefault="00E50745" w:rsidP="0060028B">
      <w:pPr>
        <w:pStyle w:val="ListParagraph"/>
        <w:numPr>
          <w:ilvl w:val="0"/>
          <w:numId w:val="26"/>
        </w:numPr>
        <w:spacing w:after="20" w:line="245" w:lineRule="auto"/>
        <w:jc w:val="both"/>
        <w:rPr>
          <w:rFonts w:cs="Arial"/>
          <w:szCs w:val="24"/>
        </w:rPr>
      </w:pPr>
      <w:r>
        <w:rPr>
          <w:rFonts w:cs="Arial"/>
          <w:szCs w:val="24"/>
        </w:rPr>
        <w:t xml:space="preserve">Mike T. brought up Connecticut proposed bill HB 6764 and the requirement for PURA </w:t>
      </w:r>
      <w:r w:rsidR="002B20DF">
        <w:rPr>
          <w:rFonts w:cs="Arial"/>
          <w:szCs w:val="24"/>
        </w:rPr>
        <w:t>to study EDC cost recover for transmission upgrades resulting from residential solar systems</w:t>
      </w:r>
    </w:p>
    <w:p w14:paraId="04B5941E" w14:textId="6507FA30" w:rsidR="00F73421" w:rsidRDefault="002B20DF" w:rsidP="0060028B">
      <w:pPr>
        <w:pStyle w:val="ListParagraph"/>
        <w:numPr>
          <w:ilvl w:val="1"/>
          <w:numId w:val="26"/>
        </w:numPr>
        <w:spacing w:after="20" w:line="245" w:lineRule="auto"/>
        <w:jc w:val="both"/>
        <w:rPr>
          <w:rFonts w:cs="Arial"/>
          <w:szCs w:val="24"/>
        </w:rPr>
      </w:pPr>
      <w:r>
        <w:rPr>
          <w:rFonts w:cs="Arial"/>
          <w:szCs w:val="24"/>
        </w:rPr>
        <w:t xml:space="preserve">The working group discussed whether the word “transmission” was used in error.  The group believed that </w:t>
      </w:r>
      <w:r w:rsidR="00874B88">
        <w:rPr>
          <w:rFonts w:cs="Arial"/>
          <w:szCs w:val="24"/>
        </w:rPr>
        <w:t>the word “distribution” was likely the intent as residential systems are not known to result in transmission upgrades</w:t>
      </w:r>
    </w:p>
    <w:p w14:paraId="0A1909B8" w14:textId="542DC748" w:rsidR="00874B88" w:rsidRDefault="00874B88" w:rsidP="0060028B">
      <w:pPr>
        <w:pStyle w:val="ListParagraph"/>
        <w:numPr>
          <w:ilvl w:val="1"/>
          <w:numId w:val="26"/>
        </w:numPr>
        <w:spacing w:after="20" w:line="245" w:lineRule="auto"/>
        <w:jc w:val="both"/>
        <w:rPr>
          <w:rFonts w:cs="Arial"/>
          <w:szCs w:val="24"/>
        </w:rPr>
      </w:pPr>
      <w:r>
        <w:rPr>
          <w:rFonts w:cs="Arial"/>
          <w:szCs w:val="24"/>
        </w:rPr>
        <w:t xml:space="preserve">The group noted that </w:t>
      </w:r>
      <w:r w:rsidR="00375705">
        <w:rPr>
          <w:rFonts w:cs="Arial"/>
          <w:szCs w:val="24"/>
        </w:rPr>
        <w:t xml:space="preserve">if that is the case, </w:t>
      </w:r>
      <w:r>
        <w:rPr>
          <w:rFonts w:cs="Arial"/>
          <w:szCs w:val="24"/>
        </w:rPr>
        <w:t>it had already explored this topic and that PURA is currently examining this issue in Docket No. 22-06-29</w:t>
      </w:r>
    </w:p>
    <w:p w14:paraId="098DBDEC" w14:textId="7B43058C" w:rsidR="00375705" w:rsidRDefault="00375705" w:rsidP="0060028B">
      <w:pPr>
        <w:spacing w:after="20" w:line="245" w:lineRule="auto"/>
        <w:jc w:val="both"/>
        <w:rPr>
          <w:rFonts w:cs="Arial"/>
          <w:szCs w:val="24"/>
        </w:rPr>
      </w:pPr>
    </w:p>
    <w:p w14:paraId="5538B761" w14:textId="0DB43813" w:rsidR="00375705" w:rsidRDefault="00375705" w:rsidP="0060028B">
      <w:pPr>
        <w:spacing w:after="20" w:line="245" w:lineRule="auto"/>
        <w:jc w:val="both"/>
        <w:rPr>
          <w:rFonts w:cs="Arial"/>
          <w:b/>
          <w:bCs/>
          <w:szCs w:val="24"/>
        </w:rPr>
      </w:pPr>
      <w:r>
        <w:rPr>
          <w:rFonts w:cs="Arial"/>
          <w:b/>
          <w:bCs/>
          <w:szCs w:val="24"/>
        </w:rPr>
        <w:t>Residential Interconnections</w:t>
      </w:r>
    </w:p>
    <w:p w14:paraId="55D7FBFB" w14:textId="1B2E4BAA" w:rsidR="00375705" w:rsidRDefault="00375705" w:rsidP="0060028B">
      <w:pPr>
        <w:pStyle w:val="ListParagraph"/>
        <w:numPr>
          <w:ilvl w:val="0"/>
          <w:numId w:val="26"/>
        </w:numPr>
        <w:spacing w:after="20" w:line="245" w:lineRule="auto"/>
        <w:jc w:val="both"/>
        <w:rPr>
          <w:rFonts w:cs="Arial"/>
          <w:szCs w:val="24"/>
        </w:rPr>
      </w:pPr>
      <w:r>
        <w:rPr>
          <w:rFonts w:cs="Arial"/>
          <w:szCs w:val="24"/>
        </w:rPr>
        <w:t xml:space="preserve">Mike T. asked the EDCs for an update on the timelines for residential interconnection timeframes </w:t>
      </w:r>
    </w:p>
    <w:p w14:paraId="5A196B68" w14:textId="1EC60620" w:rsidR="00B514E4" w:rsidRDefault="00B514E4" w:rsidP="0060028B">
      <w:pPr>
        <w:pStyle w:val="ListParagraph"/>
        <w:numPr>
          <w:ilvl w:val="1"/>
          <w:numId w:val="26"/>
        </w:numPr>
        <w:spacing w:after="20" w:line="245" w:lineRule="auto"/>
        <w:jc w:val="both"/>
        <w:rPr>
          <w:rFonts w:cs="Arial"/>
          <w:szCs w:val="24"/>
        </w:rPr>
      </w:pPr>
      <w:r>
        <w:rPr>
          <w:rFonts w:cs="Arial"/>
          <w:szCs w:val="24"/>
        </w:rPr>
        <w:t xml:space="preserve">Cornelius of UI stated that residential applications are generally being processed in the allotted timeframes </w:t>
      </w:r>
      <w:r w:rsidR="00E44A6B">
        <w:rPr>
          <w:rFonts w:cs="Arial"/>
          <w:szCs w:val="24"/>
        </w:rPr>
        <w:t>but there are also issues with the PowerClerk rollout that the Company is working on addressing to speed up the process</w:t>
      </w:r>
    </w:p>
    <w:p w14:paraId="2DE5BCE9" w14:textId="72B2DDBF" w:rsidR="00E44A6B" w:rsidRDefault="0060028B" w:rsidP="0060028B">
      <w:pPr>
        <w:pStyle w:val="ListParagraph"/>
        <w:numPr>
          <w:ilvl w:val="0"/>
          <w:numId w:val="26"/>
        </w:numPr>
        <w:spacing w:after="20" w:line="245" w:lineRule="auto"/>
        <w:jc w:val="both"/>
        <w:rPr>
          <w:rFonts w:cs="Arial"/>
          <w:szCs w:val="24"/>
        </w:rPr>
      </w:pPr>
      <w:r>
        <w:rPr>
          <w:rFonts w:cs="Arial"/>
          <w:szCs w:val="24"/>
        </w:rPr>
        <w:t>Mike F. stated that Trinity has been seeing increased delays on the back end of the process, i.e., getting PTO</w:t>
      </w:r>
    </w:p>
    <w:p w14:paraId="4C1EAFF8" w14:textId="4CCACBD9" w:rsidR="0060028B" w:rsidRDefault="0060028B" w:rsidP="0060028B">
      <w:pPr>
        <w:pStyle w:val="ListParagraph"/>
        <w:numPr>
          <w:ilvl w:val="1"/>
          <w:numId w:val="26"/>
        </w:numPr>
        <w:spacing w:after="20" w:line="245" w:lineRule="auto"/>
        <w:jc w:val="both"/>
        <w:rPr>
          <w:rFonts w:cs="Arial"/>
          <w:szCs w:val="24"/>
        </w:rPr>
      </w:pPr>
      <w:r>
        <w:rPr>
          <w:rFonts w:cs="Arial"/>
          <w:szCs w:val="24"/>
        </w:rPr>
        <w:t>Cornelius stated that UI has been having issues with installer wiring, particularly meter sockets being wired in reverse</w:t>
      </w:r>
    </w:p>
    <w:p w14:paraId="1AFB137C" w14:textId="2B07ADCE" w:rsidR="0060028B" w:rsidRDefault="0060028B" w:rsidP="0060028B">
      <w:pPr>
        <w:spacing w:after="20"/>
        <w:jc w:val="both"/>
        <w:rPr>
          <w:rFonts w:cs="Arial"/>
          <w:szCs w:val="24"/>
        </w:rPr>
      </w:pPr>
    </w:p>
    <w:p w14:paraId="60A38024" w14:textId="10A88D26" w:rsidR="0060028B" w:rsidRDefault="0060028B" w:rsidP="0060028B">
      <w:pPr>
        <w:spacing w:after="20"/>
        <w:jc w:val="both"/>
        <w:rPr>
          <w:rFonts w:cs="Arial"/>
          <w:b/>
          <w:bCs/>
          <w:szCs w:val="24"/>
        </w:rPr>
      </w:pPr>
      <w:r>
        <w:rPr>
          <w:rFonts w:cs="Arial"/>
          <w:b/>
          <w:bCs/>
          <w:szCs w:val="24"/>
        </w:rPr>
        <w:t>Supply Chain/Miscellaneous Discussion</w:t>
      </w:r>
    </w:p>
    <w:p w14:paraId="2D3BA061" w14:textId="3348EF8F" w:rsidR="0060028B" w:rsidRPr="0060028B" w:rsidRDefault="0060028B" w:rsidP="0060028B">
      <w:pPr>
        <w:pStyle w:val="ListParagraph"/>
        <w:numPr>
          <w:ilvl w:val="0"/>
          <w:numId w:val="27"/>
        </w:numPr>
        <w:spacing w:after="20"/>
        <w:jc w:val="both"/>
        <w:rPr>
          <w:rFonts w:cs="Arial"/>
          <w:b/>
          <w:bCs/>
          <w:szCs w:val="24"/>
        </w:rPr>
      </w:pPr>
      <w:r>
        <w:rPr>
          <w:rFonts w:cs="Arial"/>
          <w:szCs w:val="24"/>
        </w:rPr>
        <w:t>Noel asked whether the EDCs could share any updates with regard to supply chain delays</w:t>
      </w:r>
    </w:p>
    <w:p w14:paraId="73A6E1DF" w14:textId="26F7EEDF" w:rsidR="0060028B" w:rsidRPr="006E4DF8" w:rsidRDefault="0060028B" w:rsidP="0060028B">
      <w:pPr>
        <w:pStyle w:val="ListParagraph"/>
        <w:numPr>
          <w:ilvl w:val="1"/>
          <w:numId w:val="27"/>
        </w:numPr>
        <w:spacing w:after="20"/>
        <w:jc w:val="both"/>
        <w:rPr>
          <w:rFonts w:cs="Arial"/>
          <w:b/>
          <w:bCs/>
          <w:szCs w:val="24"/>
        </w:rPr>
      </w:pPr>
      <w:r>
        <w:rPr>
          <w:rFonts w:cs="Arial"/>
          <w:szCs w:val="24"/>
        </w:rPr>
        <w:t xml:space="preserve">Joe Debs stated that there are significant delays </w:t>
      </w:r>
      <w:r w:rsidR="006E4DF8">
        <w:rPr>
          <w:rFonts w:cs="Arial"/>
          <w:szCs w:val="24"/>
        </w:rPr>
        <w:t>in acquiring residential pole mounted transformers but he is unaware of the specifics</w:t>
      </w:r>
    </w:p>
    <w:p w14:paraId="1093B649" w14:textId="170F1A2F" w:rsidR="006E4DF8" w:rsidRPr="00F70FB8" w:rsidRDefault="006E4DF8" w:rsidP="006E4DF8">
      <w:pPr>
        <w:pStyle w:val="ListParagraph"/>
        <w:numPr>
          <w:ilvl w:val="0"/>
          <w:numId w:val="27"/>
        </w:numPr>
        <w:spacing w:after="20"/>
        <w:jc w:val="both"/>
        <w:rPr>
          <w:rFonts w:cs="Arial"/>
          <w:b/>
          <w:bCs/>
          <w:szCs w:val="24"/>
        </w:rPr>
      </w:pPr>
      <w:r>
        <w:rPr>
          <w:rFonts w:cs="Arial"/>
          <w:szCs w:val="24"/>
        </w:rPr>
        <w:t xml:space="preserve">Noel asked whether </w:t>
      </w:r>
      <w:r w:rsidR="000B6DAD">
        <w:rPr>
          <w:rFonts w:cs="Arial"/>
          <w:szCs w:val="24"/>
        </w:rPr>
        <w:t>Eversource could put upcoming payments for certain projects on hold or agree to reduced payments for those projects while the group worked out details f</w:t>
      </w:r>
      <w:r w:rsidR="00F70FB8">
        <w:rPr>
          <w:rFonts w:cs="Arial"/>
          <w:szCs w:val="24"/>
        </w:rPr>
        <w:t>or revising payment schedules</w:t>
      </w:r>
    </w:p>
    <w:p w14:paraId="396C4754" w14:textId="1F66D92A" w:rsidR="00F70FB8" w:rsidRPr="00F70FB8" w:rsidRDefault="00F70FB8" w:rsidP="006E4DF8">
      <w:pPr>
        <w:pStyle w:val="ListParagraph"/>
        <w:numPr>
          <w:ilvl w:val="0"/>
          <w:numId w:val="27"/>
        </w:numPr>
        <w:spacing w:after="20"/>
        <w:jc w:val="both"/>
        <w:rPr>
          <w:rFonts w:cs="Arial"/>
          <w:b/>
          <w:bCs/>
          <w:szCs w:val="24"/>
        </w:rPr>
      </w:pPr>
      <w:r>
        <w:rPr>
          <w:rFonts w:cs="Arial"/>
          <w:szCs w:val="24"/>
        </w:rPr>
        <w:t>David F. stated that he did not object in principle but that any such request would have to go through Carl N. who was not on the call</w:t>
      </w:r>
    </w:p>
    <w:p w14:paraId="47A5D408" w14:textId="3036EAF5" w:rsidR="00F70FB8" w:rsidRPr="0003772F" w:rsidRDefault="00F70FB8" w:rsidP="006E4DF8">
      <w:pPr>
        <w:pStyle w:val="ListParagraph"/>
        <w:numPr>
          <w:ilvl w:val="0"/>
          <w:numId w:val="27"/>
        </w:numPr>
        <w:spacing w:after="20"/>
        <w:jc w:val="both"/>
        <w:rPr>
          <w:rFonts w:cs="Arial"/>
          <w:b/>
          <w:bCs/>
          <w:szCs w:val="24"/>
        </w:rPr>
      </w:pPr>
      <w:r>
        <w:rPr>
          <w:rFonts w:cs="Arial"/>
          <w:szCs w:val="24"/>
        </w:rPr>
        <w:t xml:space="preserve">Jon Demay stated that </w:t>
      </w:r>
      <w:r w:rsidR="00D13EAD">
        <w:rPr>
          <w:rFonts w:cs="Arial"/>
          <w:szCs w:val="24"/>
        </w:rPr>
        <w:t xml:space="preserve">he waned to ensure that the process remains flexible as different companies have different business models.  For example, he would </w:t>
      </w:r>
      <w:r w:rsidR="00D13EAD">
        <w:rPr>
          <w:rFonts w:cs="Arial"/>
          <w:szCs w:val="24"/>
        </w:rPr>
        <w:lastRenderedPageBreak/>
        <w:t xml:space="preserve">rather pay full costs up front </w:t>
      </w:r>
      <w:r w:rsidR="0003772F">
        <w:rPr>
          <w:rFonts w:cs="Arial"/>
          <w:szCs w:val="24"/>
        </w:rPr>
        <w:t>if that would result in a faster interconnection process</w:t>
      </w:r>
    </w:p>
    <w:p w14:paraId="25CBB9D6" w14:textId="35BE0AA1" w:rsidR="0003772F" w:rsidRPr="0003772F" w:rsidRDefault="0003772F" w:rsidP="006E4DF8">
      <w:pPr>
        <w:pStyle w:val="ListParagraph"/>
        <w:numPr>
          <w:ilvl w:val="0"/>
          <w:numId w:val="27"/>
        </w:numPr>
        <w:spacing w:after="20"/>
        <w:jc w:val="both"/>
        <w:rPr>
          <w:rFonts w:cs="Arial"/>
          <w:b/>
          <w:bCs/>
          <w:szCs w:val="24"/>
        </w:rPr>
      </w:pPr>
      <w:r>
        <w:rPr>
          <w:rFonts w:cs="Arial"/>
          <w:szCs w:val="24"/>
        </w:rPr>
        <w:t>Jon also described how some other utilities allow developers to use letters of credit along with deposits in lieu of making full payment up front. These utilities may also impose cancellation penalties if a developer withdraws after equipment has been ordered.</w:t>
      </w:r>
    </w:p>
    <w:p w14:paraId="0E749C8D" w14:textId="77777777" w:rsidR="0083274B" w:rsidRPr="0083274B" w:rsidRDefault="0083274B" w:rsidP="006E4DF8">
      <w:pPr>
        <w:pStyle w:val="ListParagraph"/>
        <w:numPr>
          <w:ilvl w:val="0"/>
          <w:numId w:val="27"/>
        </w:numPr>
        <w:spacing w:after="20"/>
        <w:jc w:val="both"/>
        <w:rPr>
          <w:rFonts w:cs="Arial"/>
          <w:b/>
          <w:bCs/>
          <w:szCs w:val="24"/>
        </w:rPr>
      </w:pPr>
      <w:r>
        <w:rPr>
          <w:rFonts w:cs="Arial"/>
          <w:szCs w:val="24"/>
        </w:rPr>
        <w:t>Noel expressed concern with the amount of up front payments stating that they favor larger companies</w:t>
      </w:r>
    </w:p>
    <w:p w14:paraId="17C8AC2E" w14:textId="77777777" w:rsidR="0083274B" w:rsidRPr="0083274B" w:rsidRDefault="0083274B" w:rsidP="006E4DF8">
      <w:pPr>
        <w:pStyle w:val="ListParagraph"/>
        <w:numPr>
          <w:ilvl w:val="0"/>
          <w:numId w:val="27"/>
        </w:numPr>
        <w:spacing w:after="20"/>
        <w:jc w:val="both"/>
        <w:rPr>
          <w:rFonts w:cs="Arial"/>
          <w:b/>
          <w:bCs/>
          <w:szCs w:val="24"/>
        </w:rPr>
      </w:pPr>
      <w:r>
        <w:rPr>
          <w:rFonts w:cs="Arial"/>
          <w:szCs w:val="24"/>
        </w:rPr>
        <w:t xml:space="preserve">Zak asked whether Jon Demay or Joe M. had an update on the RoCoF pilot in UI territory. </w:t>
      </w:r>
    </w:p>
    <w:p w14:paraId="0C396374" w14:textId="77777777" w:rsidR="00902FE3" w:rsidRPr="00902FE3" w:rsidRDefault="0083274B" w:rsidP="0083274B">
      <w:pPr>
        <w:pStyle w:val="ListParagraph"/>
        <w:numPr>
          <w:ilvl w:val="1"/>
          <w:numId w:val="27"/>
        </w:numPr>
        <w:spacing w:after="20"/>
        <w:jc w:val="both"/>
        <w:rPr>
          <w:rFonts w:cs="Arial"/>
          <w:b/>
          <w:bCs/>
          <w:szCs w:val="24"/>
        </w:rPr>
      </w:pPr>
      <w:r>
        <w:rPr>
          <w:rFonts w:cs="Arial"/>
          <w:szCs w:val="24"/>
        </w:rPr>
        <w:t>Jon stated that he needs to catch up with Joe M. to discuss timing in more detail</w:t>
      </w:r>
      <w:r w:rsidR="00902FE3">
        <w:rPr>
          <w:rFonts w:cs="Arial"/>
          <w:szCs w:val="24"/>
        </w:rPr>
        <w:t xml:space="preserve"> but he thinks that they’ll be able to present in late March or early April</w:t>
      </w:r>
    </w:p>
    <w:p w14:paraId="255F5F9D" w14:textId="663FA219" w:rsidR="00651973" w:rsidRPr="00651973" w:rsidRDefault="00651973" w:rsidP="00651973">
      <w:pPr>
        <w:pStyle w:val="ListParagraph"/>
        <w:numPr>
          <w:ilvl w:val="0"/>
          <w:numId w:val="27"/>
        </w:numPr>
        <w:spacing w:after="20"/>
        <w:jc w:val="both"/>
        <w:rPr>
          <w:rFonts w:cs="Arial"/>
          <w:b/>
          <w:bCs/>
          <w:szCs w:val="24"/>
        </w:rPr>
      </w:pPr>
      <w:r>
        <w:rPr>
          <w:rFonts w:cs="Arial"/>
          <w:szCs w:val="24"/>
        </w:rPr>
        <w:t>Jon asked questions regarding the net metering policy for sites with multiple meters and whether on-site generation could ever exceed 2MW</w:t>
      </w:r>
      <w:r w:rsidR="00F9793C">
        <w:rPr>
          <w:rFonts w:cs="Arial"/>
          <w:szCs w:val="24"/>
        </w:rPr>
        <w:t xml:space="preserve">. </w:t>
      </w:r>
    </w:p>
    <w:p w14:paraId="7D807D4D" w14:textId="77777777" w:rsidR="00651973" w:rsidRPr="00651973" w:rsidRDefault="00651973" w:rsidP="00651973">
      <w:pPr>
        <w:pStyle w:val="ListParagraph"/>
        <w:numPr>
          <w:ilvl w:val="1"/>
          <w:numId w:val="27"/>
        </w:numPr>
        <w:spacing w:after="20"/>
        <w:jc w:val="both"/>
        <w:rPr>
          <w:rFonts w:cs="Arial"/>
          <w:b/>
          <w:bCs/>
          <w:szCs w:val="24"/>
        </w:rPr>
      </w:pPr>
      <w:r>
        <w:rPr>
          <w:rFonts w:cs="Arial"/>
          <w:szCs w:val="24"/>
        </w:rPr>
        <w:t>Joe Debs suggested consulting with the account executive to see if existing meters are totalized</w:t>
      </w:r>
    </w:p>
    <w:p w14:paraId="7C2B404F" w14:textId="1E83979B" w:rsidR="00ED4FB1" w:rsidRPr="00F9793C" w:rsidRDefault="00ED4FB1" w:rsidP="00ED4FB1">
      <w:pPr>
        <w:pStyle w:val="ListParagraph"/>
        <w:numPr>
          <w:ilvl w:val="1"/>
          <w:numId w:val="27"/>
        </w:numPr>
        <w:spacing w:after="20"/>
        <w:jc w:val="both"/>
        <w:rPr>
          <w:rFonts w:cs="Arial"/>
          <w:b/>
          <w:bCs/>
          <w:szCs w:val="24"/>
        </w:rPr>
      </w:pPr>
      <w:r>
        <w:rPr>
          <w:rFonts w:cs="Arial"/>
          <w:szCs w:val="24"/>
        </w:rPr>
        <w:t>Joe mentioned that over the past 20 years the largest customer-side transformers installed have been 2.5MW</w:t>
      </w:r>
    </w:p>
    <w:p w14:paraId="395BE6C2" w14:textId="7EFD3BA9" w:rsidR="00F9793C" w:rsidRPr="00ED4FB1" w:rsidRDefault="00F9793C" w:rsidP="00F9793C">
      <w:pPr>
        <w:pStyle w:val="ListParagraph"/>
        <w:numPr>
          <w:ilvl w:val="0"/>
          <w:numId w:val="27"/>
        </w:numPr>
        <w:spacing w:after="20"/>
        <w:jc w:val="both"/>
        <w:rPr>
          <w:rFonts w:cs="Arial"/>
          <w:b/>
          <w:bCs/>
          <w:szCs w:val="24"/>
        </w:rPr>
      </w:pPr>
      <w:r>
        <w:rPr>
          <w:rFonts w:cs="Arial"/>
          <w:szCs w:val="24"/>
        </w:rPr>
        <w:t>The meeting concluded with Zak requesting members to provide suggestions for future meeting topics</w:t>
      </w:r>
    </w:p>
    <w:p w14:paraId="45E08907" w14:textId="34BE8643" w:rsidR="0003772F" w:rsidRPr="00F9793C" w:rsidRDefault="00F9793C" w:rsidP="00F9793C">
      <w:pPr>
        <w:spacing w:after="20"/>
        <w:ind w:left="1080"/>
        <w:jc w:val="both"/>
        <w:rPr>
          <w:rFonts w:cs="Arial"/>
          <w:b/>
          <w:bCs/>
          <w:szCs w:val="24"/>
        </w:rPr>
      </w:pPr>
      <w:r w:rsidRPr="00F9793C">
        <w:rPr>
          <w:rFonts w:cs="Arial"/>
          <w:szCs w:val="24"/>
        </w:rPr>
        <w:tab/>
      </w:r>
      <w:r w:rsidRPr="00F9793C">
        <w:rPr>
          <w:rFonts w:cs="Arial"/>
          <w:szCs w:val="24"/>
        </w:rPr>
        <w:tab/>
      </w:r>
    </w:p>
    <w:sectPr w:rsidR="0003772F" w:rsidRPr="00F9793C" w:rsidSect="0067222B">
      <w:footerReference w:type="first" r:id="rId9"/>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FF61" w14:textId="77777777" w:rsidR="00AA5EB9" w:rsidRDefault="00AA5EB9" w:rsidP="00327991">
      <w:r>
        <w:separator/>
      </w:r>
    </w:p>
  </w:endnote>
  <w:endnote w:type="continuationSeparator" w:id="0">
    <w:p w14:paraId="5CD2222B" w14:textId="77777777" w:rsidR="00AA5EB9" w:rsidRDefault="00AA5EB9"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E8AD" w14:textId="77777777" w:rsidR="00AA5EB9" w:rsidRDefault="00AA5EB9" w:rsidP="00327991">
      <w:r>
        <w:separator/>
      </w:r>
    </w:p>
  </w:footnote>
  <w:footnote w:type="continuationSeparator" w:id="0">
    <w:p w14:paraId="7872E103" w14:textId="77777777" w:rsidR="00AA5EB9" w:rsidRDefault="00AA5EB9"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A6E87"/>
    <w:multiLevelType w:val="hybridMultilevel"/>
    <w:tmpl w:val="B6DEF54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7B6E"/>
    <w:multiLevelType w:val="hybridMultilevel"/>
    <w:tmpl w:val="DFA8C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A7DE7"/>
    <w:multiLevelType w:val="hybridMultilevel"/>
    <w:tmpl w:val="A17A7810"/>
    <w:lvl w:ilvl="0" w:tplc="04090001">
      <w:start w:val="1"/>
      <w:numFmt w:val="bullet"/>
      <w:lvlText w:val=""/>
      <w:lvlJc w:val="left"/>
      <w:pPr>
        <w:ind w:left="1215" w:hanging="360"/>
      </w:pPr>
      <w:rPr>
        <w:rFonts w:ascii="Symbol" w:hAnsi="Symbol"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3"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70B164A"/>
    <w:multiLevelType w:val="hybridMultilevel"/>
    <w:tmpl w:val="895E8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20118D"/>
    <w:multiLevelType w:val="hybridMultilevel"/>
    <w:tmpl w:val="DDB26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3"/>
  </w:num>
  <w:num w:numId="2" w16cid:durableId="1387990128">
    <w:abstractNumId w:val="13"/>
  </w:num>
  <w:num w:numId="3" w16cid:durableId="1594894636">
    <w:abstractNumId w:val="22"/>
  </w:num>
  <w:num w:numId="4" w16cid:durableId="513231317">
    <w:abstractNumId w:val="7"/>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8"/>
  </w:num>
  <w:num w:numId="7" w16cid:durableId="96755797">
    <w:abstractNumId w:val="23"/>
  </w:num>
  <w:num w:numId="8" w16cid:durableId="818226630">
    <w:abstractNumId w:val="2"/>
  </w:num>
  <w:num w:numId="9" w16cid:durableId="280452499">
    <w:abstractNumId w:val="15"/>
  </w:num>
  <w:num w:numId="10" w16cid:durableId="489902645">
    <w:abstractNumId w:val="14"/>
  </w:num>
  <w:num w:numId="11" w16cid:durableId="1779831888">
    <w:abstractNumId w:val="4"/>
  </w:num>
  <w:num w:numId="12" w16cid:durableId="1103645507">
    <w:abstractNumId w:val="9"/>
  </w:num>
  <w:num w:numId="13" w16cid:durableId="896670795">
    <w:abstractNumId w:val="19"/>
  </w:num>
  <w:num w:numId="14" w16cid:durableId="1665011071">
    <w:abstractNumId w:val="20"/>
  </w:num>
  <w:num w:numId="15" w16cid:durableId="426511439">
    <w:abstractNumId w:val="21"/>
  </w:num>
  <w:num w:numId="16" w16cid:durableId="396443317">
    <w:abstractNumId w:val="16"/>
  </w:num>
  <w:num w:numId="17" w16cid:durableId="279915133">
    <w:abstractNumId w:val="11"/>
  </w:num>
  <w:num w:numId="18" w16cid:durableId="2010675890">
    <w:abstractNumId w:val="10"/>
  </w:num>
  <w:num w:numId="19" w16cid:durableId="399405507">
    <w:abstractNumId w:val="1"/>
  </w:num>
  <w:num w:numId="20" w16cid:durableId="1303121136">
    <w:abstractNumId w:val="25"/>
  </w:num>
  <w:num w:numId="21" w16cid:durableId="759328141">
    <w:abstractNumId w:val="24"/>
  </w:num>
  <w:num w:numId="22" w16cid:durableId="1850481202">
    <w:abstractNumId w:val="6"/>
  </w:num>
  <w:num w:numId="23" w16cid:durableId="1365985253">
    <w:abstractNumId w:val="18"/>
  </w:num>
  <w:num w:numId="24" w16cid:durableId="866060039">
    <w:abstractNumId w:val="12"/>
  </w:num>
  <w:num w:numId="25" w16cid:durableId="871452866">
    <w:abstractNumId w:val="17"/>
  </w:num>
  <w:num w:numId="26" w16cid:durableId="806241421">
    <w:abstractNumId w:val="3"/>
  </w:num>
  <w:num w:numId="27" w16cid:durableId="16916856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6A02"/>
    <w:rsid w:val="00004D72"/>
    <w:rsid w:val="00011230"/>
    <w:rsid w:val="00011C48"/>
    <w:rsid w:val="000123E2"/>
    <w:rsid w:val="00016489"/>
    <w:rsid w:val="000264C0"/>
    <w:rsid w:val="00030F6A"/>
    <w:rsid w:val="000339B3"/>
    <w:rsid w:val="0003772F"/>
    <w:rsid w:val="0004217E"/>
    <w:rsid w:val="00045910"/>
    <w:rsid w:val="00045AFA"/>
    <w:rsid w:val="000521A6"/>
    <w:rsid w:val="00061853"/>
    <w:rsid w:val="000736E5"/>
    <w:rsid w:val="000773DA"/>
    <w:rsid w:val="000A2832"/>
    <w:rsid w:val="000B5DB5"/>
    <w:rsid w:val="000B5E67"/>
    <w:rsid w:val="000B6DAD"/>
    <w:rsid w:val="000C49D5"/>
    <w:rsid w:val="000E3C2C"/>
    <w:rsid w:val="00105356"/>
    <w:rsid w:val="001078CC"/>
    <w:rsid w:val="00110C9D"/>
    <w:rsid w:val="001140C0"/>
    <w:rsid w:val="00124B5C"/>
    <w:rsid w:val="00126A02"/>
    <w:rsid w:val="001429DB"/>
    <w:rsid w:val="0014791E"/>
    <w:rsid w:val="00151031"/>
    <w:rsid w:val="00152A4A"/>
    <w:rsid w:val="00175211"/>
    <w:rsid w:val="001769C8"/>
    <w:rsid w:val="00183FAD"/>
    <w:rsid w:val="0018544C"/>
    <w:rsid w:val="00187562"/>
    <w:rsid w:val="001900BE"/>
    <w:rsid w:val="00196097"/>
    <w:rsid w:val="001E12AB"/>
    <w:rsid w:val="001F2792"/>
    <w:rsid w:val="00201472"/>
    <w:rsid w:val="00210AA2"/>
    <w:rsid w:val="00212EF0"/>
    <w:rsid w:val="00221FE4"/>
    <w:rsid w:val="00237537"/>
    <w:rsid w:val="002511CF"/>
    <w:rsid w:val="0026478E"/>
    <w:rsid w:val="00271034"/>
    <w:rsid w:val="0027427F"/>
    <w:rsid w:val="002775DE"/>
    <w:rsid w:val="002861A3"/>
    <w:rsid w:val="0029000E"/>
    <w:rsid w:val="002927DB"/>
    <w:rsid w:val="002B1A54"/>
    <w:rsid w:val="002B20DF"/>
    <w:rsid w:val="002B25E0"/>
    <w:rsid w:val="002B6CAE"/>
    <w:rsid w:val="002C06CD"/>
    <w:rsid w:val="002E1D3C"/>
    <w:rsid w:val="00301330"/>
    <w:rsid w:val="00317621"/>
    <w:rsid w:val="00327991"/>
    <w:rsid w:val="00336B04"/>
    <w:rsid w:val="0034500B"/>
    <w:rsid w:val="0034685F"/>
    <w:rsid w:val="00353B8D"/>
    <w:rsid w:val="00354BD8"/>
    <w:rsid w:val="00355767"/>
    <w:rsid w:val="00375705"/>
    <w:rsid w:val="00377489"/>
    <w:rsid w:val="00384372"/>
    <w:rsid w:val="00386BF6"/>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DD0"/>
    <w:rsid w:val="00474FDF"/>
    <w:rsid w:val="00481B25"/>
    <w:rsid w:val="00486510"/>
    <w:rsid w:val="004B7BA2"/>
    <w:rsid w:val="004C3DD5"/>
    <w:rsid w:val="004D01E7"/>
    <w:rsid w:val="004E376A"/>
    <w:rsid w:val="004E66DC"/>
    <w:rsid w:val="004E67C1"/>
    <w:rsid w:val="004E707B"/>
    <w:rsid w:val="004F2743"/>
    <w:rsid w:val="004F4298"/>
    <w:rsid w:val="0051702C"/>
    <w:rsid w:val="005300BE"/>
    <w:rsid w:val="00533EDA"/>
    <w:rsid w:val="00552D3F"/>
    <w:rsid w:val="00554ACD"/>
    <w:rsid w:val="0056049A"/>
    <w:rsid w:val="00561FF8"/>
    <w:rsid w:val="005633D8"/>
    <w:rsid w:val="00576A79"/>
    <w:rsid w:val="00577D4C"/>
    <w:rsid w:val="005945C4"/>
    <w:rsid w:val="005A2DDB"/>
    <w:rsid w:val="005D2A24"/>
    <w:rsid w:val="005D3F2F"/>
    <w:rsid w:val="005E2CCC"/>
    <w:rsid w:val="005E599B"/>
    <w:rsid w:val="005F3C90"/>
    <w:rsid w:val="0060028B"/>
    <w:rsid w:val="00604FE8"/>
    <w:rsid w:val="00630478"/>
    <w:rsid w:val="00631E03"/>
    <w:rsid w:val="0063208D"/>
    <w:rsid w:val="00634473"/>
    <w:rsid w:val="00643AFD"/>
    <w:rsid w:val="006445F8"/>
    <w:rsid w:val="00650744"/>
    <w:rsid w:val="00650EFE"/>
    <w:rsid w:val="00651973"/>
    <w:rsid w:val="00664F63"/>
    <w:rsid w:val="0067222B"/>
    <w:rsid w:val="00680A83"/>
    <w:rsid w:val="00680B7C"/>
    <w:rsid w:val="00681487"/>
    <w:rsid w:val="006817FF"/>
    <w:rsid w:val="00683365"/>
    <w:rsid w:val="0069356B"/>
    <w:rsid w:val="00695AFC"/>
    <w:rsid w:val="00697E6E"/>
    <w:rsid w:val="006A1AEB"/>
    <w:rsid w:val="006A28F0"/>
    <w:rsid w:val="006A4B1A"/>
    <w:rsid w:val="006A6CDB"/>
    <w:rsid w:val="006B5E92"/>
    <w:rsid w:val="006B5F01"/>
    <w:rsid w:val="006E006F"/>
    <w:rsid w:val="006E4DF8"/>
    <w:rsid w:val="006F5C1D"/>
    <w:rsid w:val="007036E4"/>
    <w:rsid w:val="00737EF8"/>
    <w:rsid w:val="00754D1A"/>
    <w:rsid w:val="007612EA"/>
    <w:rsid w:val="00763921"/>
    <w:rsid w:val="0076597B"/>
    <w:rsid w:val="00780EEF"/>
    <w:rsid w:val="0078501F"/>
    <w:rsid w:val="00796042"/>
    <w:rsid w:val="007A4C07"/>
    <w:rsid w:val="007B247D"/>
    <w:rsid w:val="007C2476"/>
    <w:rsid w:val="007C5B8A"/>
    <w:rsid w:val="007D13F5"/>
    <w:rsid w:val="007D51DD"/>
    <w:rsid w:val="007E0A18"/>
    <w:rsid w:val="007E221A"/>
    <w:rsid w:val="008005A9"/>
    <w:rsid w:val="00803E2C"/>
    <w:rsid w:val="0081277D"/>
    <w:rsid w:val="0082011E"/>
    <w:rsid w:val="00823AD6"/>
    <w:rsid w:val="0083274B"/>
    <w:rsid w:val="00834F25"/>
    <w:rsid w:val="0084017E"/>
    <w:rsid w:val="0084611C"/>
    <w:rsid w:val="008608C0"/>
    <w:rsid w:val="008620BA"/>
    <w:rsid w:val="00874B88"/>
    <w:rsid w:val="00897663"/>
    <w:rsid w:val="008A168E"/>
    <w:rsid w:val="008A21A1"/>
    <w:rsid w:val="008A6739"/>
    <w:rsid w:val="008B7CF4"/>
    <w:rsid w:val="008C1840"/>
    <w:rsid w:val="008C6776"/>
    <w:rsid w:val="008D3364"/>
    <w:rsid w:val="008F6442"/>
    <w:rsid w:val="00902FE3"/>
    <w:rsid w:val="00906939"/>
    <w:rsid w:val="00917425"/>
    <w:rsid w:val="009200CE"/>
    <w:rsid w:val="0092260F"/>
    <w:rsid w:val="009232E1"/>
    <w:rsid w:val="00924825"/>
    <w:rsid w:val="00927F0C"/>
    <w:rsid w:val="009419DF"/>
    <w:rsid w:val="00954B58"/>
    <w:rsid w:val="009A04A5"/>
    <w:rsid w:val="009A6920"/>
    <w:rsid w:val="009B5F69"/>
    <w:rsid w:val="009C6629"/>
    <w:rsid w:val="009C716A"/>
    <w:rsid w:val="009E1019"/>
    <w:rsid w:val="009E3479"/>
    <w:rsid w:val="009E7090"/>
    <w:rsid w:val="009F4286"/>
    <w:rsid w:val="00A07C1A"/>
    <w:rsid w:val="00A14AB3"/>
    <w:rsid w:val="00A24230"/>
    <w:rsid w:val="00A33A15"/>
    <w:rsid w:val="00A417E6"/>
    <w:rsid w:val="00A70EAE"/>
    <w:rsid w:val="00A8385B"/>
    <w:rsid w:val="00A85D56"/>
    <w:rsid w:val="00A87A94"/>
    <w:rsid w:val="00A91F7E"/>
    <w:rsid w:val="00AA5EB9"/>
    <w:rsid w:val="00AB245A"/>
    <w:rsid w:val="00AB4999"/>
    <w:rsid w:val="00AC0653"/>
    <w:rsid w:val="00AD38D3"/>
    <w:rsid w:val="00AD51B3"/>
    <w:rsid w:val="00AF0069"/>
    <w:rsid w:val="00B03994"/>
    <w:rsid w:val="00B2099C"/>
    <w:rsid w:val="00B24130"/>
    <w:rsid w:val="00B26312"/>
    <w:rsid w:val="00B337A3"/>
    <w:rsid w:val="00B37603"/>
    <w:rsid w:val="00B426F2"/>
    <w:rsid w:val="00B514E4"/>
    <w:rsid w:val="00B6383D"/>
    <w:rsid w:val="00B86D29"/>
    <w:rsid w:val="00BA03B2"/>
    <w:rsid w:val="00BA1756"/>
    <w:rsid w:val="00BA19F6"/>
    <w:rsid w:val="00BA27DD"/>
    <w:rsid w:val="00BB5992"/>
    <w:rsid w:val="00BC6E56"/>
    <w:rsid w:val="00BC7227"/>
    <w:rsid w:val="00BD6BD3"/>
    <w:rsid w:val="00BE1A70"/>
    <w:rsid w:val="00BF0AAC"/>
    <w:rsid w:val="00C03880"/>
    <w:rsid w:val="00C12FDD"/>
    <w:rsid w:val="00C25610"/>
    <w:rsid w:val="00C41CFA"/>
    <w:rsid w:val="00C43CD3"/>
    <w:rsid w:val="00C442C2"/>
    <w:rsid w:val="00C4572C"/>
    <w:rsid w:val="00C568C8"/>
    <w:rsid w:val="00C60889"/>
    <w:rsid w:val="00C7111C"/>
    <w:rsid w:val="00C7727B"/>
    <w:rsid w:val="00C8783D"/>
    <w:rsid w:val="00C9576F"/>
    <w:rsid w:val="00C96152"/>
    <w:rsid w:val="00CA4637"/>
    <w:rsid w:val="00CB3689"/>
    <w:rsid w:val="00CD5159"/>
    <w:rsid w:val="00CE2C71"/>
    <w:rsid w:val="00CF36AE"/>
    <w:rsid w:val="00D006F6"/>
    <w:rsid w:val="00D13EAD"/>
    <w:rsid w:val="00D16FF5"/>
    <w:rsid w:val="00D27425"/>
    <w:rsid w:val="00D47CFB"/>
    <w:rsid w:val="00D735CA"/>
    <w:rsid w:val="00D74B7F"/>
    <w:rsid w:val="00D969F3"/>
    <w:rsid w:val="00D972A2"/>
    <w:rsid w:val="00DB1D14"/>
    <w:rsid w:val="00DC5257"/>
    <w:rsid w:val="00DC68AF"/>
    <w:rsid w:val="00DD1059"/>
    <w:rsid w:val="00DE0E38"/>
    <w:rsid w:val="00DF5B9C"/>
    <w:rsid w:val="00E01A90"/>
    <w:rsid w:val="00E04E83"/>
    <w:rsid w:val="00E05B48"/>
    <w:rsid w:val="00E12771"/>
    <w:rsid w:val="00E21DE8"/>
    <w:rsid w:val="00E44A6B"/>
    <w:rsid w:val="00E50745"/>
    <w:rsid w:val="00E54789"/>
    <w:rsid w:val="00E6086B"/>
    <w:rsid w:val="00E91BE3"/>
    <w:rsid w:val="00EA5846"/>
    <w:rsid w:val="00EC103F"/>
    <w:rsid w:val="00EC258F"/>
    <w:rsid w:val="00EC5A0E"/>
    <w:rsid w:val="00EC751E"/>
    <w:rsid w:val="00EC7A55"/>
    <w:rsid w:val="00ED4FB1"/>
    <w:rsid w:val="00ED6E79"/>
    <w:rsid w:val="00F17545"/>
    <w:rsid w:val="00F25C83"/>
    <w:rsid w:val="00F302A9"/>
    <w:rsid w:val="00F34968"/>
    <w:rsid w:val="00F45502"/>
    <w:rsid w:val="00F633BD"/>
    <w:rsid w:val="00F70FB8"/>
    <w:rsid w:val="00F73421"/>
    <w:rsid w:val="00F74850"/>
    <w:rsid w:val="00F86C8B"/>
    <w:rsid w:val="00F94EFF"/>
    <w:rsid w:val="00F9793C"/>
    <w:rsid w:val="00FA2A87"/>
    <w:rsid w:val="00FB1867"/>
    <w:rsid w:val="00FB444B"/>
    <w:rsid w:val="00FC03C9"/>
    <w:rsid w:val="00FC6406"/>
    <w:rsid w:val="00FD6CA6"/>
    <w:rsid w:val="00FE0B41"/>
    <w:rsid w:val="00FE0C5A"/>
    <w:rsid w:val="00FE47CE"/>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8265D9A"/>
  <w15:docId w15:val="{4D4177E0-C254-4B56-9563-6DF675E0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6661</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5691</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Bergman</dc:creator>
  <cp:keywords/>
  <dc:description/>
  <cp:lastModifiedBy>Alexander, Zachary</cp:lastModifiedBy>
  <cp:revision>3</cp:revision>
  <cp:lastPrinted>2015-02-26T16:45:00Z</cp:lastPrinted>
  <dcterms:created xsi:type="dcterms:W3CDTF">2023-03-01T15:13:00Z</dcterms:created>
  <dcterms:modified xsi:type="dcterms:W3CDTF">2023-03-09T14:24:00Z</dcterms:modified>
</cp:coreProperties>
</file>