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42855" w14:textId="77777777" w:rsidR="00CC61E3" w:rsidRDefault="004F1AB2">
      <w:pPr>
        <w:pStyle w:val="Heading1"/>
        <w:spacing w:before="0" w:line="565" w:lineRule="exact"/>
      </w:pPr>
      <w:r>
        <w:rPr>
          <w:color w:val="001F5F"/>
        </w:rPr>
        <w:t>Police Officer Standards</w:t>
      </w:r>
    </w:p>
    <w:p w14:paraId="6A6C01A5" w14:textId="77777777" w:rsidR="00CC61E3" w:rsidRDefault="004F1AB2">
      <w:pPr>
        <w:spacing w:before="206"/>
        <w:ind w:left="259" w:right="258"/>
        <w:jc w:val="center"/>
        <w:rPr>
          <w:b/>
          <w:sz w:val="48"/>
        </w:rPr>
      </w:pPr>
      <w:r>
        <w:rPr>
          <w:b/>
          <w:color w:val="001F5F"/>
          <w:sz w:val="48"/>
        </w:rPr>
        <w:t>and</w:t>
      </w:r>
    </w:p>
    <w:p w14:paraId="4C87FCB2" w14:textId="77777777" w:rsidR="00CC61E3" w:rsidRDefault="004F1AB2">
      <w:pPr>
        <w:spacing w:before="206"/>
        <w:ind w:left="258" w:right="258"/>
        <w:jc w:val="center"/>
        <w:rPr>
          <w:b/>
          <w:sz w:val="48"/>
        </w:rPr>
      </w:pPr>
      <w:r>
        <w:rPr>
          <w:b/>
          <w:color w:val="001F5F"/>
          <w:sz w:val="48"/>
        </w:rPr>
        <w:t>Training Council</w:t>
      </w:r>
    </w:p>
    <w:p w14:paraId="17F605C5" w14:textId="77777777" w:rsidR="00CC61E3" w:rsidRDefault="00CC61E3">
      <w:pPr>
        <w:pStyle w:val="BodyText"/>
        <w:rPr>
          <w:b/>
          <w:sz w:val="20"/>
        </w:rPr>
      </w:pPr>
    </w:p>
    <w:p w14:paraId="54480685" w14:textId="77777777" w:rsidR="00CC61E3" w:rsidRDefault="00CC61E3">
      <w:pPr>
        <w:pStyle w:val="BodyText"/>
        <w:rPr>
          <w:b/>
          <w:sz w:val="20"/>
        </w:rPr>
      </w:pPr>
    </w:p>
    <w:p w14:paraId="6A2EFFBE" w14:textId="77777777" w:rsidR="00CC61E3" w:rsidRDefault="00CC61E3">
      <w:pPr>
        <w:pStyle w:val="BodyText"/>
        <w:rPr>
          <w:b/>
          <w:sz w:val="20"/>
        </w:rPr>
      </w:pPr>
    </w:p>
    <w:p w14:paraId="28161DA7" w14:textId="77777777" w:rsidR="00CC61E3" w:rsidRDefault="004F1AB2">
      <w:pPr>
        <w:pStyle w:val="BodyText"/>
        <w:spacing w:before="6"/>
        <w:rPr>
          <w:b/>
          <w:sz w:val="15"/>
        </w:rPr>
      </w:pPr>
      <w:r>
        <w:rPr>
          <w:noProof/>
        </w:rPr>
        <w:drawing>
          <wp:anchor distT="0" distB="0" distL="0" distR="0" simplePos="0" relativeHeight="251658240" behindDoc="0" locked="0" layoutInCell="1" allowOverlap="1" wp14:anchorId="3C74F10E" wp14:editId="6D507A3A">
            <wp:simplePos x="0" y="0"/>
            <wp:positionH relativeFrom="page">
              <wp:posOffset>2191360</wp:posOffset>
            </wp:positionH>
            <wp:positionV relativeFrom="paragraph">
              <wp:posOffset>145333</wp:posOffset>
            </wp:positionV>
            <wp:extent cx="3419852" cy="342442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3419852" cy="3424428"/>
                    </a:xfrm>
                    <a:prstGeom prst="rect">
                      <a:avLst/>
                    </a:prstGeom>
                  </pic:spPr>
                </pic:pic>
              </a:graphicData>
            </a:graphic>
          </wp:anchor>
        </w:drawing>
      </w:r>
    </w:p>
    <w:p w14:paraId="737C4C48" w14:textId="77777777" w:rsidR="00CC61E3" w:rsidRDefault="00CC61E3">
      <w:pPr>
        <w:pStyle w:val="BodyText"/>
        <w:spacing w:before="4"/>
        <w:rPr>
          <w:b/>
          <w:sz w:val="57"/>
        </w:rPr>
      </w:pPr>
    </w:p>
    <w:p w14:paraId="02876457" w14:textId="77777777" w:rsidR="00CC61E3" w:rsidRDefault="004F1AB2">
      <w:pPr>
        <w:pStyle w:val="Heading2"/>
      </w:pPr>
      <w:r>
        <w:t>Statewide Policy Concerning</w:t>
      </w:r>
    </w:p>
    <w:p w14:paraId="1F210C96" w14:textId="77777777" w:rsidR="00CC61E3" w:rsidRDefault="004F1AB2">
      <w:pPr>
        <w:spacing w:before="199" w:line="256" w:lineRule="auto"/>
        <w:ind w:left="261" w:right="258"/>
        <w:jc w:val="center"/>
        <w:rPr>
          <w:b/>
          <w:sz w:val="36"/>
        </w:rPr>
      </w:pPr>
      <w:r>
        <w:rPr>
          <w:b/>
          <w:sz w:val="36"/>
        </w:rPr>
        <w:t>Seat Safety Belt Use Required for Any Person Transported in a Municipal Police Vehicle</w:t>
      </w:r>
    </w:p>
    <w:p w14:paraId="5615EC20" w14:textId="77777777" w:rsidR="00CC61E3" w:rsidRDefault="00CC61E3">
      <w:pPr>
        <w:spacing w:line="256" w:lineRule="auto"/>
        <w:jc w:val="center"/>
        <w:rPr>
          <w:sz w:val="36"/>
        </w:rPr>
      </w:pPr>
    </w:p>
    <w:p w14:paraId="587EC209" w14:textId="77777777" w:rsidR="004F1AB2" w:rsidRDefault="004F1AB2">
      <w:pPr>
        <w:spacing w:line="256" w:lineRule="auto"/>
        <w:jc w:val="center"/>
        <w:rPr>
          <w:sz w:val="36"/>
        </w:rPr>
      </w:pPr>
    </w:p>
    <w:p w14:paraId="58C865A3" w14:textId="77777777" w:rsidR="004F1AB2" w:rsidRDefault="004F1AB2">
      <w:pPr>
        <w:spacing w:line="256" w:lineRule="auto"/>
        <w:jc w:val="center"/>
        <w:rPr>
          <w:sz w:val="36"/>
        </w:rPr>
      </w:pPr>
    </w:p>
    <w:p w14:paraId="04BB2F5D" w14:textId="77777777" w:rsidR="004F1AB2" w:rsidRDefault="004F1AB2">
      <w:pPr>
        <w:spacing w:line="256" w:lineRule="auto"/>
        <w:jc w:val="center"/>
        <w:rPr>
          <w:sz w:val="36"/>
        </w:rPr>
      </w:pPr>
    </w:p>
    <w:p w14:paraId="60E90249" w14:textId="77777777" w:rsidR="004F1AB2" w:rsidRDefault="004F1AB2">
      <w:pPr>
        <w:spacing w:line="256" w:lineRule="auto"/>
        <w:jc w:val="center"/>
        <w:rPr>
          <w:sz w:val="36"/>
        </w:rPr>
      </w:pPr>
    </w:p>
    <w:p w14:paraId="1B1E15EF" w14:textId="77777777" w:rsidR="004F1AB2" w:rsidRDefault="004F1AB2">
      <w:pPr>
        <w:spacing w:line="256" w:lineRule="auto"/>
        <w:jc w:val="center"/>
        <w:rPr>
          <w:sz w:val="36"/>
        </w:rPr>
      </w:pPr>
    </w:p>
    <w:p w14:paraId="5D5B2B05" w14:textId="77777777" w:rsidR="004F1AB2" w:rsidRDefault="004F1AB2">
      <w:pPr>
        <w:spacing w:line="256" w:lineRule="auto"/>
        <w:jc w:val="center"/>
        <w:rPr>
          <w:sz w:val="36"/>
        </w:rPr>
      </w:pPr>
    </w:p>
    <w:p w14:paraId="51ECAC10" w14:textId="65D88873" w:rsidR="004F1AB2" w:rsidRPr="00A8368E" w:rsidRDefault="004F1AB2">
      <w:pPr>
        <w:spacing w:line="256" w:lineRule="auto"/>
        <w:jc w:val="center"/>
        <w:rPr>
          <w:b/>
          <w:bCs/>
          <w:sz w:val="36"/>
        </w:rPr>
        <w:sectPr w:rsidR="004F1AB2" w:rsidRPr="00A8368E" w:rsidSect="008D599D">
          <w:type w:val="continuous"/>
          <w:pgSz w:w="12240" w:h="15840"/>
          <w:pgMar w:top="740" w:right="1340" w:bottom="280" w:left="1340" w:header="720" w:footer="720" w:gutter="0"/>
          <w:cols w:space="720"/>
        </w:sectPr>
      </w:pPr>
      <w:r w:rsidRPr="00A8368E">
        <w:rPr>
          <w:b/>
          <w:bCs/>
          <w:sz w:val="36"/>
        </w:rPr>
        <w:t>Date Adopted: November 9, 2023</w:t>
      </w:r>
    </w:p>
    <w:p w14:paraId="7F91BCEC" w14:textId="77777777" w:rsidR="00CC61E3" w:rsidRDefault="004F1AB2">
      <w:pPr>
        <w:pStyle w:val="Heading3"/>
        <w:numPr>
          <w:ilvl w:val="0"/>
          <w:numId w:val="1"/>
        </w:numPr>
        <w:tabs>
          <w:tab w:val="left" w:pos="461"/>
        </w:tabs>
        <w:spacing w:before="28"/>
        <w:ind w:hanging="361"/>
        <w:rPr>
          <w:u w:val="none"/>
        </w:rPr>
      </w:pPr>
      <w:r>
        <w:rPr>
          <w:rFonts w:ascii="Times New Roman"/>
          <w:b w:val="0"/>
          <w:spacing w:val="-60"/>
        </w:rPr>
        <w:lastRenderedPageBreak/>
        <w:t xml:space="preserve"> </w:t>
      </w:r>
      <w:r>
        <w:t>Purpose</w:t>
      </w:r>
    </w:p>
    <w:p w14:paraId="1509A525" w14:textId="77777777" w:rsidR="00CC61E3" w:rsidRDefault="00CC61E3">
      <w:pPr>
        <w:pStyle w:val="BodyText"/>
        <w:spacing w:before="10"/>
        <w:rPr>
          <w:b/>
          <w:sz w:val="14"/>
        </w:rPr>
      </w:pPr>
    </w:p>
    <w:p w14:paraId="2E113636" w14:textId="77777777" w:rsidR="00CC61E3" w:rsidRDefault="004F1AB2">
      <w:pPr>
        <w:pStyle w:val="BodyText"/>
        <w:spacing w:before="52" w:line="259" w:lineRule="auto"/>
        <w:ind w:left="460" w:right="422"/>
      </w:pPr>
      <w:r>
        <w:t>This policy is promulgated pursuant to Public Act 23-87. The purpose of this policy is to provide guidelines on the required use of seat safety belts by any person who is being transported in a municipal police vehicle.</w:t>
      </w:r>
    </w:p>
    <w:p w14:paraId="6559912D" w14:textId="77777777" w:rsidR="00CC61E3" w:rsidRDefault="00CC61E3">
      <w:pPr>
        <w:pStyle w:val="BodyText"/>
        <w:spacing w:before="10"/>
        <w:rPr>
          <w:sz w:val="25"/>
        </w:rPr>
      </w:pPr>
    </w:p>
    <w:p w14:paraId="38236A34" w14:textId="77777777" w:rsidR="00CC61E3" w:rsidRDefault="004F1AB2">
      <w:pPr>
        <w:pStyle w:val="Heading3"/>
        <w:numPr>
          <w:ilvl w:val="0"/>
          <w:numId w:val="1"/>
        </w:numPr>
        <w:tabs>
          <w:tab w:val="left" w:pos="461"/>
        </w:tabs>
        <w:ind w:hanging="361"/>
        <w:rPr>
          <w:u w:val="none"/>
        </w:rPr>
      </w:pPr>
      <w:r>
        <w:rPr>
          <w:rFonts w:ascii="Times New Roman"/>
          <w:b w:val="0"/>
          <w:spacing w:val="-60"/>
        </w:rPr>
        <w:t xml:space="preserve"> </w:t>
      </w:r>
      <w:r>
        <w:t>Responsibility</w:t>
      </w:r>
    </w:p>
    <w:p w14:paraId="41AE1439" w14:textId="77777777" w:rsidR="00CC61E3" w:rsidRDefault="00CC61E3">
      <w:pPr>
        <w:pStyle w:val="BodyText"/>
        <w:rPr>
          <w:b/>
          <w:sz w:val="15"/>
        </w:rPr>
      </w:pPr>
    </w:p>
    <w:p w14:paraId="4E4AA58C" w14:textId="77777777" w:rsidR="00CC61E3" w:rsidRDefault="004F1AB2">
      <w:pPr>
        <w:pStyle w:val="BodyText"/>
        <w:spacing w:before="51" w:line="259" w:lineRule="auto"/>
        <w:ind w:left="460" w:right="422"/>
      </w:pPr>
      <w:r>
        <w:t>It is the responsibility of all law enforcement personnel tasked with the transportation of any person, including any person in police custody, to adhere to this policy. It is the</w:t>
      </w:r>
    </w:p>
    <w:p w14:paraId="20BDD9B5" w14:textId="77777777" w:rsidR="00CC61E3" w:rsidRDefault="004F1AB2">
      <w:pPr>
        <w:pStyle w:val="BodyText"/>
        <w:spacing w:line="291" w:lineRule="exact"/>
        <w:ind w:left="460"/>
      </w:pPr>
      <w:r>
        <w:t>additional responsibility of supervisory and command staff to ensure its compliance.</w:t>
      </w:r>
    </w:p>
    <w:p w14:paraId="2E55B32C" w14:textId="77777777" w:rsidR="00CC61E3" w:rsidRDefault="00CC61E3">
      <w:pPr>
        <w:pStyle w:val="BodyText"/>
        <w:spacing w:before="9"/>
        <w:rPr>
          <w:sz w:val="25"/>
        </w:rPr>
      </w:pPr>
    </w:p>
    <w:p w14:paraId="28C75E3A" w14:textId="77777777" w:rsidR="00CC61E3" w:rsidRDefault="004F1AB2">
      <w:pPr>
        <w:pStyle w:val="Heading3"/>
        <w:numPr>
          <w:ilvl w:val="0"/>
          <w:numId w:val="1"/>
        </w:numPr>
        <w:tabs>
          <w:tab w:val="left" w:pos="461"/>
        </w:tabs>
        <w:ind w:hanging="361"/>
        <w:rPr>
          <w:u w:val="none"/>
        </w:rPr>
      </w:pPr>
      <w:r>
        <w:rPr>
          <w:rFonts w:ascii="Times New Roman"/>
          <w:b w:val="0"/>
          <w:spacing w:val="-60"/>
        </w:rPr>
        <w:t xml:space="preserve"> </w:t>
      </w:r>
      <w:r>
        <w:t>Procedures</w:t>
      </w:r>
    </w:p>
    <w:p w14:paraId="0376963D" w14:textId="77777777" w:rsidR="00CC61E3" w:rsidRDefault="00CC61E3">
      <w:pPr>
        <w:pStyle w:val="BodyText"/>
        <w:spacing w:before="10"/>
        <w:rPr>
          <w:b/>
          <w:sz w:val="14"/>
        </w:rPr>
      </w:pPr>
    </w:p>
    <w:p w14:paraId="776E5A5A" w14:textId="77777777" w:rsidR="00CC61E3" w:rsidRDefault="004F1AB2">
      <w:pPr>
        <w:pStyle w:val="BodyText"/>
        <w:spacing w:before="52" w:line="259" w:lineRule="auto"/>
        <w:ind w:left="460"/>
      </w:pPr>
      <w:r>
        <w:t xml:space="preserve">The driver of a municipal police vehicle designated by the Law Enforcement Unit’s policy to transport any person is responsible for ensuring any person being transported in a municipal police vehicle is secure in such vehicle </w:t>
      </w:r>
      <w:proofErr w:type="gramStart"/>
      <w:r>
        <w:t>through the use of</w:t>
      </w:r>
      <w:proofErr w:type="gramEnd"/>
      <w:r>
        <w:t xml:space="preserve"> a seat safety belt.</w:t>
      </w:r>
    </w:p>
    <w:p w14:paraId="5F8D37BD" w14:textId="77777777" w:rsidR="00CC61E3" w:rsidRDefault="004F1AB2">
      <w:pPr>
        <w:pStyle w:val="BodyText"/>
        <w:spacing w:before="159" w:line="259" w:lineRule="auto"/>
        <w:ind w:left="460" w:right="120"/>
      </w:pPr>
      <w:r>
        <w:t>Any Driver approved to transport children shall use the appropriate approved child safety seats designed for the child’s age, size, or weight for which such devices are prescribed by Connecticut General Statute 14-100a as might be amended from time to time when a child is transported in a municipal police vehicle in accordance with local policy and training.</w:t>
      </w:r>
    </w:p>
    <w:p w14:paraId="47A0300A" w14:textId="77777777" w:rsidR="00CC61E3" w:rsidRDefault="00CC61E3">
      <w:pPr>
        <w:pStyle w:val="BodyText"/>
        <w:spacing w:before="11"/>
        <w:rPr>
          <w:sz w:val="25"/>
        </w:rPr>
      </w:pPr>
    </w:p>
    <w:p w14:paraId="675FDC6D" w14:textId="77777777" w:rsidR="00CC61E3" w:rsidRDefault="004F1AB2">
      <w:pPr>
        <w:pStyle w:val="BodyText"/>
        <w:spacing w:line="259" w:lineRule="auto"/>
        <w:ind w:left="460"/>
      </w:pPr>
      <w:r>
        <w:t xml:space="preserve">No officer shall transport any person in a municipal police vehicle in which any seat safety belt is inoperable barring any </w:t>
      </w:r>
      <w:proofErr w:type="gramStart"/>
      <w:r>
        <w:t>emergency situation</w:t>
      </w:r>
      <w:proofErr w:type="gramEnd"/>
      <w:r>
        <w:t>.</w:t>
      </w:r>
    </w:p>
    <w:p w14:paraId="639837E8" w14:textId="77777777" w:rsidR="00CC61E3" w:rsidRDefault="00CC61E3">
      <w:pPr>
        <w:pStyle w:val="BodyText"/>
        <w:spacing w:before="10"/>
        <w:rPr>
          <w:sz w:val="25"/>
        </w:rPr>
      </w:pPr>
    </w:p>
    <w:p w14:paraId="61A5B837" w14:textId="77777777" w:rsidR="00CC61E3" w:rsidRDefault="004F1AB2">
      <w:pPr>
        <w:pStyle w:val="BodyText"/>
        <w:spacing w:before="1" w:line="259" w:lineRule="auto"/>
        <w:ind w:left="460" w:right="38"/>
      </w:pPr>
      <w:r>
        <w:t xml:space="preserve">No officer shall modify, remove, deactivate, or otherwise tamper with the vehicle seat safety belts except for service, maintenance and repair, or with a factory approved seat </w:t>
      </w:r>
      <w:proofErr w:type="gramStart"/>
      <w:r>
        <w:t>belt</w:t>
      </w:r>
      <w:proofErr w:type="gramEnd"/>
    </w:p>
    <w:p w14:paraId="2D98F644" w14:textId="77777777" w:rsidR="00CC61E3" w:rsidRDefault="004F1AB2">
      <w:pPr>
        <w:pStyle w:val="BodyText"/>
        <w:ind w:left="460"/>
      </w:pPr>
      <w:r>
        <w:t>extension.</w:t>
      </w:r>
    </w:p>
    <w:p w14:paraId="602C51D6" w14:textId="77777777" w:rsidR="00CC61E3" w:rsidRDefault="00CC61E3">
      <w:pPr>
        <w:pStyle w:val="BodyText"/>
        <w:spacing w:before="9"/>
        <w:rPr>
          <w:sz w:val="27"/>
        </w:rPr>
      </w:pPr>
    </w:p>
    <w:p w14:paraId="1F4C755B" w14:textId="77777777" w:rsidR="00CC61E3" w:rsidRDefault="004F1AB2">
      <w:pPr>
        <w:pStyle w:val="BodyText"/>
        <w:spacing w:line="259" w:lineRule="auto"/>
        <w:ind w:left="460" w:right="88"/>
      </w:pPr>
      <w:r>
        <w:t>Personnel who discover an inoperable restraint system shall report the defect in accordance with the agency’s policy. The vehicle should not be used to transport any persons.</w:t>
      </w:r>
    </w:p>
    <w:p w14:paraId="533EEC24" w14:textId="77777777" w:rsidR="00CC61E3" w:rsidRDefault="00CC61E3">
      <w:pPr>
        <w:pStyle w:val="BodyText"/>
        <w:spacing w:before="10"/>
        <w:rPr>
          <w:sz w:val="25"/>
        </w:rPr>
      </w:pPr>
    </w:p>
    <w:p w14:paraId="2FF5F0E1" w14:textId="77777777" w:rsidR="00CC61E3" w:rsidRDefault="004F1AB2">
      <w:pPr>
        <w:pStyle w:val="BodyText"/>
        <w:spacing w:line="259" w:lineRule="auto"/>
        <w:ind w:left="460" w:right="120"/>
      </w:pPr>
      <w:r>
        <w:t>Any person(s) under arrest and being transported in a municipal police vehicle are required to be secured in the vehicle by a seat safety belt.</w:t>
      </w:r>
    </w:p>
    <w:p w14:paraId="0926AC60" w14:textId="77777777" w:rsidR="00CC61E3" w:rsidRDefault="00CC61E3">
      <w:pPr>
        <w:spacing w:line="259" w:lineRule="auto"/>
        <w:sectPr w:rsidR="00CC61E3" w:rsidSect="008D599D">
          <w:footerReference w:type="default" r:id="rId8"/>
          <w:pgSz w:w="12240" w:h="15840"/>
          <w:pgMar w:top="960" w:right="1340" w:bottom="1260" w:left="1340" w:header="0" w:footer="1063" w:gutter="0"/>
          <w:pgNumType w:start="2"/>
          <w:cols w:space="720"/>
        </w:sectPr>
      </w:pPr>
    </w:p>
    <w:p w14:paraId="2BAFA10A" w14:textId="77777777" w:rsidR="00CC61E3" w:rsidRDefault="004F1AB2">
      <w:pPr>
        <w:pStyle w:val="Heading3"/>
        <w:numPr>
          <w:ilvl w:val="0"/>
          <w:numId w:val="1"/>
        </w:numPr>
        <w:tabs>
          <w:tab w:val="left" w:pos="461"/>
        </w:tabs>
        <w:spacing w:before="28"/>
        <w:ind w:hanging="361"/>
        <w:rPr>
          <w:u w:val="none"/>
        </w:rPr>
      </w:pPr>
      <w:r>
        <w:rPr>
          <w:rFonts w:ascii="Times New Roman"/>
          <w:b w:val="0"/>
          <w:spacing w:val="-60"/>
        </w:rPr>
        <w:lastRenderedPageBreak/>
        <w:t xml:space="preserve"> </w:t>
      </w:r>
      <w:r>
        <w:t>Exceptions to</w:t>
      </w:r>
      <w:r>
        <w:rPr>
          <w:spacing w:val="-4"/>
        </w:rPr>
        <w:t xml:space="preserve"> </w:t>
      </w:r>
      <w:r>
        <w:t>Policy</w:t>
      </w:r>
    </w:p>
    <w:p w14:paraId="0BC1BF06" w14:textId="77777777" w:rsidR="00CC61E3" w:rsidRDefault="00CC61E3">
      <w:pPr>
        <w:pStyle w:val="BodyText"/>
        <w:rPr>
          <w:b/>
          <w:sz w:val="17"/>
        </w:rPr>
      </w:pPr>
    </w:p>
    <w:p w14:paraId="22C9FA1C" w14:textId="77777777" w:rsidR="00CC61E3" w:rsidRDefault="004F1AB2">
      <w:pPr>
        <w:pStyle w:val="ListParagraph"/>
        <w:numPr>
          <w:ilvl w:val="1"/>
          <w:numId w:val="1"/>
        </w:numPr>
        <w:tabs>
          <w:tab w:val="left" w:pos="1541"/>
        </w:tabs>
        <w:spacing w:before="52" w:line="259" w:lineRule="auto"/>
        <w:ind w:right="178"/>
        <w:jc w:val="both"/>
        <w:rPr>
          <w:sz w:val="24"/>
        </w:rPr>
      </w:pPr>
      <w:r>
        <w:rPr>
          <w:sz w:val="24"/>
        </w:rPr>
        <w:t>Persons with a physical disability or impairment which limits mobility because of age,</w:t>
      </w:r>
      <w:r>
        <w:rPr>
          <w:spacing w:val="-4"/>
          <w:sz w:val="24"/>
        </w:rPr>
        <w:t xml:space="preserve"> </w:t>
      </w:r>
      <w:r>
        <w:rPr>
          <w:spacing w:val="-3"/>
          <w:sz w:val="24"/>
        </w:rPr>
        <w:t>injury,</w:t>
      </w:r>
      <w:r>
        <w:rPr>
          <w:spacing w:val="-5"/>
          <w:sz w:val="24"/>
        </w:rPr>
        <w:t xml:space="preserve"> </w:t>
      </w:r>
      <w:r>
        <w:rPr>
          <w:sz w:val="24"/>
        </w:rPr>
        <w:t>or</w:t>
      </w:r>
      <w:r>
        <w:rPr>
          <w:spacing w:val="-4"/>
          <w:sz w:val="24"/>
        </w:rPr>
        <w:t xml:space="preserve"> </w:t>
      </w:r>
      <w:r>
        <w:rPr>
          <w:sz w:val="24"/>
        </w:rPr>
        <w:t>medical</w:t>
      </w:r>
      <w:r>
        <w:rPr>
          <w:spacing w:val="-5"/>
          <w:sz w:val="24"/>
        </w:rPr>
        <w:t xml:space="preserve"> </w:t>
      </w:r>
      <w:r>
        <w:rPr>
          <w:sz w:val="24"/>
        </w:rPr>
        <w:t>conditions</w:t>
      </w:r>
      <w:r>
        <w:rPr>
          <w:spacing w:val="-5"/>
          <w:sz w:val="24"/>
        </w:rPr>
        <w:t xml:space="preserve"> </w:t>
      </w:r>
      <w:r>
        <w:rPr>
          <w:sz w:val="24"/>
        </w:rPr>
        <w:t>that</w:t>
      </w:r>
      <w:r>
        <w:rPr>
          <w:spacing w:val="-7"/>
          <w:sz w:val="24"/>
        </w:rPr>
        <w:t xml:space="preserve"> </w:t>
      </w:r>
      <w:r>
        <w:rPr>
          <w:sz w:val="24"/>
        </w:rPr>
        <w:t>would</w:t>
      </w:r>
      <w:r>
        <w:rPr>
          <w:spacing w:val="-6"/>
          <w:sz w:val="24"/>
        </w:rPr>
        <w:t xml:space="preserve"> </w:t>
      </w:r>
      <w:r>
        <w:rPr>
          <w:sz w:val="24"/>
        </w:rPr>
        <w:t>prevent</w:t>
      </w:r>
      <w:r>
        <w:rPr>
          <w:spacing w:val="-6"/>
          <w:sz w:val="24"/>
        </w:rPr>
        <w:t xml:space="preserve"> </w:t>
      </w:r>
      <w:r>
        <w:rPr>
          <w:sz w:val="24"/>
        </w:rPr>
        <w:t>restraint</w:t>
      </w:r>
      <w:r>
        <w:rPr>
          <w:spacing w:val="-6"/>
          <w:sz w:val="24"/>
        </w:rPr>
        <w:t xml:space="preserve"> </w:t>
      </w:r>
      <w:r>
        <w:rPr>
          <w:sz w:val="24"/>
        </w:rPr>
        <w:t>in</w:t>
      </w:r>
      <w:r>
        <w:rPr>
          <w:spacing w:val="-4"/>
          <w:sz w:val="24"/>
        </w:rPr>
        <w:t xml:space="preserve"> </w:t>
      </w:r>
      <w:r>
        <w:rPr>
          <w:sz w:val="24"/>
        </w:rPr>
        <w:t>such</w:t>
      </w:r>
      <w:r>
        <w:rPr>
          <w:spacing w:val="2"/>
          <w:sz w:val="24"/>
        </w:rPr>
        <w:t xml:space="preserve"> </w:t>
      </w:r>
      <w:r>
        <w:rPr>
          <w:sz w:val="24"/>
        </w:rPr>
        <w:t>seat</w:t>
      </w:r>
      <w:r>
        <w:rPr>
          <w:spacing w:val="-8"/>
          <w:sz w:val="24"/>
        </w:rPr>
        <w:t xml:space="preserve"> </w:t>
      </w:r>
      <w:r>
        <w:rPr>
          <w:spacing w:val="-3"/>
          <w:sz w:val="24"/>
        </w:rPr>
        <w:t xml:space="preserve">safety </w:t>
      </w:r>
      <w:r>
        <w:rPr>
          <w:sz w:val="24"/>
        </w:rPr>
        <w:t>belt.</w:t>
      </w:r>
    </w:p>
    <w:p w14:paraId="398CCF1A" w14:textId="77777777" w:rsidR="00CC61E3" w:rsidRDefault="004F1AB2">
      <w:pPr>
        <w:pStyle w:val="ListParagraph"/>
        <w:numPr>
          <w:ilvl w:val="1"/>
          <w:numId w:val="1"/>
        </w:numPr>
        <w:tabs>
          <w:tab w:val="left" w:pos="1541"/>
        </w:tabs>
        <w:ind w:hanging="361"/>
        <w:jc w:val="both"/>
        <w:rPr>
          <w:sz w:val="24"/>
        </w:rPr>
      </w:pPr>
      <w:r>
        <w:rPr>
          <w:sz w:val="24"/>
        </w:rPr>
        <w:t xml:space="preserve">If any person is combative or officer </w:t>
      </w:r>
      <w:r>
        <w:rPr>
          <w:spacing w:val="-3"/>
          <w:sz w:val="24"/>
        </w:rPr>
        <w:t xml:space="preserve">safety </w:t>
      </w:r>
      <w:r>
        <w:rPr>
          <w:sz w:val="24"/>
        </w:rPr>
        <w:t>considerations make doing</w:t>
      </w:r>
      <w:r>
        <w:rPr>
          <w:spacing w:val="-25"/>
          <w:sz w:val="24"/>
        </w:rPr>
        <w:t xml:space="preserve"> </w:t>
      </w:r>
      <w:r>
        <w:rPr>
          <w:sz w:val="24"/>
        </w:rPr>
        <w:t>so</w:t>
      </w:r>
    </w:p>
    <w:p w14:paraId="69F1E47F" w14:textId="77777777" w:rsidR="00CC61E3" w:rsidRDefault="004F1AB2">
      <w:pPr>
        <w:pStyle w:val="BodyText"/>
        <w:spacing w:before="22" w:line="259" w:lineRule="auto"/>
        <w:ind w:left="1540" w:right="428"/>
        <w:jc w:val="both"/>
      </w:pPr>
      <w:r>
        <w:t>impracticable</w:t>
      </w:r>
      <w:r>
        <w:rPr>
          <w:spacing w:val="-8"/>
        </w:rPr>
        <w:t xml:space="preserve"> </w:t>
      </w:r>
      <w:r>
        <w:t>an</w:t>
      </w:r>
      <w:r>
        <w:rPr>
          <w:spacing w:val="-6"/>
        </w:rPr>
        <w:t xml:space="preserve"> </w:t>
      </w:r>
      <w:r>
        <w:t>officer</w:t>
      </w:r>
      <w:r>
        <w:rPr>
          <w:spacing w:val="-6"/>
        </w:rPr>
        <w:t xml:space="preserve"> </w:t>
      </w:r>
      <w:r>
        <w:t>shall</w:t>
      </w:r>
      <w:r>
        <w:rPr>
          <w:spacing w:val="-4"/>
        </w:rPr>
        <w:t xml:space="preserve"> </w:t>
      </w:r>
      <w:r>
        <w:t>obtain</w:t>
      </w:r>
      <w:r>
        <w:rPr>
          <w:spacing w:val="-5"/>
        </w:rPr>
        <w:t xml:space="preserve"> </w:t>
      </w:r>
      <w:r>
        <w:t>permission</w:t>
      </w:r>
      <w:r>
        <w:rPr>
          <w:spacing w:val="-5"/>
        </w:rPr>
        <w:t xml:space="preserve"> </w:t>
      </w:r>
      <w:r>
        <w:t>from</w:t>
      </w:r>
      <w:r>
        <w:rPr>
          <w:spacing w:val="-5"/>
        </w:rPr>
        <w:t xml:space="preserve"> </w:t>
      </w:r>
      <w:r>
        <w:t>a</w:t>
      </w:r>
      <w:r>
        <w:rPr>
          <w:spacing w:val="-6"/>
        </w:rPr>
        <w:t xml:space="preserve"> </w:t>
      </w:r>
      <w:r>
        <w:t>supervisor</w:t>
      </w:r>
      <w:r>
        <w:rPr>
          <w:spacing w:val="-6"/>
        </w:rPr>
        <w:t xml:space="preserve"> </w:t>
      </w:r>
      <w:r>
        <w:t>to</w:t>
      </w:r>
      <w:r>
        <w:rPr>
          <w:spacing w:val="-5"/>
        </w:rPr>
        <w:t xml:space="preserve"> </w:t>
      </w:r>
      <w:r>
        <w:t xml:space="preserve">transport the person without the use of a seat </w:t>
      </w:r>
      <w:r>
        <w:rPr>
          <w:spacing w:val="-3"/>
        </w:rPr>
        <w:t>safety</w:t>
      </w:r>
      <w:r>
        <w:rPr>
          <w:spacing w:val="-1"/>
        </w:rPr>
        <w:t xml:space="preserve"> </w:t>
      </w:r>
      <w:r>
        <w:t>belt.</w:t>
      </w:r>
    </w:p>
    <w:p w14:paraId="7FD7C3FC" w14:textId="77777777" w:rsidR="00CC61E3" w:rsidRDefault="004F1AB2">
      <w:pPr>
        <w:pStyle w:val="ListParagraph"/>
        <w:numPr>
          <w:ilvl w:val="1"/>
          <w:numId w:val="1"/>
        </w:numPr>
        <w:tabs>
          <w:tab w:val="left" w:pos="1540"/>
          <w:tab w:val="left" w:pos="1541"/>
        </w:tabs>
        <w:spacing w:before="0" w:line="259" w:lineRule="auto"/>
        <w:ind w:right="248"/>
      </w:pPr>
      <w:r>
        <w:rPr>
          <w:sz w:val="24"/>
        </w:rPr>
        <w:t xml:space="preserve">If an officer deviates from the requirement to secure </w:t>
      </w:r>
      <w:r>
        <w:rPr>
          <w:spacing w:val="-3"/>
          <w:sz w:val="24"/>
        </w:rPr>
        <w:t xml:space="preserve">any </w:t>
      </w:r>
      <w:r>
        <w:rPr>
          <w:sz w:val="24"/>
        </w:rPr>
        <w:t xml:space="preserve">person being transported with a seat </w:t>
      </w:r>
      <w:r>
        <w:rPr>
          <w:spacing w:val="-3"/>
          <w:sz w:val="24"/>
        </w:rPr>
        <w:t xml:space="preserve">safety </w:t>
      </w:r>
      <w:r>
        <w:rPr>
          <w:sz w:val="24"/>
        </w:rPr>
        <w:t xml:space="preserve">belt as required in this </w:t>
      </w:r>
      <w:r>
        <w:rPr>
          <w:spacing w:val="-4"/>
          <w:sz w:val="24"/>
        </w:rPr>
        <w:t xml:space="preserve">policy, </w:t>
      </w:r>
      <w:r>
        <w:rPr>
          <w:sz w:val="24"/>
        </w:rPr>
        <w:t>they should include such information and reason(s) in their report or CAD entry of</w:t>
      </w:r>
      <w:r>
        <w:rPr>
          <w:spacing w:val="-12"/>
          <w:sz w:val="24"/>
        </w:rPr>
        <w:t xml:space="preserve"> </w:t>
      </w:r>
      <w:r>
        <w:rPr>
          <w:sz w:val="24"/>
        </w:rPr>
        <w:t>the</w:t>
      </w:r>
    </w:p>
    <w:p w14:paraId="13869150" w14:textId="77777777" w:rsidR="00CC61E3" w:rsidRDefault="004F1AB2">
      <w:pPr>
        <w:pStyle w:val="BodyText"/>
        <w:spacing w:line="292" w:lineRule="exact"/>
        <w:ind w:left="1540"/>
      </w:pPr>
      <w:r>
        <w:t>incident/transport.</w:t>
      </w:r>
    </w:p>
    <w:p w14:paraId="2C8159CB" w14:textId="77777777" w:rsidR="00CC61E3" w:rsidRDefault="00CC61E3">
      <w:pPr>
        <w:pStyle w:val="BodyText"/>
        <w:spacing w:before="10"/>
        <w:rPr>
          <w:sz w:val="25"/>
        </w:rPr>
      </w:pPr>
    </w:p>
    <w:p w14:paraId="795E8F45" w14:textId="77777777" w:rsidR="00CC61E3" w:rsidRDefault="004F1AB2">
      <w:pPr>
        <w:pStyle w:val="Heading3"/>
        <w:numPr>
          <w:ilvl w:val="0"/>
          <w:numId w:val="1"/>
        </w:numPr>
        <w:tabs>
          <w:tab w:val="left" w:pos="372"/>
        </w:tabs>
        <w:spacing w:before="0"/>
        <w:ind w:left="371" w:hanging="272"/>
        <w:rPr>
          <w:u w:val="none"/>
        </w:rPr>
      </w:pPr>
      <w:r>
        <w:rPr>
          <w:rFonts w:ascii="Times New Roman"/>
          <w:b w:val="0"/>
          <w:spacing w:val="-60"/>
        </w:rPr>
        <w:t xml:space="preserve"> </w:t>
      </w:r>
      <w:r>
        <w:t>Policy</w:t>
      </w:r>
      <w:r>
        <w:rPr>
          <w:spacing w:val="-2"/>
        </w:rPr>
        <w:t xml:space="preserve"> </w:t>
      </w:r>
      <w:r>
        <w:t>Violations</w:t>
      </w:r>
    </w:p>
    <w:p w14:paraId="3BAB31B1" w14:textId="77777777" w:rsidR="00CC61E3" w:rsidRDefault="004F1AB2">
      <w:pPr>
        <w:pStyle w:val="ListParagraph"/>
        <w:numPr>
          <w:ilvl w:val="1"/>
          <w:numId w:val="1"/>
        </w:numPr>
        <w:tabs>
          <w:tab w:val="left" w:pos="1541"/>
        </w:tabs>
        <w:spacing w:before="21" w:line="259" w:lineRule="auto"/>
        <w:ind w:right="627"/>
        <w:rPr>
          <w:sz w:val="24"/>
        </w:rPr>
      </w:pPr>
      <w:r>
        <w:rPr>
          <w:sz w:val="24"/>
        </w:rPr>
        <w:t>Agency</w:t>
      </w:r>
      <w:r>
        <w:rPr>
          <w:spacing w:val="-4"/>
          <w:sz w:val="24"/>
        </w:rPr>
        <w:t xml:space="preserve"> </w:t>
      </w:r>
      <w:r>
        <w:rPr>
          <w:sz w:val="24"/>
        </w:rPr>
        <w:t>Action-</w:t>
      </w:r>
      <w:r>
        <w:rPr>
          <w:spacing w:val="-3"/>
          <w:sz w:val="24"/>
        </w:rPr>
        <w:t xml:space="preserve"> </w:t>
      </w:r>
      <w:r>
        <w:rPr>
          <w:sz w:val="24"/>
        </w:rPr>
        <w:t>When</w:t>
      </w:r>
      <w:r>
        <w:rPr>
          <w:spacing w:val="-4"/>
          <w:sz w:val="24"/>
        </w:rPr>
        <w:t xml:space="preserve"> </w:t>
      </w:r>
      <w:r>
        <w:rPr>
          <w:sz w:val="24"/>
        </w:rPr>
        <w:t>a</w:t>
      </w:r>
      <w:r>
        <w:rPr>
          <w:spacing w:val="-6"/>
          <w:sz w:val="24"/>
        </w:rPr>
        <w:t xml:space="preserve"> </w:t>
      </w:r>
      <w:r>
        <w:rPr>
          <w:sz w:val="24"/>
        </w:rPr>
        <w:t>possible</w:t>
      </w:r>
      <w:r>
        <w:rPr>
          <w:spacing w:val="-3"/>
          <w:sz w:val="24"/>
        </w:rPr>
        <w:t xml:space="preserve"> </w:t>
      </w:r>
      <w:r>
        <w:rPr>
          <w:sz w:val="24"/>
        </w:rPr>
        <w:t>violation</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policy</w:t>
      </w:r>
      <w:r>
        <w:rPr>
          <w:spacing w:val="-5"/>
          <w:sz w:val="24"/>
        </w:rPr>
        <w:t xml:space="preserve"> </w:t>
      </w:r>
      <w:r>
        <w:rPr>
          <w:sz w:val="24"/>
        </w:rPr>
        <w:t>becomes</w:t>
      </w:r>
      <w:r>
        <w:rPr>
          <w:spacing w:val="-3"/>
          <w:sz w:val="24"/>
        </w:rPr>
        <w:t xml:space="preserve"> </w:t>
      </w:r>
      <w:r>
        <w:rPr>
          <w:sz w:val="24"/>
        </w:rPr>
        <w:t>known,</w:t>
      </w:r>
      <w:r>
        <w:rPr>
          <w:spacing w:val="-4"/>
          <w:sz w:val="24"/>
        </w:rPr>
        <w:t xml:space="preserve"> </w:t>
      </w:r>
      <w:r>
        <w:rPr>
          <w:sz w:val="24"/>
        </w:rPr>
        <w:t>the agency will investigate the issue pursuant to local procedures. When it is determined</w:t>
      </w:r>
      <w:r>
        <w:rPr>
          <w:spacing w:val="-4"/>
          <w:sz w:val="24"/>
        </w:rPr>
        <w:t xml:space="preserve"> </w:t>
      </w:r>
      <w:r>
        <w:rPr>
          <w:sz w:val="24"/>
        </w:rPr>
        <w:t>that</w:t>
      </w:r>
      <w:r>
        <w:rPr>
          <w:spacing w:val="-4"/>
          <w:sz w:val="24"/>
        </w:rPr>
        <w:t xml:space="preserve"> </w:t>
      </w:r>
      <w:r>
        <w:rPr>
          <w:sz w:val="24"/>
        </w:rPr>
        <w:t>a</w:t>
      </w:r>
      <w:r>
        <w:rPr>
          <w:spacing w:val="-4"/>
          <w:sz w:val="24"/>
        </w:rPr>
        <w:t xml:space="preserve"> </w:t>
      </w:r>
      <w:r>
        <w:rPr>
          <w:sz w:val="24"/>
        </w:rPr>
        <w:t>violation</w:t>
      </w:r>
      <w:r>
        <w:rPr>
          <w:spacing w:val="-3"/>
          <w:sz w:val="24"/>
        </w:rPr>
        <w:t xml:space="preserve"> </w:t>
      </w:r>
      <w:r>
        <w:rPr>
          <w:sz w:val="24"/>
        </w:rPr>
        <w:t>has</w:t>
      </w:r>
      <w:r>
        <w:rPr>
          <w:spacing w:val="-3"/>
          <w:sz w:val="24"/>
        </w:rPr>
        <w:t xml:space="preserve"> </w:t>
      </w:r>
      <w:r>
        <w:rPr>
          <w:sz w:val="24"/>
        </w:rPr>
        <w:t>occurred,</w:t>
      </w:r>
      <w:r>
        <w:rPr>
          <w:spacing w:val="-6"/>
          <w:sz w:val="24"/>
        </w:rPr>
        <w:t xml:space="preserve"> </w:t>
      </w:r>
      <w:r>
        <w:rPr>
          <w:sz w:val="24"/>
        </w:rPr>
        <w:t>and</w:t>
      </w:r>
      <w:r>
        <w:rPr>
          <w:spacing w:val="-4"/>
          <w:sz w:val="24"/>
        </w:rPr>
        <w:t xml:space="preserve"> </w:t>
      </w:r>
      <w:r>
        <w:rPr>
          <w:sz w:val="24"/>
        </w:rPr>
        <w:t>1)</w:t>
      </w:r>
      <w:r>
        <w:rPr>
          <w:spacing w:val="-3"/>
          <w:sz w:val="24"/>
        </w:rPr>
        <w:t xml:space="preserve"> </w:t>
      </w:r>
      <w:r>
        <w:rPr>
          <w:sz w:val="24"/>
        </w:rPr>
        <w:t>the</w:t>
      </w:r>
      <w:r>
        <w:rPr>
          <w:spacing w:val="-3"/>
          <w:sz w:val="24"/>
        </w:rPr>
        <w:t xml:space="preserve"> </w:t>
      </w:r>
      <w:r>
        <w:rPr>
          <w:sz w:val="24"/>
        </w:rPr>
        <w:t>conduct</w:t>
      </w:r>
      <w:r>
        <w:rPr>
          <w:spacing w:val="-4"/>
          <w:sz w:val="24"/>
        </w:rPr>
        <w:t xml:space="preserve"> </w:t>
      </w:r>
      <w:r>
        <w:rPr>
          <w:sz w:val="24"/>
        </w:rPr>
        <w:t>constitutes</w:t>
      </w:r>
      <w:r>
        <w:rPr>
          <w:spacing w:val="-4"/>
          <w:sz w:val="24"/>
        </w:rPr>
        <w:t xml:space="preserve"> </w:t>
      </w:r>
      <w:r>
        <w:rPr>
          <w:sz w:val="24"/>
        </w:rPr>
        <w:t>a</w:t>
      </w:r>
    </w:p>
    <w:p w14:paraId="319E353C" w14:textId="77777777" w:rsidR="00CC61E3" w:rsidRDefault="004F1AB2">
      <w:pPr>
        <w:pStyle w:val="BodyText"/>
        <w:spacing w:line="259" w:lineRule="auto"/>
        <w:ind w:left="1540" w:right="250"/>
      </w:pPr>
      <w:r>
        <w:t xml:space="preserve">violation of this policy, and 2) that such violation undermines the public confidence in the agency, the chief law enforcement officer of that agency </w:t>
      </w:r>
      <w:proofErr w:type="gramStart"/>
      <w:r>
        <w:t>shall</w:t>
      </w:r>
      <w:proofErr w:type="gramEnd"/>
    </w:p>
    <w:p w14:paraId="1D6D01C9" w14:textId="77777777" w:rsidR="00CC61E3" w:rsidRDefault="004F1AB2">
      <w:pPr>
        <w:pStyle w:val="BodyText"/>
        <w:ind w:left="1540"/>
      </w:pPr>
      <w:r>
        <w:t>report the violation to the Police Officer Standards and Training Council (POST-C).</w:t>
      </w:r>
    </w:p>
    <w:p w14:paraId="79EA3E54" w14:textId="77777777" w:rsidR="00CC61E3" w:rsidRDefault="00CC61E3">
      <w:pPr>
        <w:pStyle w:val="BodyText"/>
        <w:spacing w:before="8"/>
        <w:rPr>
          <w:sz w:val="27"/>
        </w:rPr>
      </w:pPr>
    </w:p>
    <w:p w14:paraId="2A661334" w14:textId="77777777" w:rsidR="00CC61E3" w:rsidRDefault="004F1AB2">
      <w:pPr>
        <w:pStyle w:val="ListParagraph"/>
        <w:numPr>
          <w:ilvl w:val="1"/>
          <w:numId w:val="1"/>
        </w:numPr>
        <w:tabs>
          <w:tab w:val="left" w:pos="1541"/>
        </w:tabs>
        <w:spacing w:line="259" w:lineRule="auto"/>
        <w:ind w:right="618"/>
        <w:jc w:val="both"/>
        <w:rPr>
          <w:sz w:val="24"/>
        </w:rPr>
      </w:pPr>
      <w:r>
        <w:rPr>
          <w:sz w:val="24"/>
        </w:rPr>
        <w:t>POST</w:t>
      </w:r>
      <w:r>
        <w:rPr>
          <w:spacing w:val="-3"/>
          <w:sz w:val="24"/>
        </w:rPr>
        <w:t xml:space="preserve"> </w:t>
      </w:r>
      <w:r>
        <w:rPr>
          <w:sz w:val="24"/>
        </w:rPr>
        <w:t>Council</w:t>
      </w:r>
      <w:r>
        <w:rPr>
          <w:spacing w:val="-5"/>
          <w:sz w:val="24"/>
        </w:rPr>
        <w:t xml:space="preserve"> </w:t>
      </w:r>
      <w:r>
        <w:rPr>
          <w:sz w:val="24"/>
        </w:rPr>
        <w:t>Action-The</w:t>
      </w:r>
      <w:r>
        <w:rPr>
          <w:spacing w:val="-5"/>
          <w:sz w:val="24"/>
        </w:rPr>
        <w:t xml:space="preserve"> </w:t>
      </w:r>
      <w:r>
        <w:rPr>
          <w:sz w:val="24"/>
        </w:rPr>
        <w:t>Council</w:t>
      </w:r>
      <w:r>
        <w:rPr>
          <w:spacing w:val="-3"/>
          <w:sz w:val="24"/>
        </w:rPr>
        <w:t xml:space="preserve"> </w:t>
      </w:r>
      <w:r>
        <w:rPr>
          <w:sz w:val="24"/>
        </w:rPr>
        <w:t>shall</w:t>
      </w:r>
      <w:r>
        <w:rPr>
          <w:spacing w:val="-4"/>
          <w:sz w:val="24"/>
        </w:rPr>
        <w:t xml:space="preserve"> </w:t>
      </w:r>
      <w:r>
        <w:rPr>
          <w:sz w:val="24"/>
        </w:rPr>
        <w:t>conduct</w:t>
      </w:r>
      <w:r>
        <w:rPr>
          <w:spacing w:val="-4"/>
          <w:sz w:val="24"/>
        </w:rPr>
        <w:t xml:space="preserve"> </w:t>
      </w:r>
      <w:r>
        <w:rPr>
          <w:sz w:val="24"/>
        </w:rPr>
        <w:t>a</w:t>
      </w:r>
      <w:r>
        <w:rPr>
          <w:spacing w:val="-6"/>
          <w:sz w:val="24"/>
        </w:rPr>
        <w:t xml:space="preserve"> </w:t>
      </w:r>
      <w:r>
        <w:rPr>
          <w:sz w:val="24"/>
        </w:rPr>
        <w:t>de</w:t>
      </w:r>
      <w:r>
        <w:rPr>
          <w:spacing w:val="-2"/>
          <w:sz w:val="24"/>
        </w:rPr>
        <w:t xml:space="preserve"> </w:t>
      </w:r>
      <w:r>
        <w:rPr>
          <w:sz w:val="24"/>
        </w:rPr>
        <w:t>novo</w:t>
      </w:r>
      <w:r>
        <w:rPr>
          <w:spacing w:val="-5"/>
          <w:sz w:val="24"/>
        </w:rPr>
        <w:t xml:space="preserve"> </w:t>
      </w:r>
      <w:r>
        <w:rPr>
          <w:sz w:val="24"/>
        </w:rPr>
        <w:t>review</w:t>
      </w:r>
      <w:r>
        <w:rPr>
          <w:spacing w:val="-4"/>
          <w:sz w:val="24"/>
        </w:rPr>
        <w:t xml:space="preserve"> </w:t>
      </w:r>
      <w:r>
        <w:rPr>
          <w:sz w:val="24"/>
        </w:rPr>
        <w:t>of</w:t>
      </w:r>
      <w:r>
        <w:rPr>
          <w:spacing w:val="-2"/>
          <w:sz w:val="24"/>
        </w:rPr>
        <w:t xml:space="preserve"> </w:t>
      </w:r>
      <w:r>
        <w:rPr>
          <w:sz w:val="24"/>
        </w:rPr>
        <w:t>the</w:t>
      </w:r>
      <w:r>
        <w:rPr>
          <w:spacing w:val="-5"/>
          <w:sz w:val="24"/>
        </w:rPr>
        <w:t xml:space="preserve"> </w:t>
      </w:r>
      <w:r>
        <w:rPr>
          <w:sz w:val="24"/>
        </w:rPr>
        <w:t xml:space="preserve">case. Whenever the council believes there is a reasonable basis </w:t>
      </w:r>
      <w:r>
        <w:rPr>
          <w:spacing w:val="-3"/>
          <w:sz w:val="24"/>
        </w:rPr>
        <w:t>for</w:t>
      </w:r>
      <w:r>
        <w:rPr>
          <w:spacing w:val="-29"/>
          <w:sz w:val="24"/>
        </w:rPr>
        <w:t xml:space="preserve"> </w:t>
      </w:r>
      <w:r>
        <w:rPr>
          <w:sz w:val="24"/>
        </w:rPr>
        <w:t>suspension,</w:t>
      </w:r>
    </w:p>
    <w:p w14:paraId="28FB80F1" w14:textId="77777777" w:rsidR="00CC61E3" w:rsidRDefault="004F1AB2">
      <w:pPr>
        <w:pStyle w:val="BodyText"/>
        <w:spacing w:line="259" w:lineRule="auto"/>
        <w:ind w:left="1540" w:right="154"/>
        <w:jc w:val="both"/>
      </w:pPr>
      <w:r>
        <w:t>cancellation,</w:t>
      </w:r>
      <w:r>
        <w:rPr>
          <w:spacing w:val="-8"/>
        </w:rPr>
        <w:t xml:space="preserve"> </w:t>
      </w:r>
      <w:r>
        <w:t>or</w:t>
      </w:r>
      <w:r>
        <w:rPr>
          <w:spacing w:val="-7"/>
        </w:rPr>
        <w:t xml:space="preserve"> </w:t>
      </w:r>
      <w:r>
        <w:t>revocation</w:t>
      </w:r>
      <w:r>
        <w:rPr>
          <w:spacing w:val="-5"/>
        </w:rPr>
        <w:t xml:space="preserve"> </w:t>
      </w:r>
      <w:r>
        <w:t>of</w:t>
      </w:r>
      <w:r>
        <w:rPr>
          <w:spacing w:val="-5"/>
        </w:rPr>
        <w:t xml:space="preserve"> </w:t>
      </w:r>
      <w:r>
        <w:t>the</w:t>
      </w:r>
      <w:r>
        <w:rPr>
          <w:spacing w:val="-8"/>
        </w:rPr>
        <w:t xml:space="preserve"> </w:t>
      </w:r>
      <w:r>
        <w:t>certification</w:t>
      </w:r>
      <w:r>
        <w:rPr>
          <w:spacing w:val="-5"/>
        </w:rPr>
        <w:t xml:space="preserve"> </w:t>
      </w:r>
      <w:r>
        <w:t>of</w:t>
      </w:r>
      <w:r>
        <w:rPr>
          <w:spacing w:val="-5"/>
        </w:rPr>
        <w:t xml:space="preserve"> </w:t>
      </w:r>
      <w:r>
        <w:t>the</w:t>
      </w:r>
      <w:r>
        <w:rPr>
          <w:spacing w:val="-6"/>
        </w:rPr>
        <w:t xml:space="preserve"> </w:t>
      </w:r>
      <w:r>
        <w:t>police</w:t>
      </w:r>
      <w:r>
        <w:rPr>
          <w:spacing w:val="-8"/>
        </w:rPr>
        <w:t xml:space="preserve"> </w:t>
      </w:r>
      <w:r>
        <w:t>officer</w:t>
      </w:r>
      <w:r>
        <w:rPr>
          <w:spacing w:val="-7"/>
        </w:rPr>
        <w:t xml:space="preserve"> </w:t>
      </w:r>
      <w:r>
        <w:t>because</w:t>
      </w:r>
      <w:r>
        <w:rPr>
          <w:spacing w:val="-7"/>
        </w:rPr>
        <w:t xml:space="preserve"> </w:t>
      </w:r>
      <w:r>
        <w:t>of</w:t>
      </w:r>
      <w:r>
        <w:rPr>
          <w:spacing w:val="-7"/>
        </w:rPr>
        <w:t xml:space="preserve"> </w:t>
      </w:r>
      <w:r>
        <w:t xml:space="preserve">the reported violation, the Council shall give notice and an adequate opportunity </w:t>
      </w:r>
      <w:r>
        <w:rPr>
          <w:spacing w:val="-3"/>
        </w:rPr>
        <w:t xml:space="preserve">for </w:t>
      </w:r>
      <w:r>
        <w:t>a hearing prior to such suspension, cancellation, or</w:t>
      </w:r>
      <w:r>
        <w:rPr>
          <w:spacing w:val="-18"/>
        </w:rPr>
        <w:t xml:space="preserve"> </w:t>
      </w:r>
      <w:r>
        <w:t>revocation.</w:t>
      </w:r>
    </w:p>
    <w:p w14:paraId="538E693A" w14:textId="77777777" w:rsidR="00CC61E3" w:rsidRDefault="004F1AB2">
      <w:pPr>
        <w:pStyle w:val="BodyText"/>
        <w:spacing w:line="259" w:lineRule="auto"/>
        <w:ind w:left="1540" w:right="38"/>
      </w:pPr>
      <w:r>
        <w:t>Hearings shall be conducted in accordance with the provisions of chapter 54 of the general statutes. If the Council finds, by clear and convincing evidence, that a violation of this policy has occurred, the Council may suspend, cancel, or revoke the certification of the police officer in accordance with section 7-294d of the</w:t>
      </w:r>
    </w:p>
    <w:p w14:paraId="1967C172" w14:textId="77777777" w:rsidR="00CC61E3" w:rsidRDefault="004F1AB2">
      <w:pPr>
        <w:pStyle w:val="BodyText"/>
        <w:spacing w:line="292" w:lineRule="exact"/>
        <w:ind w:left="1540"/>
      </w:pPr>
      <w:r>
        <w:t>general statutes.</w:t>
      </w:r>
    </w:p>
    <w:sectPr w:rsidR="00CC61E3">
      <w:pgSz w:w="12240" w:h="15840"/>
      <w:pgMar w:top="960" w:right="1340" w:bottom="1260" w:left="134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B157" w14:textId="77777777" w:rsidR="008D599D" w:rsidRDefault="008D599D">
      <w:r>
        <w:separator/>
      </w:r>
    </w:p>
  </w:endnote>
  <w:endnote w:type="continuationSeparator" w:id="0">
    <w:p w14:paraId="0513423A" w14:textId="77777777" w:rsidR="008D599D" w:rsidRDefault="008D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F4648" w14:textId="2AC4CC6A" w:rsidR="00CC61E3" w:rsidRDefault="004F1AB2">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5A9FF6FF" wp14:editId="39591D46">
              <wp:simplePos x="0" y="0"/>
              <wp:positionH relativeFrom="page">
                <wp:posOffset>3371215</wp:posOffset>
              </wp:positionH>
              <wp:positionV relativeFrom="page">
                <wp:posOffset>9243695</wp:posOffset>
              </wp:positionV>
              <wp:extent cx="1031875" cy="198120"/>
              <wp:effectExtent l="0" t="0" r="0" b="0"/>
              <wp:wrapNone/>
              <wp:docPr id="209365002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98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D37392" w14:textId="77777777" w:rsidR="00CC61E3" w:rsidRDefault="004F1AB2">
                          <w:pPr>
                            <w:spacing w:before="20"/>
                            <w:ind w:left="20"/>
                            <w:rPr>
                              <w:rFonts w:ascii="Courier New"/>
                              <w:b/>
                              <w:sz w:val="24"/>
                            </w:rPr>
                          </w:pPr>
                          <w:r>
                            <w:rPr>
                              <w:rFonts w:ascii="Courier New"/>
                              <w:sz w:val="24"/>
                            </w:rPr>
                            <w:t xml:space="preserve">Page </w:t>
                          </w:r>
                          <w:r>
                            <w:fldChar w:fldCharType="begin"/>
                          </w:r>
                          <w:r>
                            <w:rPr>
                              <w:rFonts w:ascii="Courier New"/>
                              <w:b/>
                              <w:sz w:val="24"/>
                            </w:rPr>
                            <w:instrText xml:space="preserve"> PAGE </w:instrText>
                          </w:r>
                          <w:r>
                            <w:fldChar w:fldCharType="separate"/>
                          </w:r>
                          <w:r>
                            <w:t>2</w:t>
                          </w:r>
                          <w:r>
                            <w:fldChar w:fldCharType="end"/>
                          </w:r>
                          <w:r>
                            <w:rPr>
                              <w:rFonts w:ascii="Courier New"/>
                              <w:b/>
                              <w:sz w:val="24"/>
                            </w:rPr>
                            <w:t xml:space="preserve"> </w:t>
                          </w:r>
                          <w:r>
                            <w:rPr>
                              <w:rFonts w:ascii="Courier New"/>
                              <w:sz w:val="24"/>
                            </w:rPr>
                            <w:t xml:space="preserve">of </w:t>
                          </w:r>
                          <w:r>
                            <w:rPr>
                              <w:rFonts w:ascii="Courier New"/>
                              <w:b/>
                              <w:sz w:val="24"/>
                            </w:rP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9FF6FF" id="_x0000_t202" coordsize="21600,21600" o:spt="202" path="m,l,21600r21600,l21600,xe">
              <v:stroke joinstyle="miter"/>
              <v:path gradientshapeok="t" o:connecttype="rect"/>
            </v:shapetype>
            <v:shape id="Text Box 1" o:spid="_x0000_s1026" type="#_x0000_t202" style="position:absolute;margin-left:265.45pt;margin-top:727.85pt;width:81.25pt;height:15.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" filled="f" stroked="f">
              <v:textbox inset="0,0,0,0">
                <w:txbxContent>
                  <w:p w14:paraId="45D37392" w14:textId="77777777" w:rsidR="00CC61E3" w:rsidRDefault="004F1AB2">
                    <w:pPr>
                      <w:spacing w:before="20"/>
                      <w:ind w:left="20"/>
                      <w:rPr>
                        <w:rFonts w:ascii="Courier New"/>
                        <w:b/>
                        <w:sz w:val="24"/>
                      </w:rPr>
                    </w:pPr>
                    <w:r>
                      <w:rPr>
                        <w:rFonts w:ascii="Courier New"/>
                        <w:sz w:val="24"/>
                      </w:rPr>
                      <w:t xml:space="preserve">Page </w:t>
                    </w:r>
                    <w:r>
                      <w:fldChar w:fldCharType="begin"/>
                    </w:r>
                    <w:r>
                      <w:rPr>
                        <w:rFonts w:ascii="Courier New"/>
                        <w:b/>
                        <w:sz w:val="24"/>
                      </w:rPr>
                      <w:instrText xml:space="preserve"> PAGE </w:instrText>
                    </w:r>
                    <w:r>
                      <w:fldChar w:fldCharType="separate"/>
                    </w:r>
                    <w:r>
                      <w:t>2</w:t>
                    </w:r>
                    <w:r>
                      <w:fldChar w:fldCharType="end"/>
                    </w:r>
                    <w:r>
                      <w:rPr>
                        <w:rFonts w:ascii="Courier New"/>
                        <w:b/>
                        <w:sz w:val="24"/>
                      </w:rPr>
                      <w:t xml:space="preserve"> </w:t>
                    </w:r>
                    <w:r>
                      <w:rPr>
                        <w:rFonts w:ascii="Courier New"/>
                        <w:sz w:val="24"/>
                      </w:rPr>
                      <w:t xml:space="preserve">of </w:t>
                    </w:r>
                    <w:r>
                      <w:rPr>
                        <w:rFonts w:ascii="Courier New"/>
                        <w:b/>
                        <w:sz w:val="24"/>
                      </w:rPr>
                      <w:t>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23498" w14:textId="77777777" w:rsidR="008D599D" w:rsidRDefault="008D599D">
      <w:r>
        <w:separator/>
      </w:r>
    </w:p>
  </w:footnote>
  <w:footnote w:type="continuationSeparator" w:id="0">
    <w:p w14:paraId="5FF1897E" w14:textId="77777777" w:rsidR="008D599D" w:rsidRDefault="008D59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5027E"/>
    <w:multiLevelType w:val="hybridMultilevel"/>
    <w:tmpl w:val="9BD6FA0E"/>
    <w:lvl w:ilvl="0" w:tplc="A16E745C">
      <w:start w:val="1"/>
      <w:numFmt w:val="decimal"/>
      <w:lvlText w:val="%1."/>
      <w:lvlJc w:val="left"/>
      <w:pPr>
        <w:ind w:left="460" w:hanging="360"/>
        <w:jc w:val="left"/>
      </w:pPr>
      <w:rPr>
        <w:rFonts w:ascii="Calibri" w:eastAsia="Calibri" w:hAnsi="Calibri" w:cs="Calibri" w:hint="default"/>
        <w:b/>
        <w:bCs/>
        <w:spacing w:val="-60"/>
        <w:w w:val="100"/>
        <w:sz w:val="24"/>
        <w:szCs w:val="24"/>
        <w:lang w:val="en-US" w:eastAsia="en-US" w:bidi="en-US"/>
      </w:rPr>
    </w:lvl>
    <w:lvl w:ilvl="1" w:tplc="50DEEBBC">
      <w:start w:val="1"/>
      <w:numFmt w:val="lowerLetter"/>
      <w:lvlText w:val="%2."/>
      <w:lvlJc w:val="left"/>
      <w:pPr>
        <w:ind w:left="1540" w:hanging="360"/>
        <w:jc w:val="left"/>
      </w:pPr>
      <w:rPr>
        <w:rFonts w:hint="default"/>
        <w:b/>
        <w:bCs/>
        <w:spacing w:val="-5"/>
        <w:w w:val="98"/>
        <w:lang w:val="en-US" w:eastAsia="en-US" w:bidi="en-US"/>
      </w:rPr>
    </w:lvl>
    <w:lvl w:ilvl="2" w:tplc="3E64CF12">
      <w:numFmt w:val="bullet"/>
      <w:lvlText w:val="•"/>
      <w:lvlJc w:val="left"/>
      <w:pPr>
        <w:ind w:left="2431" w:hanging="360"/>
      </w:pPr>
      <w:rPr>
        <w:rFonts w:hint="default"/>
        <w:lang w:val="en-US" w:eastAsia="en-US" w:bidi="en-US"/>
      </w:rPr>
    </w:lvl>
    <w:lvl w:ilvl="3" w:tplc="9102A5D2">
      <w:numFmt w:val="bullet"/>
      <w:lvlText w:val="•"/>
      <w:lvlJc w:val="left"/>
      <w:pPr>
        <w:ind w:left="3322" w:hanging="360"/>
      </w:pPr>
      <w:rPr>
        <w:rFonts w:hint="default"/>
        <w:lang w:val="en-US" w:eastAsia="en-US" w:bidi="en-US"/>
      </w:rPr>
    </w:lvl>
    <w:lvl w:ilvl="4" w:tplc="0F14D9B2">
      <w:numFmt w:val="bullet"/>
      <w:lvlText w:val="•"/>
      <w:lvlJc w:val="left"/>
      <w:pPr>
        <w:ind w:left="4213" w:hanging="360"/>
      </w:pPr>
      <w:rPr>
        <w:rFonts w:hint="default"/>
        <w:lang w:val="en-US" w:eastAsia="en-US" w:bidi="en-US"/>
      </w:rPr>
    </w:lvl>
    <w:lvl w:ilvl="5" w:tplc="2E9A4D28">
      <w:numFmt w:val="bullet"/>
      <w:lvlText w:val="•"/>
      <w:lvlJc w:val="left"/>
      <w:pPr>
        <w:ind w:left="5104" w:hanging="360"/>
      </w:pPr>
      <w:rPr>
        <w:rFonts w:hint="default"/>
        <w:lang w:val="en-US" w:eastAsia="en-US" w:bidi="en-US"/>
      </w:rPr>
    </w:lvl>
    <w:lvl w:ilvl="6" w:tplc="4B7AFFFA">
      <w:numFmt w:val="bullet"/>
      <w:lvlText w:val="•"/>
      <w:lvlJc w:val="left"/>
      <w:pPr>
        <w:ind w:left="5995" w:hanging="360"/>
      </w:pPr>
      <w:rPr>
        <w:rFonts w:hint="default"/>
        <w:lang w:val="en-US" w:eastAsia="en-US" w:bidi="en-US"/>
      </w:rPr>
    </w:lvl>
    <w:lvl w:ilvl="7" w:tplc="E4A08B84">
      <w:numFmt w:val="bullet"/>
      <w:lvlText w:val="•"/>
      <w:lvlJc w:val="left"/>
      <w:pPr>
        <w:ind w:left="6886" w:hanging="360"/>
      </w:pPr>
      <w:rPr>
        <w:rFonts w:hint="default"/>
        <w:lang w:val="en-US" w:eastAsia="en-US" w:bidi="en-US"/>
      </w:rPr>
    </w:lvl>
    <w:lvl w:ilvl="8" w:tplc="BE3A407E">
      <w:numFmt w:val="bullet"/>
      <w:lvlText w:val="•"/>
      <w:lvlJc w:val="left"/>
      <w:pPr>
        <w:ind w:left="7777" w:hanging="360"/>
      </w:pPr>
      <w:rPr>
        <w:rFonts w:hint="default"/>
        <w:lang w:val="en-US" w:eastAsia="en-US" w:bidi="en-US"/>
      </w:rPr>
    </w:lvl>
  </w:abstractNum>
  <w:num w:numId="1" w16cid:durableId="13876820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E3"/>
    <w:rsid w:val="004F1AB2"/>
    <w:rsid w:val="008D599D"/>
    <w:rsid w:val="00A8368E"/>
    <w:rsid w:val="00CC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DCB63"/>
  <w15:docId w15:val="{4ED177D2-A07E-49C3-8AF3-7FB452888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06"/>
      <w:ind w:left="259" w:right="258"/>
      <w:jc w:val="center"/>
      <w:outlineLvl w:val="0"/>
    </w:pPr>
    <w:rPr>
      <w:b/>
      <w:bCs/>
      <w:sz w:val="48"/>
      <w:szCs w:val="48"/>
    </w:rPr>
  </w:style>
  <w:style w:type="paragraph" w:styleId="Heading2">
    <w:name w:val="heading 2"/>
    <w:basedOn w:val="Normal"/>
    <w:uiPriority w:val="9"/>
    <w:unhideWhenUsed/>
    <w:qFormat/>
    <w:pPr>
      <w:ind w:left="258" w:right="258"/>
      <w:jc w:val="center"/>
      <w:outlineLvl w:val="1"/>
    </w:pPr>
    <w:rPr>
      <w:b/>
      <w:bCs/>
      <w:sz w:val="36"/>
      <w:szCs w:val="36"/>
    </w:rPr>
  </w:style>
  <w:style w:type="paragraph" w:styleId="Heading3">
    <w:name w:val="heading 3"/>
    <w:basedOn w:val="Normal"/>
    <w:uiPriority w:val="9"/>
    <w:unhideWhenUsed/>
    <w:qFormat/>
    <w:pPr>
      <w:spacing w:before="1"/>
      <w:ind w:left="460" w:hanging="361"/>
      <w:outlineLvl w:val="2"/>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
      <w:ind w:left="154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3296</Characters>
  <Application>Microsoft Office Word</Application>
  <DocSecurity>0</DocSecurity>
  <Lines>27</Lines>
  <Paragraphs>7</Paragraphs>
  <ScaleCrop>false</ScaleCrop>
  <Company>DESPP</Company>
  <LinksUpToDate>false</LinksUpToDate>
  <CharactersWithSpaces>3867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Tanner</dc:creator>
  <cp:lastModifiedBy>Tanner, William</cp:lastModifiedBy>
  <cp:revision>2</cp:revision>
  <dcterms:created xsi:type="dcterms:W3CDTF">2024-01-18T18:32:00Z</dcterms:created>
  <dcterms:modified xsi:type="dcterms:W3CDTF">2024-01-18T18:32:00Z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2023-11-03T00:00:00Z</vt:filetime>
  </property>
  <property fmtid="{D5CDD505-2E9C-101B-9397-08002B2CF9AE}" pid="3" name="Creator">
    <vt:lpwstr>Microsoft® Word for Microsoft 365</vt:lpwstr>
  </property>
  <property fmtid="{D5CDD505-2E9C-101B-9397-08002B2CF9AE}" pid="4" name="LastSaved">
    <vt:filetime>2024-01-18T00:00:00Z</vt:filetime>
  </property>
</Properties>
</file>