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6B" w:rsidRDefault="00003871" w:rsidP="00F55AA9">
      <w:r w:rsidRPr="00003871">
        <w:rPr>
          <w:b/>
        </w:rPr>
        <w:t>City Budget Process:</w:t>
      </w:r>
      <w:r>
        <w:t xml:space="preserve">  Hartford’s Common Council will be meeting on May 17, 2018 to consider changes in the Mayor’s Proposed FY19 Budget.  The Mayor would have 48 hours to accept or veto any such cha</w:t>
      </w:r>
      <w:r w:rsidR="007A28E9">
        <w:t xml:space="preserve">nges.  The City’s budget process, according to the Charter, will be completed </w:t>
      </w:r>
      <w:r w:rsidR="008514FC">
        <w:t>not later than</w:t>
      </w:r>
      <w:r w:rsidR="004634D5">
        <w:t xml:space="preserve"> May 31st</w:t>
      </w:r>
      <w:r>
        <w:t>.  The budget</w:t>
      </w:r>
      <w:r w:rsidR="004634D5">
        <w:t>, when</w:t>
      </w:r>
      <w:r>
        <w:t xml:space="preserve"> </w:t>
      </w:r>
      <w:r w:rsidR="004634D5">
        <w:t xml:space="preserve">completed, </w:t>
      </w:r>
      <w:r>
        <w:t xml:space="preserve">would be submitted to the MARB for approval. </w:t>
      </w:r>
    </w:p>
    <w:p w:rsidR="00F55AA9" w:rsidRPr="00F55AA9" w:rsidRDefault="00F55AA9" w:rsidP="00F55AA9">
      <w:pPr>
        <w:rPr>
          <w:b/>
        </w:rPr>
      </w:pPr>
      <w:r w:rsidRPr="00F55AA9">
        <w:rPr>
          <w:b/>
        </w:rPr>
        <w:t>List:</w:t>
      </w:r>
    </w:p>
    <w:p w:rsidR="004634D5" w:rsidRPr="00F55AA9" w:rsidRDefault="00A4135D" w:rsidP="00F55AA9">
      <w:pPr>
        <w:pStyle w:val="ListParagraph"/>
        <w:numPr>
          <w:ilvl w:val="0"/>
          <w:numId w:val="1"/>
        </w:numPr>
        <w:ind w:right="-720"/>
        <w:rPr>
          <w:b/>
        </w:rPr>
      </w:pPr>
      <w:r w:rsidRPr="00A4135D">
        <w:rPr>
          <w:b/>
          <w:i/>
        </w:rPr>
        <w:t>State Revenues</w:t>
      </w:r>
      <w:r>
        <w:t xml:space="preserve">. </w:t>
      </w:r>
      <w:r w:rsidR="00650587">
        <w:t xml:space="preserve">Changes in State Revenue in </w:t>
      </w:r>
      <w:r w:rsidR="003B49EA">
        <w:t xml:space="preserve">the recently </w:t>
      </w:r>
      <w:r w:rsidR="00650587">
        <w:t>Adopted State Budget</w:t>
      </w:r>
      <w:r w:rsidR="003B49EA">
        <w:t xml:space="preserve"> are outlined below.  The e</w:t>
      </w:r>
      <w:r w:rsidR="007A7202">
        <w:t xml:space="preserve">stimated increase of $3.7 million compared to Mayor’s Proposed </w:t>
      </w:r>
      <w:r w:rsidR="003B49EA">
        <w:t xml:space="preserve">Budget. </w:t>
      </w:r>
      <w:r w:rsidR="004634D5">
        <w:t xml:space="preserve"> </w:t>
      </w:r>
      <w:r w:rsidR="003B49EA">
        <w:t>As noted below, the may be questions if $2.35 million of this amount is ongoing or one</w:t>
      </w:r>
      <w:r w:rsidR="004634D5">
        <w:t>-time in natur</w:t>
      </w:r>
      <w:r w:rsidR="00F55AA9">
        <w:t xml:space="preserve">e.  Such funds, could perhaps, </w:t>
      </w:r>
      <w:r w:rsidR="004634D5">
        <w:t>therefore, be considered for bolstering the City’s pension fund or fund balance</w:t>
      </w:r>
      <w:r w:rsidR="00F55AA9">
        <w:t xml:space="preserve"> or for a similar use</w:t>
      </w:r>
      <w:r w:rsidR="004634D5">
        <w:t>.</w:t>
      </w:r>
    </w:p>
    <w:tbl>
      <w:tblPr>
        <w:tblStyle w:val="TableGrid"/>
        <w:tblpPr w:leftFromText="180" w:rightFromText="180" w:vertAnchor="page" w:horzAnchor="margin" w:tblpY="3859"/>
        <w:tblW w:w="13495" w:type="dxa"/>
        <w:tblLook w:val="04A0" w:firstRow="1" w:lastRow="0" w:firstColumn="1" w:lastColumn="0" w:noHBand="0" w:noVBand="1"/>
      </w:tblPr>
      <w:tblGrid>
        <w:gridCol w:w="2424"/>
        <w:gridCol w:w="1735"/>
        <w:gridCol w:w="1955"/>
        <w:gridCol w:w="1981"/>
        <w:gridCol w:w="1710"/>
        <w:gridCol w:w="1980"/>
        <w:gridCol w:w="1710"/>
      </w:tblGrid>
      <w:tr w:rsidR="00F55AA9" w:rsidRPr="00BD7AAD" w:rsidTr="00F55AA9">
        <w:trPr>
          <w:trHeight w:val="300"/>
        </w:trPr>
        <w:tc>
          <w:tcPr>
            <w:tcW w:w="2424" w:type="dxa"/>
            <w:noWrap/>
            <w:hideMark/>
          </w:tcPr>
          <w:p w:rsidR="00F55AA9" w:rsidRPr="00BD7AAD" w:rsidRDefault="00F55AA9" w:rsidP="00F55AA9">
            <w:pPr>
              <w:rPr>
                <w:b/>
                <w:bCs/>
              </w:rPr>
            </w:pPr>
          </w:p>
        </w:tc>
        <w:tc>
          <w:tcPr>
            <w:tcW w:w="1735" w:type="dxa"/>
            <w:noWrap/>
            <w:hideMark/>
          </w:tcPr>
          <w:p w:rsidR="00F55AA9" w:rsidRPr="00BD7AAD" w:rsidRDefault="00F55AA9" w:rsidP="00F55AA9">
            <w:pPr>
              <w:jc w:val="center"/>
              <w:rPr>
                <w:b/>
                <w:bCs/>
              </w:rPr>
            </w:pPr>
            <w:r w:rsidRPr="00BD7AAD">
              <w:rPr>
                <w:b/>
                <w:bCs/>
              </w:rPr>
              <w:t>City’s</w:t>
            </w:r>
          </w:p>
          <w:p w:rsidR="00F55AA9" w:rsidRPr="00BD7AAD" w:rsidRDefault="00F55AA9" w:rsidP="00F55AA9">
            <w:pPr>
              <w:jc w:val="center"/>
              <w:rPr>
                <w:b/>
                <w:bCs/>
                <w:u w:val="single"/>
              </w:rPr>
            </w:pPr>
            <w:r w:rsidRPr="00BD7AAD">
              <w:rPr>
                <w:b/>
                <w:bCs/>
                <w:u w:val="single"/>
              </w:rPr>
              <w:t>FY17 Actual</w:t>
            </w:r>
          </w:p>
        </w:tc>
        <w:tc>
          <w:tcPr>
            <w:tcW w:w="1955" w:type="dxa"/>
            <w:noWrap/>
            <w:hideMark/>
          </w:tcPr>
          <w:p w:rsidR="00F55AA9" w:rsidRDefault="00F55AA9" w:rsidP="00F55AA9">
            <w:pPr>
              <w:jc w:val="center"/>
              <w:rPr>
                <w:b/>
                <w:bCs/>
                <w:u w:val="single"/>
              </w:rPr>
            </w:pPr>
            <w:r w:rsidRPr="00BD7AAD">
              <w:rPr>
                <w:b/>
                <w:bCs/>
              </w:rPr>
              <w:t>Mayor's</w:t>
            </w:r>
          </w:p>
          <w:p w:rsidR="00F55AA9" w:rsidRPr="00BD7AAD" w:rsidRDefault="00F55AA9" w:rsidP="00F55AA9">
            <w:pPr>
              <w:jc w:val="center"/>
              <w:rPr>
                <w:b/>
                <w:bCs/>
                <w:u w:val="single"/>
              </w:rPr>
            </w:pPr>
            <w:r w:rsidRPr="00BD7AAD">
              <w:rPr>
                <w:b/>
                <w:bCs/>
                <w:u w:val="single"/>
              </w:rPr>
              <w:t>FY19 Budget</w:t>
            </w:r>
          </w:p>
        </w:tc>
        <w:tc>
          <w:tcPr>
            <w:tcW w:w="1981" w:type="dxa"/>
            <w:noWrap/>
            <w:hideMark/>
          </w:tcPr>
          <w:p w:rsidR="00F55AA9" w:rsidRPr="00BD7AAD" w:rsidRDefault="00F55AA9" w:rsidP="00F55AA9">
            <w:pPr>
              <w:jc w:val="center"/>
              <w:rPr>
                <w:b/>
                <w:bCs/>
                <w:u w:val="single"/>
              </w:rPr>
            </w:pPr>
            <w:r>
              <w:rPr>
                <w:b/>
                <w:bCs/>
              </w:rPr>
              <w:t xml:space="preserve">FY19 </w:t>
            </w:r>
            <w:r w:rsidRPr="00BD7AAD">
              <w:rPr>
                <w:b/>
                <w:bCs/>
              </w:rPr>
              <w:t xml:space="preserve">Adopted </w:t>
            </w:r>
            <w:r w:rsidRPr="00BD7AAD">
              <w:rPr>
                <w:b/>
                <w:bCs/>
                <w:u w:val="single"/>
              </w:rPr>
              <w:t>State Budget</w:t>
            </w:r>
            <w:r>
              <w:rPr>
                <w:b/>
                <w:bCs/>
                <w:u w:val="single"/>
              </w:rPr>
              <w:t xml:space="preserve"> </w:t>
            </w:r>
          </w:p>
        </w:tc>
        <w:tc>
          <w:tcPr>
            <w:tcW w:w="1710" w:type="dxa"/>
            <w:noWrap/>
            <w:hideMark/>
          </w:tcPr>
          <w:p w:rsidR="00F55AA9" w:rsidRPr="00BD7AAD" w:rsidRDefault="00F55AA9" w:rsidP="00F55AA9">
            <w:pPr>
              <w:jc w:val="center"/>
              <w:rPr>
                <w:b/>
                <w:bCs/>
                <w:u w:val="single"/>
              </w:rPr>
            </w:pPr>
            <w:r w:rsidRPr="00BD7AAD">
              <w:rPr>
                <w:b/>
                <w:bCs/>
              </w:rPr>
              <w:t>Governor's</w:t>
            </w:r>
            <w:r w:rsidRPr="00BD7AAD">
              <w:rPr>
                <w:b/>
                <w:bCs/>
                <w:u w:val="single"/>
              </w:rPr>
              <w:t xml:space="preserve"> Proposed FY19</w:t>
            </w:r>
          </w:p>
        </w:tc>
        <w:tc>
          <w:tcPr>
            <w:tcW w:w="1980" w:type="dxa"/>
            <w:noWrap/>
            <w:hideMark/>
          </w:tcPr>
          <w:p w:rsidR="00F55AA9" w:rsidRDefault="00F55AA9" w:rsidP="00F55AA9">
            <w:pPr>
              <w:jc w:val="center"/>
              <w:rPr>
                <w:b/>
                <w:bCs/>
                <w:u w:val="single"/>
              </w:rPr>
            </w:pPr>
          </w:p>
          <w:p w:rsidR="00F55AA9" w:rsidRPr="00650587" w:rsidRDefault="00F55AA9" w:rsidP="00F55AA9">
            <w:pPr>
              <w:jc w:val="center"/>
              <w:rPr>
                <w:b/>
                <w:bCs/>
                <w:u w:val="single"/>
              </w:rPr>
            </w:pPr>
            <w:r w:rsidRPr="00650587">
              <w:rPr>
                <w:b/>
                <w:bCs/>
                <w:u w:val="single"/>
              </w:rPr>
              <w:t>SB 543 FY19</w:t>
            </w:r>
          </w:p>
        </w:tc>
        <w:tc>
          <w:tcPr>
            <w:tcW w:w="1710" w:type="dxa"/>
            <w:noWrap/>
            <w:hideMark/>
          </w:tcPr>
          <w:p w:rsidR="00F55AA9" w:rsidRDefault="00F55AA9" w:rsidP="00F55AA9">
            <w:pPr>
              <w:jc w:val="center"/>
              <w:rPr>
                <w:b/>
                <w:bCs/>
              </w:rPr>
            </w:pPr>
            <w:r>
              <w:rPr>
                <w:b/>
                <w:bCs/>
              </w:rPr>
              <w:t>Difference</w:t>
            </w:r>
          </w:p>
          <w:p w:rsidR="00F55AA9" w:rsidRPr="00BD7AAD" w:rsidRDefault="00F55AA9" w:rsidP="00F55AA9">
            <w:pPr>
              <w:jc w:val="center"/>
              <w:rPr>
                <w:b/>
                <w:bCs/>
                <w:u w:val="single"/>
              </w:rPr>
            </w:pPr>
            <w:r w:rsidRPr="00BD7AAD">
              <w:rPr>
                <w:b/>
                <w:bCs/>
                <w:u w:val="single"/>
              </w:rPr>
              <w:t xml:space="preserve">Mayor </w:t>
            </w:r>
            <w:r>
              <w:rPr>
                <w:b/>
                <w:bCs/>
                <w:u w:val="single"/>
              </w:rPr>
              <w:t xml:space="preserve">&amp; </w:t>
            </w:r>
            <w:r w:rsidRPr="00BD7AAD">
              <w:rPr>
                <w:b/>
                <w:bCs/>
                <w:u w:val="single"/>
              </w:rPr>
              <w:t>SB543</w:t>
            </w:r>
          </w:p>
        </w:tc>
      </w:tr>
      <w:tr w:rsidR="00F55AA9" w:rsidRPr="00BD7AAD" w:rsidTr="00F55AA9">
        <w:trPr>
          <w:trHeight w:val="300"/>
        </w:trPr>
        <w:tc>
          <w:tcPr>
            <w:tcW w:w="2424" w:type="dxa"/>
            <w:noWrap/>
            <w:hideMark/>
          </w:tcPr>
          <w:p w:rsidR="00F55AA9" w:rsidRPr="00BD7AAD" w:rsidRDefault="00F55AA9" w:rsidP="00F55AA9">
            <w:r w:rsidRPr="00BD7AAD">
              <w:t>Education Cost Sharing</w:t>
            </w:r>
          </w:p>
        </w:tc>
        <w:tc>
          <w:tcPr>
            <w:tcW w:w="1735" w:type="dxa"/>
            <w:noWrap/>
            <w:hideMark/>
          </w:tcPr>
          <w:p w:rsidR="00F55AA9" w:rsidRPr="00BD7AAD" w:rsidRDefault="00F55AA9" w:rsidP="00F55AA9">
            <w:r w:rsidRPr="00BD7AAD">
              <w:t xml:space="preserve"> $    187,978,172 </w:t>
            </w:r>
          </w:p>
        </w:tc>
        <w:tc>
          <w:tcPr>
            <w:tcW w:w="1955" w:type="dxa"/>
            <w:noWrap/>
            <w:hideMark/>
          </w:tcPr>
          <w:p w:rsidR="00F55AA9" w:rsidRPr="00BD7AAD" w:rsidRDefault="00F55AA9" w:rsidP="00F55AA9">
            <w:r w:rsidRPr="00BD7AAD">
              <w:t xml:space="preserve"> $       187,969,804 </w:t>
            </w:r>
          </w:p>
        </w:tc>
        <w:tc>
          <w:tcPr>
            <w:tcW w:w="1981" w:type="dxa"/>
            <w:noWrap/>
            <w:hideMark/>
          </w:tcPr>
          <w:p w:rsidR="00F55AA9" w:rsidRPr="00BD7AAD" w:rsidRDefault="00F55AA9" w:rsidP="00F55AA9">
            <w:r w:rsidRPr="00BD7AAD">
              <w:t xml:space="preserve"> $    202,231,881 </w:t>
            </w:r>
          </w:p>
        </w:tc>
        <w:tc>
          <w:tcPr>
            <w:tcW w:w="1710" w:type="dxa"/>
            <w:noWrap/>
            <w:hideMark/>
          </w:tcPr>
          <w:p w:rsidR="00F55AA9" w:rsidRPr="00BD7AAD" w:rsidRDefault="00F55AA9" w:rsidP="00F55AA9">
            <w:r w:rsidRPr="00BD7AAD">
              <w:t xml:space="preserve"> $ 203,631,925 </w:t>
            </w:r>
          </w:p>
        </w:tc>
        <w:tc>
          <w:tcPr>
            <w:tcW w:w="1980" w:type="dxa"/>
            <w:noWrap/>
            <w:hideMark/>
          </w:tcPr>
          <w:p w:rsidR="00F55AA9" w:rsidRPr="00BD7AAD" w:rsidRDefault="00F55AA9" w:rsidP="00F55AA9">
            <w:r w:rsidRPr="00BD7AAD">
              <w:t xml:space="preserve"> $        202,425,081 </w:t>
            </w:r>
          </w:p>
        </w:tc>
        <w:tc>
          <w:tcPr>
            <w:tcW w:w="1710" w:type="dxa"/>
            <w:noWrap/>
            <w:hideMark/>
          </w:tcPr>
          <w:p w:rsidR="00F55AA9" w:rsidRPr="00BD7AAD" w:rsidRDefault="00F55AA9" w:rsidP="00F55AA9">
            <w:pPr>
              <w:rPr>
                <w:sz w:val="24"/>
                <w:szCs w:val="24"/>
                <w:vertAlign w:val="subscript"/>
              </w:rPr>
            </w:pPr>
            <w:r>
              <w:rPr>
                <w:sz w:val="24"/>
                <w:szCs w:val="24"/>
                <w:vertAlign w:val="subscript"/>
              </w:rPr>
              <w:t>Note: Alliance District: Balance to BOE*</w:t>
            </w:r>
          </w:p>
        </w:tc>
      </w:tr>
      <w:tr w:rsidR="00F55AA9" w:rsidRPr="00BD7AAD" w:rsidTr="00F55AA9">
        <w:trPr>
          <w:trHeight w:val="300"/>
        </w:trPr>
        <w:tc>
          <w:tcPr>
            <w:tcW w:w="2424" w:type="dxa"/>
            <w:noWrap/>
            <w:hideMark/>
          </w:tcPr>
          <w:p w:rsidR="00F55AA9" w:rsidRPr="00BD7AAD" w:rsidRDefault="00F55AA9" w:rsidP="00F55AA9">
            <w:r w:rsidRPr="00BD7AAD">
              <w:t>Highway</w:t>
            </w:r>
          </w:p>
        </w:tc>
        <w:tc>
          <w:tcPr>
            <w:tcW w:w="1735" w:type="dxa"/>
            <w:noWrap/>
            <w:hideMark/>
          </w:tcPr>
          <w:p w:rsidR="00F55AA9" w:rsidRPr="00BD7AAD" w:rsidRDefault="00F55AA9" w:rsidP="00F55AA9">
            <w:r w:rsidRPr="00BD7AAD">
              <w:t xml:space="preserve"> $        1,198,978 </w:t>
            </w:r>
          </w:p>
        </w:tc>
        <w:tc>
          <w:tcPr>
            <w:tcW w:w="1955" w:type="dxa"/>
            <w:noWrap/>
            <w:hideMark/>
          </w:tcPr>
          <w:p w:rsidR="00F55AA9" w:rsidRPr="00BD7AAD" w:rsidRDefault="00F55AA9" w:rsidP="00F55AA9">
            <w:r w:rsidRPr="00BD7AAD">
              <w:t xml:space="preserve"> $            1,194,825 </w:t>
            </w:r>
          </w:p>
        </w:tc>
        <w:tc>
          <w:tcPr>
            <w:tcW w:w="1981" w:type="dxa"/>
            <w:noWrap/>
            <w:hideMark/>
          </w:tcPr>
          <w:p w:rsidR="00F55AA9" w:rsidRPr="00BD7AAD" w:rsidRDefault="00F55AA9" w:rsidP="00F55AA9">
            <w:r w:rsidRPr="00BD7AAD">
              <w:t xml:space="preserve"> $         1,198,978 </w:t>
            </w:r>
          </w:p>
        </w:tc>
        <w:tc>
          <w:tcPr>
            <w:tcW w:w="1710" w:type="dxa"/>
            <w:noWrap/>
            <w:hideMark/>
          </w:tcPr>
          <w:p w:rsidR="00F55AA9" w:rsidRPr="00BD7AAD" w:rsidRDefault="00F55AA9" w:rsidP="00F55AA9">
            <w:r w:rsidRPr="00BD7AAD">
              <w:t xml:space="preserve"> $      1,194,825 </w:t>
            </w:r>
          </w:p>
        </w:tc>
        <w:tc>
          <w:tcPr>
            <w:tcW w:w="1980" w:type="dxa"/>
            <w:noWrap/>
            <w:hideMark/>
          </w:tcPr>
          <w:p w:rsidR="00F55AA9" w:rsidRPr="00BD7AAD" w:rsidRDefault="00F55AA9" w:rsidP="00F55AA9">
            <w:r w:rsidRPr="00BD7AAD">
              <w:t xml:space="preserve"> $             1,194,825 </w:t>
            </w:r>
          </w:p>
        </w:tc>
        <w:tc>
          <w:tcPr>
            <w:tcW w:w="1710" w:type="dxa"/>
            <w:noWrap/>
            <w:hideMark/>
          </w:tcPr>
          <w:p w:rsidR="00F55AA9" w:rsidRPr="00BD7AAD" w:rsidRDefault="00F55AA9" w:rsidP="00F55AA9">
            <w:r w:rsidRPr="00BD7AAD">
              <w:t xml:space="preserve"> $                      -   </w:t>
            </w:r>
          </w:p>
        </w:tc>
      </w:tr>
      <w:tr w:rsidR="00F55AA9" w:rsidRPr="00BD7AAD" w:rsidTr="00F55AA9">
        <w:trPr>
          <w:trHeight w:val="300"/>
        </w:trPr>
        <w:tc>
          <w:tcPr>
            <w:tcW w:w="2424" w:type="dxa"/>
            <w:noWrap/>
            <w:hideMark/>
          </w:tcPr>
          <w:p w:rsidR="00F55AA9" w:rsidRPr="00BD7AAD" w:rsidRDefault="00F55AA9" w:rsidP="00F55AA9">
            <w:r w:rsidRPr="00BD7AAD">
              <w:t>Mashantucket Pequot</w:t>
            </w:r>
          </w:p>
        </w:tc>
        <w:tc>
          <w:tcPr>
            <w:tcW w:w="1735" w:type="dxa"/>
            <w:noWrap/>
            <w:hideMark/>
          </w:tcPr>
          <w:p w:rsidR="00F55AA9" w:rsidRPr="00BD7AAD" w:rsidRDefault="00F55AA9" w:rsidP="00F55AA9">
            <w:r w:rsidRPr="00BD7AAD">
              <w:t xml:space="preserve"> $        6,263,314 </w:t>
            </w:r>
          </w:p>
        </w:tc>
        <w:tc>
          <w:tcPr>
            <w:tcW w:w="1955" w:type="dxa"/>
            <w:noWrap/>
            <w:hideMark/>
          </w:tcPr>
          <w:p w:rsidR="00F55AA9" w:rsidRPr="00BD7AAD" w:rsidRDefault="00F55AA9" w:rsidP="00F55AA9">
            <w:r w:rsidRPr="00BD7AAD">
              <w:t xml:space="preserve"> $            6,136,523 </w:t>
            </w:r>
          </w:p>
        </w:tc>
        <w:tc>
          <w:tcPr>
            <w:tcW w:w="1981" w:type="dxa"/>
            <w:noWrap/>
            <w:hideMark/>
          </w:tcPr>
          <w:p w:rsidR="00F55AA9" w:rsidRPr="00BD7AAD" w:rsidRDefault="00F55AA9" w:rsidP="00F55AA9">
            <w:r w:rsidRPr="00BD7AAD">
              <w:t xml:space="preserve"> $         6,136,523 </w:t>
            </w:r>
          </w:p>
        </w:tc>
        <w:tc>
          <w:tcPr>
            <w:tcW w:w="1710" w:type="dxa"/>
            <w:noWrap/>
            <w:hideMark/>
          </w:tcPr>
          <w:p w:rsidR="00F55AA9" w:rsidRPr="00BD7AAD" w:rsidRDefault="00F55AA9" w:rsidP="00F55AA9">
            <w:r w:rsidRPr="00BD7AAD">
              <w:t xml:space="preserve"> $      6,136,523 </w:t>
            </w:r>
          </w:p>
        </w:tc>
        <w:tc>
          <w:tcPr>
            <w:tcW w:w="1980" w:type="dxa"/>
            <w:noWrap/>
            <w:hideMark/>
          </w:tcPr>
          <w:p w:rsidR="00F55AA9" w:rsidRPr="00BD7AAD" w:rsidRDefault="00F55AA9" w:rsidP="00F55AA9">
            <w:r w:rsidRPr="00BD7AAD">
              <w:t xml:space="preserve"> $             6,136,523 </w:t>
            </w:r>
          </w:p>
        </w:tc>
        <w:tc>
          <w:tcPr>
            <w:tcW w:w="1710" w:type="dxa"/>
            <w:noWrap/>
            <w:hideMark/>
          </w:tcPr>
          <w:p w:rsidR="00F55AA9" w:rsidRPr="00BD7AAD" w:rsidRDefault="00F55AA9" w:rsidP="00F55AA9">
            <w:r w:rsidRPr="00BD7AAD">
              <w:t xml:space="preserve"> $                      -   </w:t>
            </w:r>
          </w:p>
        </w:tc>
      </w:tr>
      <w:tr w:rsidR="00F55AA9" w:rsidRPr="00BD7AAD" w:rsidTr="00F55AA9">
        <w:trPr>
          <w:trHeight w:val="300"/>
        </w:trPr>
        <w:tc>
          <w:tcPr>
            <w:tcW w:w="2424" w:type="dxa"/>
            <w:noWrap/>
            <w:hideMark/>
          </w:tcPr>
          <w:p w:rsidR="00F55AA9" w:rsidRPr="00BD7AAD" w:rsidRDefault="00F55AA9" w:rsidP="00F55AA9">
            <w:r w:rsidRPr="00BD7AAD">
              <w:t>Oath State, MRSA Bond</w:t>
            </w:r>
          </w:p>
        </w:tc>
        <w:tc>
          <w:tcPr>
            <w:tcW w:w="1735" w:type="dxa"/>
            <w:noWrap/>
            <w:hideMark/>
          </w:tcPr>
          <w:p w:rsidR="00F55AA9" w:rsidRPr="00BD7AAD" w:rsidRDefault="00F55AA9" w:rsidP="00F55AA9">
            <w:r w:rsidRPr="00BD7AAD">
              <w:t xml:space="preserve"> $        1,487,099 </w:t>
            </w:r>
          </w:p>
        </w:tc>
        <w:tc>
          <w:tcPr>
            <w:tcW w:w="1955" w:type="dxa"/>
            <w:noWrap/>
            <w:hideMark/>
          </w:tcPr>
          <w:p w:rsidR="00F55AA9" w:rsidRPr="00BD7AAD" w:rsidRDefault="00F55AA9" w:rsidP="00F55AA9">
            <w:r w:rsidRPr="00BD7AAD">
              <w:t xml:space="preserve"> $            1,500,161 </w:t>
            </w:r>
          </w:p>
        </w:tc>
        <w:tc>
          <w:tcPr>
            <w:tcW w:w="1981" w:type="dxa"/>
            <w:noWrap/>
            <w:hideMark/>
          </w:tcPr>
          <w:p w:rsidR="00F55AA9" w:rsidRPr="00BD7AAD" w:rsidRDefault="00F55AA9" w:rsidP="00F55AA9">
            <w:r w:rsidRPr="00BD7AAD">
              <w:t xml:space="preserve"> $         1,419,161 </w:t>
            </w:r>
          </w:p>
        </w:tc>
        <w:tc>
          <w:tcPr>
            <w:tcW w:w="1710" w:type="dxa"/>
            <w:noWrap/>
            <w:hideMark/>
          </w:tcPr>
          <w:p w:rsidR="00F55AA9" w:rsidRPr="00BD7AAD" w:rsidRDefault="00F55AA9" w:rsidP="00F55AA9">
            <w:r w:rsidRPr="00BD7AAD">
              <w:t xml:space="preserve"> $      1,419,161 </w:t>
            </w:r>
          </w:p>
        </w:tc>
        <w:tc>
          <w:tcPr>
            <w:tcW w:w="1980" w:type="dxa"/>
            <w:noWrap/>
            <w:hideMark/>
          </w:tcPr>
          <w:p w:rsidR="00F55AA9" w:rsidRPr="00BD7AAD" w:rsidRDefault="00F55AA9" w:rsidP="00F55AA9">
            <w:r w:rsidRPr="00BD7AAD">
              <w:t xml:space="preserve"> $             1,419,161 </w:t>
            </w:r>
          </w:p>
        </w:tc>
        <w:tc>
          <w:tcPr>
            <w:tcW w:w="1710" w:type="dxa"/>
            <w:noWrap/>
            <w:hideMark/>
          </w:tcPr>
          <w:p w:rsidR="00F55AA9" w:rsidRPr="00BD7AAD" w:rsidRDefault="00F55AA9" w:rsidP="00F55AA9">
            <w:r w:rsidRPr="00BD7AAD">
              <w:t xml:space="preserve"> $                      -   </w:t>
            </w:r>
          </w:p>
        </w:tc>
      </w:tr>
      <w:tr w:rsidR="00F55AA9" w:rsidRPr="00BD7AAD" w:rsidTr="00F55AA9">
        <w:trPr>
          <w:trHeight w:val="300"/>
        </w:trPr>
        <w:tc>
          <w:tcPr>
            <w:tcW w:w="2424" w:type="dxa"/>
            <w:noWrap/>
            <w:hideMark/>
          </w:tcPr>
          <w:p w:rsidR="00F55AA9" w:rsidRPr="00BD7AAD" w:rsidRDefault="00F55AA9" w:rsidP="00F55AA9">
            <w:r w:rsidRPr="00BD7AAD">
              <w:t>State-Owned Prop</w:t>
            </w:r>
          </w:p>
        </w:tc>
        <w:tc>
          <w:tcPr>
            <w:tcW w:w="1735" w:type="dxa"/>
            <w:noWrap/>
            <w:hideMark/>
          </w:tcPr>
          <w:p w:rsidR="00F55AA9" w:rsidRPr="00BD7AAD" w:rsidRDefault="00F55AA9" w:rsidP="00F55AA9">
            <w:r w:rsidRPr="00BD7AAD">
              <w:t xml:space="preserve"> $      13,560,353 </w:t>
            </w:r>
          </w:p>
        </w:tc>
        <w:tc>
          <w:tcPr>
            <w:tcW w:w="1955" w:type="dxa"/>
            <w:noWrap/>
            <w:hideMark/>
          </w:tcPr>
          <w:p w:rsidR="00F55AA9" w:rsidRPr="00BD7AAD" w:rsidRDefault="00F55AA9" w:rsidP="00F55AA9">
            <w:r w:rsidRPr="00BD7AAD">
              <w:t xml:space="preserve"> $            9,924,360 </w:t>
            </w:r>
          </w:p>
        </w:tc>
        <w:tc>
          <w:tcPr>
            <w:tcW w:w="1981" w:type="dxa"/>
            <w:noWrap/>
            <w:hideMark/>
          </w:tcPr>
          <w:p w:rsidR="00F55AA9" w:rsidRPr="00BD7AAD" w:rsidRDefault="00F55AA9" w:rsidP="00F55AA9">
            <w:r w:rsidRPr="00BD7AAD">
              <w:t xml:space="preserve"> $      10,162,953 </w:t>
            </w:r>
          </w:p>
        </w:tc>
        <w:tc>
          <w:tcPr>
            <w:tcW w:w="1710" w:type="dxa"/>
            <w:noWrap/>
            <w:hideMark/>
          </w:tcPr>
          <w:p w:rsidR="00F55AA9" w:rsidRPr="00BD7AAD" w:rsidRDefault="00F55AA9" w:rsidP="00F55AA9">
            <w:r w:rsidRPr="00BD7AAD">
              <w:t xml:space="preserve"> $      9,924,360 </w:t>
            </w:r>
          </w:p>
        </w:tc>
        <w:tc>
          <w:tcPr>
            <w:tcW w:w="1980" w:type="dxa"/>
            <w:noWrap/>
            <w:hideMark/>
          </w:tcPr>
          <w:p w:rsidR="00F55AA9" w:rsidRPr="00BD7AAD" w:rsidRDefault="00F55AA9" w:rsidP="00F55AA9">
            <w:r w:rsidRPr="00BD7AAD">
              <w:t xml:space="preserve"> $          10,162,953 </w:t>
            </w:r>
          </w:p>
        </w:tc>
        <w:tc>
          <w:tcPr>
            <w:tcW w:w="1710" w:type="dxa"/>
            <w:noWrap/>
            <w:hideMark/>
          </w:tcPr>
          <w:p w:rsidR="00F55AA9" w:rsidRPr="00BD7AAD" w:rsidRDefault="00F55AA9" w:rsidP="00F55AA9">
            <w:r w:rsidRPr="00BD7AAD">
              <w:t xml:space="preserve"> $          238,593 </w:t>
            </w:r>
          </w:p>
        </w:tc>
      </w:tr>
      <w:tr w:rsidR="00F55AA9" w:rsidRPr="00BD7AAD" w:rsidTr="00F55AA9">
        <w:trPr>
          <w:trHeight w:val="300"/>
        </w:trPr>
        <w:tc>
          <w:tcPr>
            <w:tcW w:w="2424" w:type="dxa"/>
            <w:noWrap/>
            <w:hideMark/>
          </w:tcPr>
          <w:p w:rsidR="00F55AA9" w:rsidRPr="00BD7AAD" w:rsidRDefault="00F55AA9" w:rsidP="00F55AA9">
            <w:r w:rsidRPr="00BD7AAD">
              <w:t>MRSA Select PILOT</w:t>
            </w:r>
          </w:p>
        </w:tc>
        <w:tc>
          <w:tcPr>
            <w:tcW w:w="1735" w:type="dxa"/>
            <w:noWrap/>
            <w:hideMark/>
          </w:tcPr>
          <w:p w:rsidR="00F55AA9" w:rsidRPr="00BD7AAD" w:rsidRDefault="00F55AA9" w:rsidP="00F55AA9">
            <w:r w:rsidRPr="00BD7AAD">
              <w:t xml:space="preserve"> $      11,883,205 </w:t>
            </w:r>
          </w:p>
        </w:tc>
        <w:tc>
          <w:tcPr>
            <w:tcW w:w="1955" w:type="dxa"/>
            <w:noWrap/>
            <w:hideMark/>
          </w:tcPr>
          <w:p w:rsidR="00F55AA9" w:rsidRPr="00BD7AAD" w:rsidRDefault="00F55AA9" w:rsidP="00F55AA9">
            <w:r w:rsidRPr="00BD7AAD">
              <w:t xml:space="preserve"> $         11,883,205 </w:t>
            </w:r>
          </w:p>
        </w:tc>
        <w:tc>
          <w:tcPr>
            <w:tcW w:w="1981" w:type="dxa"/>
            <w:noWrap/>
            <w:hideMark/>
          </w:tcPr>
          <w:p w:rsidR="00F55AA9" w:rsidRPr="00BD7AAD" w:rsidRDefault="00F55AA9" w:rsidP="00F55AA9">
            <w:r w:rsidRPr="00BD7AAD">
              <w:t xml:space="preserve"> $      12,422,113 </w:t>
            </w:r>
          </w:p>
        </w:tc>
        <w:tc>
          <w:tcPr>
            <w:tcW w:w="1710" w:type="dxa"/>
            <w:noWrap/>
            <w:hideMark/>
          </w:tcPr>
          <w:p w:rsidR="00F55AA9" w:rsidRPr="00BD7AAD" w:rsidRDefault="00F55AA9" w:rsidP="00F55AA9">
            <w:r w:rsidRPr="00BD7AAD">
              <w:t xml:space="preserve"> $    11,883,205 </w:t>
            </w:r>
          </w:p>
        </w:tc>
        <w:tc>
          <w:tcPr>
            <w:tcW w:w="1980" w:type="dxa"/>
            <w:noWrap/>
            <w:hideMark/>
          </w:tcPr>
          <w:p w:rsidR="00F55AA9" w:rsidRPr="00BD7AAD" w:rsidRDefault="00F55AA9" w:rsidP="00F55AA9">
            <w:r w:rsidRPr="00BD7AAD">
              <w:t xml:space="preserve"> $          12,422,113 </w:t>
            </w:r>
          </w:p>
        </w:tc>
        <w:tc>
          <w:tcPr>
            <w:tcW w:w="1710" w:type="dxa"/>
            <w:noWrap/>
            <w:hideMark/>
          </w:tcPr>
          <w:p w:rsidR="00F55AA9" w:rsidRPr="00BD7AAD" w:rsidRDefault="00F55AA9" w:rsidP="00F55AA9">
            <w:r w:rsidRPr="00BD7AAD">
              <w:t xml:space="preserve"> $          538,908 </w:t>
            </w:r>
          </w:p>
        </w:tc>
      </w:tr>
      <w:tr w:rsidR="00F55AA9" w:rsidRPr="00BD7AAD" w:rsidTr="00F55AA9">
        <w:trPr>
          <w:trHeight w:val="300"/>
        </w:trPr>
        <w:tc>
          <w:tcPr>
            <w:tcW w:w="2424" w:type="dxa"/>
            <w:noWrap/>
            <w:hideMark/>
          </w:tcPr>
          <w:p w:rsidR="00F55AA9" w:rsidRPr="00BD7AAD" w:rsidRDefault="00F55AA9" w:rsidP="00F55AA9">
            <w:r w:rsidRPr="00BD7AAD">
              <w:t>MRSA Rev Sharing Gr</w:t>
            </w:r>
            <w:r>
              <w:t>**</w:t>
            </w:r>
          </w:p>
        </w:tc>
        <w:tc>
          <w:tcPr>
            <w:tcW w:w="1735" w:type="dxa"/>
            <w:noWrap/>
            <w:hideMark/>
          </w:tcPr>
          <w:p w:rsidR="00F55AA9" w:rsidRPr="00BD7AAD" w:rsidRDefault="00F55AA9" w:rsidP="00F55AA9">
            <w:r w:rsidRPr="00BD7AAD">
              <w:t xml:space="preserve"> $      13,908,437 </w:t>
            </w:r>
          </w:p>
        </w:tc>
        <w:tc>
          <w:tcPr>
            <w:tcW w:w="1955" w:type="dxa"/>
            <w:noWrap/>
            <w:hideMark/>
          </w:tcPr>
          <w:p w:rsidR="00F55AA9" w:rsidRPr="00BD7AAD" w:rsidRDefault="00F55AA9" w:rsidP="00F55AA9">
            <w:r w:rsidRPr="00BD7AAD">
              <w:t xml:space="preserve"> $            8,724,489 </w:t>
            </w:r>
          </w:p>
        </w:tc>
        <w:tc>
          <w:tcPr>
            <w:tcW w:w="1981" w:type="dxa"/>
            <w:noWrap/>
            <w:hideMark/>
          </w:tcPr>
          <w:p w:rsidR="00F55AA9" w:rsidRPr="00BD7AAD" w:rsidRDefault="00F55AA9" w:rsidP="00F55AA9">
            <w:r w:rsidRPr="00BD7AAD">
              <w:t xml:space="preserve"> $      10,106,845 </w:t>
            </w:r>
          </w:p>
        </w:tc>
        <w:tc>
          <w:tcPr>
            <w:tcW w:w="1710" w:type="dxa"/>
            <w:noWrap/>
            <w:hideMark/>
          </w:tcPr>
          <w:p w:rsidR="00F55AA9" w:rsidRPr="00BD7AAD" w:rsidRDefault="00F55AA9" w:rsidP="00F55AA9">
            <w:r w:rsidRPr="00BD7AAD">
              <w:t xml:space="preserve"> $      8,724,489 </w:t>
            </w:r>
          </w:p>
        </w:tc>
        <w:tc>
          <w:tcPr>
            <w:tcW w:w="1980" w:type="dxa"/>
            <w:noWrap/>
            <w:hideMark/>
          </w:tcPr>
          <w:p w:rsidR="00F55AA9" w:rsidRPr="00BD7AAD" w:rsidRDefault="00F55AA9" w:rsidP="00F55AA9">
            <w:r w:rsidRPr="00BD7AAD">
              <w:t xml:space="preserve"> $          11,078,328 </w:t>
            </w:r>
          </w:p>
        </w:tc>
        <w:tc>
          <w:tcPr>
            <w:tcW w:w="1710" w:type="dxa"/>
            <w:noWrap/>
            <w:hideMark/>
          </w:tcPr>
          <w:p w:rsidR="00F55AA9" w:rsidRPr="00BD7AAD" w:rsidRDefault="00F55AA9" w:rsidP="00F55AA9">
            <w:r w:rsidRPr="00BD7AAD">
              <w:t xml:space="preserve"> $       2,353,839 </w:t>
            </w:r>
          </w:p>
        </w:tc>
      </w:tr>
      <w:tr w:rsidR="00F55AA9" w:rsidRPr="00BD7AAD" w:rsidTr="00F55AA9">
        <w:trPr>
          <w:trHeight w:val="300"/>
        </w:trPr>
        <w:tc>
          <w:tcPr>
            <w:tcW w:w="2424" w:type="dxa"/>
            <w:noWrap/>
            <w:hideMark/>
          </w:tcPr>
          <w:p w:rsidR="00F55AA9" w:rsidRPr="00BD7AAD" w:rsidRDefault="00F55AA9" w:rsidP="00F55AA9">
            <w:proofErr w:type="spellStart"/>
            <w:r w:rsidRPr="00BD7AAD">
              <w:t>Priv</w:t>
            </w:r>
            <w:proofErr w:type="spellEnd"/>
            <w:r w:rsidRPr="00BD7AAD">
              <w:t xml:space="preserve"> Tax Exempt Prop </w:t>
            </w:r>
          </w:p>
        </w:tc>
        <w:tc>
          <w:tcPr>
            <w:tcW w:w="1735" w:type="dxa"/>
            <w:noWrap/>
            <w:hideMark/>
          </w:tcPr>
          <w:p w:rsidR="00F55AA9" w:rsidRPr="00BD7AAD" w:rsidRDefault="00F55AA9" w:rsidP="00F55AA9">
            <w:r w:rsidRPr="00BD7AAD">
              <w:t xml:space="preserve"> $      23,664,027 </w:t>
            </w:r>
          </w:p>
        </w:tc>
        <w:tc>
          <w:tcPr>
            <w:tcW w:w="1955" w:type="dxa"/>
            <w:noWrap/>
            <w:hideMark/>
          </w:tcPr>
          <w:p w:rsidR="00F55AA9" w:rsidRPr="00BD7AAD" w:rsidRDefault="00F55AA9" w:rsidP="00F55AA9">
            <w:r w:rsidRPr="00BD7AAD">
              <w:t xml:space="preserve"> $         19,533,085 </w:t>
            </w:r>
          </w:p>
        </w:tc>
        <w:tc>
          <w:tcPr>
            <w:tcW w:w="1981" w:type="dxa"/>
            <w:noWrap/>
            <w:hideMark/>
          </w:tcPr>
          <w:p w:rsidR="00F55AA9" w:rsidRPr="00BD7AAD" w:rsidRDefault="00F55AA9" w:rsidP="00F55AA9">
            <w:r w:rsidRPr="00BD7AAD">
              <w:t xml:space="preserve"> $      20,009,758 </w:t>
            </w:r>
          </w:p>
        </w:tc>
        <w:tc>
          <w:tcPr>
            <w:tcW w:w="1710" w:type="dxa"/>
            <w:noWrap/>
            <w:hideMark/>
          </w:tcPr>
          <w:p w:rsidR="00F55AA9" w:rsidRPr="00BD7AAD" w:rsidRDefault="00F55AA9" w:rsidP="00F55AA9">
            <w:r w:rsidRPr="00BD7AAD">
              <w:t xml:space="preserve"> $    19,533,085 </w:t>
            </w:r>
          </w:p>
        </w:tc>
        <w:tc>
          <w:tcPr>
            <w:tcW w:w="1980" w:type="dxa"/>
            <w:noWrap/>
            <w:hideMark/>
          </w:tcPr>
          <w:p w:rsidR="00F55AA9" w:rsidRPr="00BD7AAD" w:rsidRDefault="00F55AA9" w:rsidP="00F55AA9">
            <w:r w:rsidRPr="00BD7AAD">
              <w:t xml:space="preserve"> $          20,009,758 </w:t>
            </w:r>
          </w:p>
        </w:tc>
        <w:tc>
          <w:tcPr>
            <w:tcW w:w="1710" w:type="dxa"/>
            <w:noWrap/>
            <w:hideMark/>
          </w:tcPr>
          <w:p w:rsidR="00F55AA9" w:rsidRPr="00BD7AAD" w:rsidRDefault="00F55AA9" w:rsidP="00F55AA9">
            <w:r w:rsidRPr="00BD7AAD">
              <w:t xml:space="preserve"> $          476,673 </w:t>
            </w:r>
          </w:p>
        </w:tc>
      </w:tr>
      <w:tr w:rsidR="00F55AA9" w:rsidRPr="00BD7AAD" w:rsidTr="00F55AA9">
        <w:trPr>
          <w:trHeight w:val="345"/>
        </w:trPr>
        <w:tc>
          <w:tcPr>
            <w:tcW w:w="2424" w:type="dxa"/>
            <w:noWrap/>
            <w:hideMark/>
          </w:tcPr>
          <w:p w:rsidR="00F55AA9" w:rsidRPr="00BD7AAD" w:rsidRDefault="00F55AA9" w:rsidP="00F55AA9">
            <w:r w:rsidRPr="00BD7AAD">
              <w:t>Muni Stabilization Gr</w:t>
            </w:r>
          </w:p>
        </w:tc>
        <w:tc>
          <w:tcPr>
            <w:tcW w:w="1735" w:type="dxa"/>
            <w:noWrap/>
            <w:hideMark/>
          </w:tcPr>
          <w:p w:rsidR="00F55AA9" w:rsidRPr="00BD7AAD" w:rsidRDefault="00F55AA9" w:rsidP="00F55AA9"/>
        </w:tc>
        <w:tc>
          <w:tcPr>
            <w:tcW w:w="1955" w:type="dxa"/>
            <w:noWrap/>
            <w:hideMark/>
          </w:tcPr>
          <w:p w:rsidR="00F55AA9" w:rsidRPr="00BD7AAD" w:rsidRDefault="00F55AA9" w:rsidP="00F55AA9">
            <w:r w:rsidRPr="00BD7AAD">
              <w:t xml:space="preserve"> $            3,243,513 </w:t>
            </w:r>
          </w:p>
        </w:tc>
        <w:tc>
          <w:tcPr>
            <w:tcW w:w="1981" w:type="dxa"/>
            <w:noWrap/>
            <w:hideMark/>
          </w:tcPr>
          <w:p w:rsidR="00F55AA9" w:rsidRPr="00BD7AAD" w:rsidRDefault="00F55AA9" w:rsidP="00F55AA9">
            <w:r w:rsidRPr="00BD7AAD">
              <w:t xml:space="preserve"> $         3,370,519 </w:t>
            </w:r>
          </w:p>
        </w:tc>
        <w:tc>
          <w:tcPr>
            <w:tcW w:w="1710" w:type="dxa"/>
            <w:noWrap/>
            <w:hideMark/>
          </w:tcPr>
          <w:p w:rsidR="00F55AA9" w:rsidRPr="00BD7AAD" w:rsidRDefault="00F55AA9" w:rsidP="00F55AA9">
            <w:r w:rsidRPr="00BD7AAD">
              <w:t xml:space="preserve"> $      3,243,513 </w:t>
            </w:r>
          </w:p>
        </w:tc>
        <w:tc>
          <w:tcPr>
            <w:tcW w:w="1980" w:type="dxa"/>
            <w:noWrap/>
            <w:hideMark/>
          </w:tcPr>
          <w:p w:rsidR="00F55AA9" w:rsidRPr="00BD7AAD" w:rsidRDefault="00F55AA9" w:rsidP="00F55AA9">
            <w:r w:rsidRPr="00BD7AAD">
              <w:t xml:space="preserve"> $             3,370,519 </w:t>
            </w:r>
          </w:p>
        </w:tc>
        <w:tc>
          <w:tcPr>
            <w:tcW w:w="1710" w:type="dxa"/>
            <w:noWrap/>
            <w:hideMark/>
          </w:tcPr>
          <w:p w:rsidR="00F55AA9" w:rsidRPr="00BD7AAD" w:rsidRDefault="00F55AA9" w:rsidP="00F55AA9">
            <w:pPr>
              <w:rPr>
                <w:u w:val="single"/>
              </w:rPr>
            </w:pPr>
            <w:r w:rsidRPr="00BD7AAD">
              <w:rPr>
                <w:u w:val="single"/>
              </w:rPr>
              <w:t xml:space="preserve"> $          127,006 </w:t>
            </w:r>
          </w:p>
        </w:tc>
      </w:tr>
      <w:tr w:rsidR="00F55AA9" w:rsidRPr="00BD7AAD" w:rsidTr="00F55AA9">
        <w:trPr>
          <w:trHeight w:val="300"/>
        </w:trPr>
        <w:tc>
          <w:tcPr>
            <w:tcW w:w="2424" w:type="dxa"/>
            <w:noWrap/>
          </w:tcPr>
          <w:p w:rsidR="00F55AA9" w:rsidRPr="00BD7AAD" w:rsidRDefault="00F55AA9" w:rsidP="00F55AA9"/>
        </w:tc>
        <w:tc>
          <w:tcPr>
            <w:tcW w:w="1735" w:type="dxa"/>
            <w:noWrap/>
          </w:tcPr>
          <w:p w:rsidR="00F55AA9" w:rsidRPr="00BD7AAD" w:rsidRDefault="00F55AA9" w:rsidP="00F55AA9"/>
        </w:tc>
        <w:tc>
          <w:tcPr>
            <w:tcW w:w="1955" w:type="dxa"/>
            <w:noWrap/>
          </w:tcPr>
          <w:p w:rsidR="00F55AA9" w:rsidRPr="00BD7AAD" w:rsidRDefault="00F55AA9" w:rsidP="00F55AA9"/>
        </w:tc>
        <w:tc>
          <w:tcPr>
            <w:tcW w:w="1981" w:type="dxa"/>
            <w:noWrap/>
            <w:hideMark/>
          </w:tcPr>
          <w:p w:rsidR="00F55AA9" w:rsidRPr="00BD7AAD" w:rsidRDefault="00F55AA9" w:rsidP="00F55AA9"/>
        </w:tc>
        <w:tc>
          <w:tcPr>
            <w:tcW w:w="1710" w:type="dxa"/>
            <w:noWrap/>
            <w:hideMark/>
          </w:tcPr>
          <w:p w:rsidR="00F55AA9" w:rsidRPr="00BD7AAD" w:rsidRDefault="00F55AA9" w:rsidP="00F55AA9"/>
        </w:tc>
        <w:tc>
          <w:tcPr>
            <w:tcW w:w="1980" w:type="dxa"/>
            <w:noWrap/>
            <w:hideMark/>
          </w:tcPr>
          <w:p w:rsidR="00F55AA9" w:rsidRPr="00BD7AAD" w:rsidRDefault="00F55AA9" w:rsidP="00F55AA9"/>
        </w:tc>
        <w:tc>
          <w:tcPr>
            <w:tcW w:w="1710" w:type="dxa"/>
            <w:noWrap/>
            <w:hideMark/>
          </w:tcPr>
          <w:p w:rsidR="00F55AA9" w:rsidRPr="00BD7AAD" w:rsidRDefault="00F55AA9" w:rsidP="00F55AA9">
            <w:r w:rsidRPr="00BD7AAD">
              <w:t xml:space="preserve"> </w:t>
            </w:r>
            <w:r w:rsidRPr="00650587">
              <w:rPr>
                <w:highlight w:val="yellow"/>
              </w:rPr>
              <w:t>$       3,735,019</w:t>
            </w:r>
            <w:r w:rsidRPr="00BD7AAD">
              <w:t xml:space="preserve"> </w:t>
            </w:r>
          </w:p>
        </w:tc>
      </w:tr>
    </w:tbl>
    <w:p w:rsidR="007A7202" w:rsidRDefault="000B316B">
      <w:r>
        <w:t xml:space="preserve">* </w:t>
      </w:r>
      <w:r w:rsidR="00650587">
        <w:t>As an Alliance District, additional ECS goes directly to City’s BOE.  The Mayor’s FY19 Budget does not include this portion of ECS.  Additional clarification to be sought in this regard.</w:t>
      </w:r>
    </w:p>
    <w:p w:rsidR="003B49EA" w:rsidRDefault="003B49EA">
      <w:r>
        <w:t>**Question if FY19 increase ($2,353</w:t>
      </w:r>
      <w:r w:rsidR="004634D5">
        <w:t>,839)</w:t>
      </w:r>
      <w:r>
        <w:t xml:space="preserve"> is ongoing or one-time</w:t>
      </w:r>
      <w:r w:rsidR="004634D5">
        <w:t>.</w:t>
      </w:r>
    </w:p>
    <w:p w:rsidR="006A3952" w:rsidRDefault="007A7202" w:rsidP="007A7202">
      <w:pPr>
        <w:pStyle w:val="ListParagraph"/>
        <w:numPr>
          <w:ilvl w:val="0"/>
          <w:numId w:val="1"/>
        </w:numPr>
      </w:pPr>
      <w:r w:rsidRPr="00A4135D">
        <w:rPr>
          <w:b/>
          <w:i/>
        </w:rPr>
        <w:t>Property Taxes</w:t>
      </w:r>
      <w:r>
        <w:t>. With no change in the mill r</w:t>
      </w:r>
      <w:r w:rsidR="00A4135D">
        <w:t>ate,</w:t>
      </w:r>
      <w:r>
        <w:t xml:space="preserve"> a relatively flat grand list (.12% growth) and a c</w:t>
      </w:r>
      <w:r w:rsidR="00A4135D">
        <w:t xml:space="preserve">urrent tax collection rate projected at the average for the last three years, the Mayor’s  FY19 Budget is projecting revenues related to property taxes to be almost $5.0 million over the FY18 Adopted Budget and about $2.8 million over the projected FY19 amount.  This is based, significantly, on approximately $3.5 million more from increasing the mill rate on motor vehicles from 39 to 45 mills.  </w:t>
      </w:r>
      <w:r w:rsidR="00A82C4B">
        <w:t xml:space="preserve">In comparing year-to-date amounts for property taxes for the current year to the same period last year, </w:t>
      </w:r>
      <w:r w:rsidR="00A841CF">
        <w:t xml:space="preserve">as well as historical collection levels, </w:t>
      </w:r>
      <w:r w:rsidR="00A82C4B">
        <w:t>it is recommended that the Prior Year Levies line-item be reduced from $6.5 million to $5.5 million.</w:t>
      </w:r>
      <w:r w:rsidR="00F55AA9">
        <w:t xml:space="preserve"> Update property tax collection information from the city is enclosed.</w:t>
      </w:r>
    </w:p>
    <w:p w:rsidR="004634D5" w:rsidRDefault="004634D5" w:rsidP="004634D5">
      <w:pPr>
        <w:pStyle w:val="ListParagraph"/>
      </w:pPr>
    </w:p>
    <w:p w:rsidR="001A13F7" w:rsidRDefault="001A13F7" w:rsidP="00CA7E25">
      <w:pPr>
        <w:pStyle w:val="ListParagraph"/>
        <w:numPr>
          <w:ilvl w:val="0"/>
          <w:numId w:val="1"/>
        </w:numPr>
      </w:pPr>
      <w:r>
        <w:rPr>
          <w:b/>
          <w:i/>
        </w:rPr>
        <w:t>Pension Contributions (MERF)</w:t>
      </w:r>
      <w:r w:rsidR="006A3952" w:rsidRPr="006A3952">
        <w:rPr>
          <w:b/>
          <w:i/>
        </w:rPr>
        <w:t xml:space="preserve">.  </w:t>
      </w:r>
      <w:r w:rsidR="006A3952">
        <w:t>The City’s Recovery Plan, as approved by the MARB, contained approximately $47.8 million</w:t>
      </w:r>
      <w:r w:rsidR="000B316B">
        <w:t xml:space="preserve"> as the</w:t>
      </w:r>
      <w:r w:rsidR="006A3952">
        <w:t xml:space="preserve"> Actu</w:t>
      </w:r>
      <w:r w:rsidR="000B316B">
        <w:t>arially Determined Contribution</w:t>
      </w:r>
      <w:r w:rsidR="006A3952">
        <w:t xml:space="preserve"> (ADC) </w:t>
      </w:r>
      <w:r w:rsidR="000B316B">
        <w:t xml:space="preserve">for the City MERF plan </w:t>
      </w:r>
      <w:r>
        <w:t>for FY19</w:t>
      </w:r>
      <w:r w:rsidR="006A3952">
        <w:t>, including a municipal government (Police, Fire, Municipal) contribution of $41.</w:t>
      </w:r>
      <w:r w:rsidR="00C87054">
        <w:t>8</w:t>
      </w:r>
      <w:r w:rsidR="006A3952">
        <w:t xml:space="preserve"> million. These</w:t>
      </w:r>
      <w:r w:rsidR="00C87054">
        <w:t xml:space="preserve"> Recovery Plan</w:t>
      </w:r>
      <w:r w:rsidR="006A3952">
        <w:t xml:space="preserve"> amounts were based on a 7.375% return on investment assumption as part of the plan to lower returns</w:t>
      </w:r>
      <w:r w:rsidR="000B316B">
        <w:t>, over time,</w:t>
      </w:r>
      <w:r w:rsidR="006A3952">
        <w:t xml:space="preserve"> </w:t>
      </w:r>
      <w:r w:rsidR="00F55AA9">
        <w:t xml:space="preserve">from </w:t>
      </w:r>
      <w:r w:rsidR="006A3952">
        <w:t>7.</w:t>
      </w:r>
      <w:r w:rsidR="00F55AA9">
        <w:t>5</w:t>
      </w:r>
      <w:r w:rsidR="006A3952">
        <w:t>% from 7.</w:t>
      </w:r>
      <w:r w:rsidR="00F55AA9">
        <w:t>2</w:t>
      </w:r>
      <w:r w:rsidR="006A3952">
        <w:t>5%.  The FY19 Budget reduced these</w:t>
      </w:r>
      <w:r>
        <w:t xml:space="preserve"> </w:t>
      </w:r>
      <w:r w:rsidR="006A3952">
        <w:t>FY19</w:t>
      </w:r>
      <w:r>
        <w:t xml:space="preserve"> Recovery Plan amounts by $3.</w:t>
      </w:r>
      <w:r w:rsidR="00C87054">
        <w:t>7</w:t>
      </w:r>
      <w:r>
        <w:t xml:space="preserve"> million overall and by $3.</w:t>
      </w:r>
      <w:r w:rsidR="00C87054">
        <w:t>3</w:t>
      </w:r>
      <w:r>
        <w:t xml:space="preserve"> million for the municipal departments.  A portion of these reductions related to actuarial assumptions, including the </w:t>
      </w:r>
      <w:r w:rsidR="00787182">
        <w:t xml:space="preserve">assumed </w:t>
      </w:r>
      <w:r w:rsidR="00C87054">
        <w:t>number of employees; however,</w:t>
      </w:r>
      <w:r>
        <w:t xml:space="preserve"> </w:t>
      </w:r>
      <w:r w:rsidR="00C87054">
        <w:t>$3.5 million of the overall reduction was based on the City’s Pension Commission</w:t>
      </w:r>
      <w:r>
        <w:t xml:space="preserve"> maintaining the return o</w:t>
      </w:r>
      <w:r w:rsidR="007A28E9">
        <w:t>n investment assumption at 7.5%</w:t>
      </w:r>
      <w:r w:rsidR="00C87054">
        <w:t xml:space="preserve">. </w:t>
      </w:r>
      <w:r w:rsidR="004634D5">
        <w:t xml:space="preserve"> </w:t>
      </w:r>
    </w:p>
    <w:p w:rsidR="00CA7E25" w:rsidRDefault="00CA7E25" w:rsidP="00CA7E25">
      <w:pPr>
        <w:pStyle w:val="ListParagraph"/>
      </w:pPr>
    </w:p>
    <w:p w:rsidR="004634D5" w:rsidRPr="004634D5" w:rsidRDefault="00CA7E25" w:rsidP="004634D5">
      <w:pPr>
        <w:pStyle w:val="ListParagraph"/>
        <w:numPr>
          <w:ilvl w:val="0"/>
          <w:numId w:val="1"/>
        </w:numPr>
        <w:rPr>
          <w:b/>
          <w:i/>
        </w:rPr>
      </w:pPr>
      <w:r w:rsidRPr="004634D5">
        <w:rPr>
          <w:b/>
          <w:i/>
        </w:rPr>
        <w:t xml:space="preserve">Health Insurance.   </w:t>
      </w:r>
      <w:r>
        <w:t>The City’s FY18 projection for health insurance is $33.9 million, with $</w:t>
      </w:r>
      <w:r w:rsidR="004634D5">
        <w:t>22.3</w:t>
      </w:r>
      <w:r>
        <w:t xml:space="preserve"> million having been spent through the first 10 months of the year. </w:t>
      </w:r>
      <w:r w:rsidR="004634D5">
        <w:t xml:space="preserve"> There are some health related e</w:t>
      </w:r>
      <w:r w:rsidR="00F55AA9">
        <w:t>xpenses that are booked by the C</w:t>
      </w:r>
      <w:r w:rsidR="004634D5">
        <w:t xml:space="preserve">ity near the end of the year. </w:t>
      </w:r>
      <w:r>
        <w:t xml:space="preserve"> The Recovery Plan projected $37.2 million in FY19 for health insurance, which included reductions of $1.75 million for labor savings and $2.1 million related to moving eligible retirees to Medicare Advantage.  The Mayor’s FY19 </w:t>
      </w:r>
      <w:r w:rsidR="00C84AD7">
        <w:t xml:space="preserve">Budget </w:t>
      </w:r>
      <w:r>
        <w:t>contains $35.9 million for health insurance</w:t>
      </w:r>
      <w:r w:rsidR="00C84AD7">
        <w:t xml:space="preserve">, which is $1.3 million lower the FY19 amount in the Recovery Plan and 5.8% higher than the projected amount for FY18. </w:t>
      </w:r>
    </w:p>
    <w:p w:rsidR="004634D5" w:rsidRPr="004634D5" w:rsidRDefault="004634D5" w:rsidP="004634D5">
      <w:pPr>
        <w:pStyle w:val="ListParagraph"/>
        <w:rPr>
          <w:b/>
          <w:i/>
        </w:rPr>
      </w:pPr>
    </w:p>
    <w:p w:rsidR="00C84AD7" w:rsidRPr="004634D5" w:rsidRDefault="00C84AD7" w:rsidP="004634D5">
      <w:pPr>
        <w:pStyle w:val="ListParagraph"/>
        <w:numPr>
          <w:ilvl w:val="0"/>
          <w:numId w:val="1"/>
        </w:numPr>
        <w:rPr>
          <w:b/>
          <w:i/>
        </w:rPr>
      </w:pPr>
      <w:r w:rsidRPr="004634D5">
        <w:rPr>
          <w:b/>
          <w:i/>
        </w:rPr>
        <w:t>Salaries and Overtime (esp. Police, Fire, DPW)</w:t>
      </w:r>
      <w:r>
        <w:t>.  The Mayor’s FY19 Budget reflects municipal government overtime at just over $12.0 million, which compares to the current year projection of $19.3 million.  The City indicates that the reduction relates to labor contract changes, increased staffing in the 24-7 operation</w:t>
      </w:r>
      <w:r w:rsidR="00C87054">
        <w:t>s</w:t>
      </w:r>
      <w:r>
        <w:t xml:space="preserve"> an</w:t>
      </w:r>
      <w:r w:rsidR="00787182">
        <w:t>d management initiatives.  The C</w:t>
      </w:r>
      <w:r>
        <w:t>ity will be providing some additional analysis in this regard.</w:t>
      </w:r>
    </w:p>
    <w:p w:rsidR="008D3A98" w:rsidRPr="008D3A98" w:rsidRDefault="008D3A98" w:rsidP="008D3A98">
      <w:pPr>
        <w:pStyle w:val="ListParagraph"/>
        <w:rPr>
          <w:b/>
          <w:i/>
        </w:rPr>
      </w:pPr>
    </w:p>
    <w:p w:rsidR="008D3A98" w:rsidRPr="000B316B" w:rsidRDefault="008D3A98" w:rsidP="00CA7E25">
      <w:pPr>
        <w:pStyle w:val="ListParagraph"/>
        <w:numPr>
          <w:ilvl w:val="0"/>
          <w:numId w:val="1"/>
        </w:numPr>
        <w:rPr>
          <w:b/>
          <w:i/>
        </w:rPr>
      </w:pPr>
      <w:r>
        <w:rPr>
          <w:b/>
          <w:i/>
        </w:rPr>
        <w:t xml:space="preserve">Debt Service, Contract Assistance and Municipal Restructuring Funds; Capital Funding.  </w:t>
      </w:r>
      <w:r w:rsidRPr="008D3A98">
        <w:t>Under the Contract</w:t>
      </w:r>
      <w:r>
        <w:rPr>
          <w:b/>
          <w:i/>
        </w:rPr>
        <w:t xml:space="preserve"> </w:t>
      </w:r>
      <w:r>
        <w:t xml:space="preserve">Assistance Agreement, the City will fund the City’s general obligation debt, with the exception of certain bonds (e.g. stadium bonds).  For the current year, the City will be submitting its request to OPM for Municipal Restructuring Funds related to the current fiscal year, a portion of which will be reserved </w:t>
      </w:r>
      <w:r w:rsidR="00787182">
        <w:t xml:space="preserve">by OPM </w:t>
      </w:r>
      <w:r>
        <w:t xml:space="preserve">for the City’s proportionate share of the costs of the MARB.  </w:t>
      </w:r>
      <w:r w:rsidR="000B316B">
        <w:t xml:space="preserve">Finally, the Mayor’s Fiscal Year 2019 Budget assumes, for </w:t>
      </w:r>
      <w:r w:rsidR="00F55AA9">
        <w:t xml:space="preserve">funding </w:t>
      </w:r>
      <w:r w:rsidR="000B316B">
        <w:t xml:space="preserve">a portion of the City’s capital budget, </w:t>
      </w:r>
      <w:r w:rsidR="00787182">
        <w:t>the receipt of</w:t>
      </w:r>
      <w:r w:rsidR="000B316B">
        <w:t xml:space="preserve"> $10 million from local companies, the first year of a planned five-year commitment.</w:t>
      </w:r>
    </w:p>
    <w:p w:rsidR="000B316B" w:rsidRPr="000B316B" w:rsidRDefault="000B316B" w:rsidP="000B316B">
      <w:pPr>
        <w:pStyle w:val="ListParagraph"/>
        <w:rPr>
          <w:b/>
          <w:i/>
        </w:rPr>
      </w:pPr>
    </w:p>
    <w:p w:rsidR="00650587" w:rsidRPr="00F55AA9" w:rsidRDefault="000B316B" w:rsidP="004634D5">
      <w:pPr>
        <w:pStyle w:val="ListParagraph"/>
        <w:numPr>
          <w:ilvl w:val="0"/>
          <w:numId w:val="1"/>
        </w:numPr>
        <w:rPr>
          <w:b/>
          <w:i/>
        </w:rPr>
      </w:pPr>
      <w:r>
        <w:rPr>
          <w:b/>
          <w:i/>
        </w:rPr>
        <w:t xml:space="preserve">Board of Education.  </w:t>
      </w:r>
      <w:r>
        <w:t xml:space="preserve">In the F19 Budget and the Recovery Plan, the Board of Education (BOE) </w:t>
      </w:r>
      <w:r w:rsidR="00C87054">
        <w:t xml:space="preserve">funding </w:t>
      </w:r>
      <w:r>
        <w:t xml:space="preserve">continues flat at the $284 million general fund level.  The BOE continues to work through a reported $14 million deficit related to next year.  The BOE will be completing its FY19 budget in early June. </w:t>
      </w:r>
    </w:p>
    <w:p w:rsidR="00F55AA9" w:rsidRPr="00F55AA9" w:rsidRDefault="00F55AA9" w:rsidP="00F55AA9">
      <w:r>
        <w:t>Enclosure</w:t>
      </w:r>
      <w:bookmarkStart w:id="0" w:name="_GoBack"/>
      <w:bookmarkEnd w:id="0"/>
    </w:p>
    <w:sectPr w:rsidR="00F55AA9" w:rsidRPr="00F55AA9" w:rsidSect="00BD7AA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EA" w:rsidRDefault="003B49EA" w:rsidP="000B316B">
      <w:pPr>
        <w:spacing w:after="0" w:line="240" w:lineRule="auto"/>
      </w:pPr>
      <w:r>
        <w:separator/>
      </w:r>
    </w:p>
  </w:endnote>
  <w:endnote w:type="continuationSeparator" w:id="0">
    <w:p w:rsidR="003B49EA" w:rsidRDefault="003B49EA" w:rsidP="000B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EA" w:rsidRDefault="003B49EA" w:rsidP="000B316B">
      <w:pPr>
        <w:spacing w:after="0" w:line="240" w:lineRule="auto"/>
      </w:pPr>
      <w:r>
        <w:separator/>
      </w:r>
    </w:p>
  </w:footnote>
  <w:footnote w:type="continuationSeparator" w:id="0">
    <w:p w:rsidR="003B49EA" w:rsidRDefault="003B49EA" w:rsidP="000B3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9EA" w:rsidRPr="000B316B" w:rsidRDefault="003B49EA">
    <w:pPr>
      <w:pStyle w:val="Header"/>
      <w:rPr>
        <w:b/>
      </w:rPr>
    </w:pPr>
    <w:r w:rsidRPr="000B316B">
      <w:rPr>
        <w:b/>
      </w:rPr>
      <w:t>Mayor’s Proposed FY19 Budget</w:t>
    </w:r>
    <w:r>
      <w:rPr>
        <w:b/>
      </w:rPr>
      <w:t xml:space="preserve"> </w:t>
    </w:r>
    <w:r w:rsidR="00F55AA9">
      <w:rPr>
        <w:b/>
      </w:rPr>
      <w:t>Draft List of Potential MARB Issues/Concerns</w:t>
    </w:r>
    <w:r>
      <w:rPr>
        <w:b/>
      </w:rPr>
      <w:t xml:space="preserve">     5-15-18       OPM</w:t>
    </w:r>
  </w:p>
  <w:p w:rsidR="003B49EA" w:rsidRDefault="003B4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23A12"/>
    <w:multiLevelType w:val="hybridMultilevel"/>
    <w:tmpl w:val="E3DAC444"/>
    <w:lvl w:ilvl="0" w:tplc="005E94F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AD"/>
    <w:rsid w:val="00003871"/>
    <w:rsid w:val="000B316B"/>
    <w:rsid w:val="001A13F7"/>
    <w:rsid w:val="003B49EA"/>
    <w:rsid w:val="004634D5"/>
    <w:rsid w:val="005F71D5"/>
    <w:rsid w:val="00650587"/>
    <w:rsid w:val="006A3952"/>
    <w:rsid w:val="00722E3D"/>
    <w:rsid w:val="00787182"/>
    <w:rsid w:val="007A28E9"/>
    <w:rsid w:val="007A7202"/>
    <w:rsid w:val="008514FC"/>
    <w:rsid w:val="008D3A98"/>
    <w:rsid w:val="00924C78"/>
    <w:rsid w:val="00A4135D"/>
    <w:rsid w:val="00A82C4B"/>
    <w:rsid w:val="00A841CF"/>
    <w:rsid w:val="00BD7AAD"/>
    <w:rsid w:val="00C84AD7"/>
    <w:rsid w:val="00C87054"/>
    <w:rsid w:val="00CA7E25"/>
    <w:rsid w:val="00EA138A"/>
    <w:rsid w:val="00F5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D740F-29D4-42B8-9E13-502799A7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587"/>
    <w:pPr>
      <w:ind w:left="720"/>
      <w:contextualSpacing/>
    </w:pPr>
  </w:style>
  <w:style w:type="paragraph" w:styleId="Header">
    <w:name w:val="header"/>
    <w:basedOn w:val="Normal"/>
    <w:link w:val="HeaderChar"/>
    <w:uiPriority w:val="99"/>
    <w:unhideWhenUsed/>
    <w:rsid w:val="000B3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6B"/>
  </w:style>
  <w:style w:type="paragraph" w:styleId="Footer">
    <w:name w:val="footer"/>
    <w:basedOn w:val="Normal"/>
    <w:link w:val="FooterChar"/>
    <w:uiPriority w:val="99"/>
    <w:unhideWhenUsed/>
    <w:rsid w:val="000B3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6B"/>
  </w:style>
  <w:style w:type="paragraph" w:styleId="BalloonText">
    <w:name w:val="Balloon Text"/>
    <w:basedOn w:val="Normal"/>
    <w:link w:val="BalloonTextChar"/>
    <w:uiPriority w:val="99"/>
    <w:semiHidden/>
    <w:unhideWhenUsed/>
    <w:rsid w:val="00787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8945">
      <w:bodyDiv w:val="1"/>
      <w:marLeft w:val="0"/>
      <w:marRight w:val="0"/>
      <w:marTop w:val="0"/>
      <w:marBottom w:val="0"/>
      <w:divBdr>
        <w:top w:val="none" w:sz="0" w:space="0" w:color="auto"/>
        <w:left w:val="none" w:sz="0" w:space="0" w:color="auto"/>
        <w:bottom w:val="none" w:sz="0" w:space="0" w:color="auto"/>
        <w:right w:val="none" w:sz="0" w:space="0" w:color="auto"/>
      </w:divBdr>
    </w:div>
    <w:div w:id="978415202">
      <w:bodyDiv w:val="1"/>
      <w:marLeft w:val="0"/>
      <w:marRight w:val="0"/>
      <w:marTop w:val="0"/>
      <w:marBottom w:val="0"/>
      <w:divBdr>
        <w:top w:val="none" w:sz="0" w:space="0" w:color="auto"/>
        <w:left w:val="none" w:sz="0" w:space="0" w:color="auto"/>
        <w:bottom w:val="none" w:sz="0" w:space="0" w:color="auto"/>
        <w:right w:val="none" w:sz="0" w:space="0" w:color="auto"/>
      </w:divBdr>
    </w:div>
    <w:div w:id="9905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6C030C17</Template>
  <TotalTime>1</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Dakers, Robert</dc:creator>
  <cp:keywords/>
  <dc:description/>
  <cp:lastModifiedBy>Dakers, Robert</cp:lastModifiedBy>
  <cp:revision>2</cp:revision>
  <cp:lastPrinted>2018-05-15T18:29:00Z</cp:lastPrinted>
  <dcterms:created xsi:type="dcterms:W3CDTF">2018-05-15T21:59:00Z</dcterms:created>
  <dcterms:modified xsi:type="dcterms:W3CDTF">2018-05-15T21:59:00Z</dcterms:modified>
</cp:coreProperties>
</file>