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3B49" w:rsidRPr="004235D5" w:rsidRDefault="00263B49" w:rsidP="004235D5">
      <w:pPr>
        <w:spacing w:after="0" w:line="240" w:lineRule="auto"/>
        <w:jc w:val="center"/>
        <w:rPr>
          <w:sz w:val="24"/>
          <w:szCs w:val="24"/>
        </w:rPr>
      </w:pPr>
      <w:r w:rsidRPr="004235D5">
        <w:rPr>
          <w:sz w:val="24"/>
          <w:szCs w:val="24"/>
        </w:rPr>
        <w:t>State of Connecticut</w:t>
      </w:r>
    </w:p>
    <w:p w:rsidR="00A5324B" w:rsidRPr="004235D5" w:rsidRDefault="00E329A8" w:rsidP="004235D5">
      <w:pPr>
        <w:spacing w:after="0" w:line="240" w:lineRule="auto"/>
        <w:jc w:val="center"/>
        <w:rPr>
          <w:sz w:val="24"/>
          <w:szCs w:val="24"/>
        </w:rPr>
      </w:pPr>
      <w:r w:rsidRPr="004235D5">
        <w:rPr>
          <w:sz w:val="24"/>
          <w:szCs w:val="24"/>
        </w:rPr>
        <w:t>Department of Housing</w:t>
      </w:r>
    </w:p>
    <w:p w:rsidR="00E329A8" w:rsidRPr="004235D5" w:rsidRDefault="00E329A8" w:rsidP="004235D5">
      <w:pPr>
        <w:spacing w:after="0" w:line="240" w:lineRule="auto"/>
        <w:jc w:val="center"/>
        <w:rPr>
          <w:sz w:val="24"/>
          <w:szCs w:val="24"/>
        </w:rPr>
      </w:pPr>
      <w:r w:rsidRPr="004235D5">
        <w:rPr>
          <w:sz w:val="24"/>
          <w:szCs w:val="24"/>
        </w:rPr>
        <w:t>Plan for Procurement of Human Service Contracts</w:t>
      </w:r>
    </w:p>
    <w:p w:rsidR="00E329A8" w:rsidRPr="004235D5" w:rsidRDefault="00E329A8" w:rsidP="004235D5">
      <w:pPr>
        <w:spacing w:after="0" w:line="240" w:lineRule="auto"/>
        <w:jc w:val="center"/>
        <w:rPr>
          <w:sz w:val="24"/>
          <w:szCs w:val="24"/>
        </w:rPr>
      </w:pPr>
      <w:r w:rsidRPr="004235D5">
        <w:rPr>
          <w:sz w:val="24"/>
          <w:szCs w:val="24"/>
        </w:rPr>
        <w:t>State Fiscal Years 2016 – 2018</w:t>
      </w:r>
    </w:p>
    <w:p w:rsidR="00263B49" w:rsidRDefault="00263B49" w:rsidP="004235D5">
      <w:pPr>
        <w:spacing w:after="0" w:line="240" w:lineRule="auto"/>
        <w:rPr>
          <w:sz w:val="24"/>
          <w:szCs w:val="24"/>
          <w:u w:val="single"/>
        </w:rPr>
      </w:pPr>
    </w:p>
    <w:p w:rsidR="004235D5" w:rsidRPr="004235D5" w:rsidRDefault="004235D5" w:rsidP="004235D5">
      <w:pPr>
        <w:spacing w:after="0" w:line="240" w:lineRule="auto"/>
        <w:rPr>
          <w:sz w:val="24"/>
          <w:szCs w:val="24"/>
          <w:u w:val="single"/>
        </w:rPr>
      </w:pPr>
    </w:p>
    <w:p w:rsidR="00E329A8" w:rsidRDefault="000114FF" w:rsidP="004235D5">
      <w:pPr>
        <w:spacing w:after="0" w:line="240" w:lineRule="auto"/>
        <w:rPr>
          <w:sz w:val="24"/>
          <w:szCs w:val="24"/>
          <w:u w:val="single"/>
        </w:rPr>
      </w:pPr>
      <w:r>
        <w:rPr>
          <w:sz w:val="24"/>
          <w:szCs w:val="24"/>
          <w:u w:val="single"/>
        </w:rPr>
        <w:t xml:space="preserve">I.  </w:t>
      </w:r>
      <w:r w:rsidR="00E329A8" w:rsidRPr="004235D5">
        <w:rPr>
          <w:sz w:val="24"/>
          <w:szCs w:val="24"/>
          <w:u w:val="single"/>
        </w:rPr>
        <w:t>Introduction</w:t>
      </w:r>
    </w:p>
    <w:p w:rsidR="004235D5" w:rsidRPr="004235D5" w:rsidRDefault="004235D5" w:rsidP="004235D5">
      <w:pPr>
        <w:spacing w:after="0" w:line="240" w:lineRule="auto"/>
        <w:rPr>
          <w:sz w:val="24"/>
          <w:szCs w:val="24"/>
          <w:u w:val="single"/>
        </w:rPr>
      </w:pPr>
    </w:p>
    <w:p w:rsidR="00273374" w:rsidRDefault="00E329A8" w:rsidP="004235D5">
      <w:pPr>
        <w:spacing w:after="0" w:line="240" w:lineRule="auto"/>
        <w:rPr>
          <w:sz w:val="24"/>
          <w:szCs w:val="24"/>
        </w:rPr>
      </w:pPr>
      <w:r w:rsidRPr="004235D5">
        <w:rPr>
          <w:sz w:val="24"/>
          <w:szCs w:val="24"/>
        </w:rPr>
        <w:t>The State Department of Housing</w:t>
      </w:r>
      <w:r w:rsidR="00273374" w:rsidRPr="004235D5">
        <w:rPr>
          <w:sz w:val="24"/>
          <w:szCs w:val="24"/>
        </w:rPr>
        <w:t xml:space="preserve"> (DOH)</w:t>
      </w:r>
      <w:r w:rsidR="00573B46" w:rsidRPr="004235D5">
        <w:rPr>
          <w:sz w:val="24"/>
          <w:szCs w:val="24"/>
        </w:rPr>
        <w:t xml:space="preserve"> is the </w:t>
      </w:r>
      <w:r w:rsidR="00273374" w:rsidRPr="004235D5">
        <w:rPr>
          <w:sz w:val="24"/>
          <w:szCs w:val="24"/>
        </w:rPr>
        <w:t xml:space="preserve">State’s lead </w:t>
      </w:r>
      <w:r w:rsidR="00573B46" w:rsidRPr="004235D5">
        <w:rPr>
          <w:sz w:val="24"/>
          <w:szCs w:val="24"/>
        </w:rPr>
        <w:t xml:space="preserve">agency on all matters relating to housing and is responsible for advancing strategies and administering programs that promote the development, redevelopment, and preservation of housing for very low, low and moderate income families, community revitalization as well as financial and other support for our most vulnerable residents.  </w:t>
      </w:r>
    </w:p>
    <w:p w:rsidR="004235D5" w:rsidRPr="004235D5" w:rsidRDefault="004235D5" w:rsidP="004235D5">
      <w:pPr>
        <w:spacing w:after="0" w:line="240" w:lineRule="auto"/>
        <w:rPr>
          <w:sz w:val="24"/>
          <w:szCs w:val="24"/>
        </w:rPr>
      </w:pPr>
    </w:p>
    <w:p w:rsidR="00573B46" w:rsidRDefault="00273374" w:rsidP="004235D5">
      <w:pPr>
        <w:spacing w:after="0" w:line="240" w:lineRule="auto"/>
        <w:rPr>
          <w:sz w:val="24"/>
          <w:szCs w:val="24"/>
        </w:rPr>
      </w:pPr>
      <w:r w:rsidRPr="004235D5">
        <w:rPr>
          <w:sz w:val="24"/>
          <w:szCs w:val="24"/>
        </w:rPr>
        <w:t xml:space="preserve">Pursuant to Public Act </w:t>
      </w:r>
      <w:r w:rsidR="00573B46" w:rsidRPr="004235D5">
        <w:rPr>
          <w:sz w:val="24"/>
          <w:szCs w:val="24"/>
        </w:rPr>
        <w:t>13-234</w:t>
      </w:r>
      <w:r w:rsidRPr="004235D5">
        <w:rPr>
          <w:sz w:val="24"/>
          <w:szCs w:val="24"/>
        </w:rPr>
        <w:t xml:space="preserve">, effective in most respects as of July 1, 2013, DOH assumed full responsibility for the administration of a wide variety of housing services and housing and community development programs from multiple state agencies, including </w:t>
      </w:r>
      <w:r w:rsidR="00573B46" w:rsidRPr="004235D5">
        <w:rPr>
          <w:sz w:val="24"/>
          <w:szCs w:val="24"/>
        </w:rPr>
        <w:t>the Departments of Economic and Community Development, Social Services</w:t>
      </w:r>
      <w:r w:rsidR="008C0D1D" w:rsidRPr="004235D5">
        <w:rPr>
          <w:sz w:val="24"/>
          <w:szCs w:val="24"/>
        </w:rPr>
        <w:t xml:space="preserve"> (DSS)</w:t>
      </w:r>
      <w:r w:rsidR="00573B46" w:rsidRPr="004235D5">
        <w:rPr>
          <w:sz w:val="24"/>
          <w:szCs w:val="24"/>
        </w:rPr>
        <w:t xml:space="preserve"> and Mental Health and Addiction Services</w:t>
      </w:r>
      <w:r w:rsidR="008C0D1D" w:rsidRPr="004235D5">
        <w:rPr>
          <w:sz w:val="24"/>
          <w:szCs w:val="24"/>
        </w:rPr>
        <w:t xml:space="preserve"> (DMHAS)</w:t>
      </w:r>
      <w:r w:rsidR="00573B46" w:rsidRPr="004235D5">
        <w:rPr>
          <w:sz w:val="24"/>
          <w:szCs w:val="24"/>
        </w:rPr>
        <w:t xml:space="preserve"> as well as the Office of Policy and Management</w:t>
      </w:r>
      <w:r w:rsidR="008C0D1D" w:rsidRPr="004235D5">
        <w:rPr>
          <w:sz w:val="24"/>
          <w:szCs w:val="24"/>
        </w:rPr>
        <w:t xml:space="preserve"> (OPM)</w:t>
      </w:r>
      <w:r w:rsidR="00573B46" w:rsidRPr="004235D5">
        <w:rPr>
          <w:sz w:val="24"/>
          <w:szCs w:val="24"/>
        </w:rPr>
        <w:t xml:space="preserve">.  </w:t>
      </w:r>
      <w:r w:rsidRPr="004235D5">
        <w:rPr>
          <w:sz w:val="24"/>
          <w:szCs w:val="24"/>
        </w:rPr>
        <w:t xml:space="preserve">Among these programs are human service contracts for which DOH contracts with third parties </w:t>
      </w:r>
      <w:r w:rsidR="008C0D1D" w:rsidRPr="004235D5">
        <w:rPr>
          <w:sz w:val="24"/>
          <w:szCs w:val="24"/>
        </w:rPr>
        <w:t>pursuant to Purchase of Service (POS) contracts.</w:t>
      </w:r>
    </w:p>
    <w:p w:rsidR="004235D5" w:rsidRPr="004235D5" w:rsidRDefault="004235D5" w:rsidP="004235D5">
      <w:pPr>
        <w:spacing w:after="0" w:line="240" w:lineRule="auto"/>
        <w:rPr>
          <w:sz w:val="24"/>
          <w:szCs w:val="24"/>
        </w:rPr>
      </w:pPr>
    </w:p>
    <w:p w:rsidR="008C0D1D" w:rsidRDefault="008C0D1D" w:rsidP="004235D5">
      <w:pPr>
        <w:spacing w:after="0" w:line="240" w:lineRule="auto"/>
        <w:rPr>
          <w:sz w:val="24"/>
          <w:szCs w:val="24"/>
        </w:rPr>
      </w:pPr>
      <w:r w:rsidRPr="004235D5">
        <w:rPr>
          <w:sz w:val="24"/>
          <w:szCs w:val="24"/>
        </w:rPr>
        <w:t>Th</w:t>
      </w:r>
      <w:r w:rsidR="004D13A9" w:rsidRPr="004235D5">
        <w:rPr>
          <w:sz w:val="24"/>
          <w:szCs w:val="24"/>
        </w:rPr>
        <w:t xml:space="preserve">is plan, which covers </w:t>
      </w:r>
      <w:r w:rsidRPr="004235D5">
        <w:rPr>
          <w:sz w:val="24"/>
          <w:szCs w:val="24"/>
        </w:rPr>
        <w:t>the period encompassing State fiscal year</w:t>
      </w:r>
      <w:r w:rsidR="00E92069" w:rsidRPr="004235D5">
        <w:rPr>
          <w:sz w:val="24"/>
          <w:szCs w:val="24"/>
        </w:rPr>
        <w:t xml:space="preserve"> (FY)</w:t>
      </w:r>
      <w:r w:rsidRPr="004235D5">
        <w:rPr>
          <w:sz w:val="24"/>
          <w:szCs w:val="24"/>
        </w:rPr>
        <w:t xml:space="preserve"> 2016 through </w:t>
      </w:r>
      <w:r w:rsidR="00A12C97">
        <w:rPr>
          <w:sz w:val="24"/>
          <w:szCs w:val="24"/>
        </w:rPr>
        <w:t xml:space="preserve">FY </w:t>
      </w:r>
      <w:r w:rsidRPr="004235D5">
        <w:rPr>
          <w:sz w:val="24"/>
          <w:szCs w:val="24"/>
        </w:rPr>
        <w:t>2018</w:t>
      </w:r>
      <w:r w:rsidR="004D13A9" w:rsidRPr="004235D5">
        <w:rPr>
          <w:sz w:val="24"/>
          <w:szCs w:val="24"/>
        </w:rPr>
        <w:t>, is being submitted to OPM for its review and approval</w:t>
      </w:r>
      <w:r w:rsidRPr="004235D5">
        <w:rPr>
          <w:sz w:val="24"/>
          <w:szCs w:val="24"/>
        </w:rPr>
        <w:t>.</w:t>
      </w:r>
    </w:p>
    <w:p w:rsidR="004235D5" w:rsidRPr="004235D5" w:rsidRDefault="004235D5" w:rsidP="004235D5">
      <w:pPr>
        <w:spacing w:after="0" w:line="240" w:lineRule="auto"/>
        <w:rPr>
          <w:sz w:val="24"/>
          <w:szCs w:val="24"/>
        </w:rPr>
      </w:pPr>
    </w:p>
    <w:p w:rsidR="00A9701A" w:rsidRDefault="000114FF" w:rsidP="004235D5">
      <w:pPr>
        <w:spacing w:after="0" w:line="240" w:lineRule="auto"/>
        <w:rPr>
          <w:sz w:val="24"/>
          <w:szCs w:val="24"/>
          <w:u w:val="single"/>
        </w:rPr>
      </w:pPr>
      <w:r>
        <w:rPr>
          <w:sz w:val="24"/>
          <w:szCs w:val="24"/>
          <w:u w:val="single"/>
        </w:rPr>
        <w:t>II</w:t>
      </w:r>
      <w:proofErr w:type="gramStart"/>
      <w:r>
        <w:rPr>
          <w:sz w:val="24"/>
          <w:szCs w:val="24"/>
          <w:u w:val="single"/>
        </w:rPr>
        <w:t xml:space="preserve">.  </w:t>
      </w:r>
      <w:r w:rsidR="008C0D1D" w:rsidRPr="004235D5">
        <w:rPr>
          <w:sz w:val="24"/>
          <w:szCs w:val="24"/>
          <w:u w:val="single"/>
        </w:rPr>
        <w:t>Purpose</w:t>
      </w:r>
      <w:proofErr w:type="gramEnd"/>
      <w:r w:rsidR="008C0D1D" w:rsidRPr="004235D5">
        <w:rPr>
          <w:sz w:val="24"/>
          <w:szCs w:val="24"/>
          <w:u w:val="single"/>
        </w:rPr>
        <w:t xml:space="preserve"> of Plan</w:t>
      </w:r>
    </w:p>
    <w:p w:rsidR="004235D5" w:rsidRPr="004235D5" w:rsidRDefault="004235D5" w:rsidP="004235D5">
      <w:pPr>
        <w:spacing w:after="0" w:line="240" w:lineRule="auto"/>
        <w:rPr>
          <w:sz w:val="24"/>
          <w:szCs w:val="24"/>
          <w:u w:val="single"/>
        </w:rPr>
      </w:pPr>
    </w:p>
    <w:p w:rsidR="00C722C3" w:rsidRDefault="0065613F" w:rsidP="004235D5">
      <w:pPr>
        <w:spacing w:after="0" w:line="240" w:lineRule="auto"/>
        <w:rPr>
          <w:sz w:val="24"/>
          <w:szCs w:val="24"/>
        </w:rPr>
      </w:pPr>
      <w:r w:rsidRPr="004235D5">
        <w:rPr>
          <w:sz w:val="24"/>
          <w:szCs w:val="24"/>
        </w:rPr>
        <w:t xml:space="preserve">This plan </w:t>
      </w:r>
      <w:r w:rsidR="004D13A9" w:rsidRPr="004235D5">
        <w:rPr>
          <w:sz w:val="24"/>
          <w:szCs w:val="24"/>
        </w:rPr>
        <w:t>describe</w:t>
      </w:r>
      <w:r w:rsidRPr="004235D5">
        <w:rPr>
          <w:sz w:val="24"/>
          <w:szCs w:val="24"/>
        </w:rPr>
        <w:t>s</w:t>
      </w:r>
      <w:r w:rsidR="004D13A9" w:rsidRPr="004235D5">
        <w:rPr>
          <w:sz w:val="24"/>
          <w:szCs w:val="24"/>
        </w:rPr>
        <w:t xml:space="preserve"> the approach that DOH intends to </w:t>
      </w:r>
      <w:r w:rsidRPr="004235D5">
        <w:rPr>
          <w:sz w:val="24"/>
          <w:szCs w:val="24"/>
        </w:rPr>
        <w:t>take for the procurement for the purchase health and human services</w:t>
      </w:r>
      <w:r w:rsidR="00866C84" w:rsidRPr="004235D5">
        <w:rPr>
          <w:sz w:val="24"/>
          <w:szCs w:val="24"/>
        </w:rPr>
        <w:t xml:space="preserve"> </w:t>
      </w:r>
      <w:r w:rsidR="00DA4710" w:rsidRPr="004235D5">
        <w:rPr>
          <w:sz w:val="24"/>
          <w:szCs w:val="24"/>
        </w:rPr>
        <w:t>in connection with DOH’s program</w:t>
      </w:r>
      <w:r w:rsidR="00A12C97">
        <w:rPr>
          <w:sz w:val="24"/>
          <w:szCs w:val="24"/>
        </w:rPr>
        <w:t>s</w:t>
      </w:r>
      <w:r w:rsidR="00DA4710" w:rsidRPr="004235D5">
        <w:rPr>
          <w:sz w:val="24"/>
          <w:szCs w:val="24"/>
        </w:rPr>
        <w:t xml:space="preserve"> </w:t>
      </w:r>
      <w:r w:rsidR="00866C84" w:rsidRPr="004235D5">
        <w:rPr>
          <w:sz w:val="24"/>
          <w:szCs w:val="24"/>
        </w:rPr>
        <w:t xml:space="preserve">for </w:t>
      </w:r>
      <w:r w:rsidR="00DA4710" w:rsidRPr="004235D5">
        <w:rPr>
          <w:sz w:val="24"/>
          <w:szCs w:val="24"/>
        </w:rPr>
        <w:t xml:space="preserve">the period encompassing </w:t>
      </w:r>
      <w:r w:rsidR="00E92069" w:rsidRPr="004235D5">
        <w:rPr>
          <w:sz w:val="24"/>
          <w:szCs w:val="24"/>
        </w:rPr>
        <w:t>FY</w:t>
      </w:r>
      <w:r w:rsidR="00A12C97">
        <w:rPr>
          <w:sz w:val="24"/>
          <w:szCs w:val="24"/>
        </w:rPr>
        <w:t xml:space="preserve"> 2016-</w:t>
      </w:r>
      <w:r w:rsidR="00DA4710" w:rsidRPr="004235D5">
        <w:rPr>
          <w:sz w:val="24"/>
          <w:szCs w:val="24"/>
        </w:rPr>
        <w:t xml:space="preserve">2018.  This plan is designed to </w:t>
      </w:r>
      <w:r w:rsidR="00CC265D" w:rsidRPr="004235D5">
        <w:rPr>
          <w:sz w:val="24"/>
          <w:szCs w:val="24"/>
        </w:rPr>
        <w:t xml:space="preserve">meet DOH’s operational and programmatic objectives and </w:t>
      </w:r>
      <w:r w:rsidR="00DA4710" w:rsidRPr="004235D5">
        <w:rPr>
          <w:sz w:val="24"/>
          <w:szCs w:val="24"/>
        </w:rPr>
        <w:t xml:space="preserve">comply with all applicable </w:t>
      </w:r>
      <w:r w:rsidR="00CC265D" w:rsidRPr="004235D5">
        <w:rPr>
          <w:sz w:val="24"/>
          <w:szCs w:val="24"/>
        </w:rPr>
        <w:t>state statutes (including P</w:t>
      </w:r>
      <w:r w:rsidR="00DA4710" w:rsidRPr="004235D5">
        <w:rPr>
          <w:sz w:val="24"/>
          <w:szCs w:val="24"/>
        </w:rPr>
        <w:t>ublic Act 07-195), regulations, and policies.  DOH is committed to an open and transparent competitive procurement system.</w:t>
      </w:r>
    </w:p>
    <w:p w:rsidR="004235D5" w:rsidRPr="004235D5" w:rsidRDefault="004235D5" w:rsidP="004235D5">
      <w:pPr>
        <w:spacing w:after="0" w:line="240" w:lineRule="auto"/>
        <w:rPr>
          <w:sz w:val="24"/>
          <w:szCs w:val="24"/>
        </w:rPr>
      </w:pPr>
    </w:p>
    <w:p w:rsidR="00DA4710" w:rsidRDefault="00DA4710" w:rsidP="004235D5">
      <w:pPr>
        <w:spacing w:after="0" w:line="240" w:lineRule="auto"/>
        <w:rPr>
          <w:sz w:val="24"/>
          <w:szCs w:val="24"/>
        </w:rPr>
      </w:pPr>
      <w:r w:rsidRPr="004235D5">
        <w:rPr>
          <w:sz w:val="24"/>
          <w:szCs w:val="24"/>
        </w:rPr>
        <w:t xml:space="preserve">In addition to compliance with applicable </w:t>
      </w:r>
      <w:r w:rsidR="00CC265D" w:rsidRPr="004235D5">
        <w:rPr>
          <w:sz w:val="24"/>
          <w:szCs w:val="24"/>
        </w:rPr>
        <w:t xml:space="preserve">state </w:t>
      </w:r>
      <w:r w:rsidRPr="004235D5">
        <w:rPr>
          <w:sz w:val="24"/>
          <w:szCs w:val="24"/>
        </w:rPr>
        <w:t>l</w:t>
      </w:r>
      <w:r w:rsidR="00CC265D" w:rsidRPr="004235D5">
        <w:rPr>
          <w:sz w:val="24"/>
          <w:szCs w:val="24"/>
        </w:rPr>
        <w:t>egal requirements</w:t>
      </w:r>
      <w:r w:rsidRPr="004235D5">
        <w:rPr>
          <w:sz w:val="24"/>
          <w:szCs w:val="24"/>
        </w:rPr>
        <w:t xml:space="preserve">, this plan </w:t>
      </w:r>
      <w:bookmarkStart w:id="0" w:name="_GoBack"/>
      <w:bookmarkEnd w:id="0"/>
      <w:r w:rsidR="00CC265D" w:rsidRPr="004235D5">
        <w:rPr>
          <w:sz w:val="24"/>
          <w:szCs w:val="24"/>
        </w:rPr>
        <w:t xml:space="preserve">is designed to comply with DOH’s federal legal requirements as several of the programs for which DOH intends to purchase health and human services during the subject period are funded in whole or in part with federal funds.  </w:t>
      </w:r>
    </w:p>
    <w:p w:rsidR="004235D5" w:rsidRPr="004235D5" w:rsidRDefault="004235D5" w:rsidP="004235D5">
      <w:pPr>
        <w:spacing w:after="0" w:line="240" w:lineRule="auto"/>
        <w:rPr>
          <w:sz w:val="24"/>
          <w:szCs w:val="24"/>
        </w:rPr>
      </w:pPr>
    </w:p>
    <w:p w:rsidR="00D51586" w:rsidRPr="004235D5" w:rsidRDefault="00CC265D" w:rsidP="004235D5">
      <w:pPr>
        <w:spacing w:after="0" w:line="240" w:lineRule="auto"/>
        <w:rPr>
          <w:sz w:val="24"/>
          <w:szCs w:val="24"/>
        </w:rPr>
      </w:pPr>
      <w:r w:rsidRPr="004235D5">
        <w:rPr>
          <w:sz w:val="24"/>
          <w:szCs w:val="24"/>
        </w:rPr>
        <w:t>As a new agency that has assumed responsibility for programs previously administered by other state agencies, DOH intends for this plan to reflect the agency’s interest in a fair, open, consistent, and responsive procurement process</w:t>
      </w:r>
      <w:r w:rsidR="00263B49" w:rsidRPr="004235D5">
        <w:rPr>
          <w:sz w:val="24"/>
          <w:szCs w:val="24"/>
        </w:rPr>
        <w:t xml:space="preserve"> in order to ensure the maximum effectiveness of the state resources committed to purchase health and human services in connection with its programs.  </w:t>
      </w:r>
    </w:p>
    <w:p w:rsidR="00A12C97" w:rsidRDefault="00263B49" w:rsidP="004235D5">
      <w:pPr>
        <w:spacing w:after="0" w:line="240" w:lineRule="auto"/>
        <w:rPr>
          <w:sz w:val="24"/>
          <w:szCs w:val="24"/>
        </w:rPr>
      </w:pPr>
      <w:r w:rsidRPr="004235D5">
        <w:rPr>
          <w:sz w:val="24"/>
          <w:szCs w:val="24"/>
        </w:rPr>
        <w:lastRenderedPageBreak/>
        <w:t xml:space="preserve">While the approach, guiding principles, and processes for these procurements are outlined in this plan, </w:t>
      </w:r>
      <w:r w:rsidR="00A12C97">
        <w:rPr>
          <w:sz w:val="24"/>
          <w:szCs w:val="24"/>
        </w:rPr>
        <w:t xml:space="preserve">DOH may need to modify this plan based on </w:t>
      </w:r>
      <w:r w:rsidRPr="004235D5">
        <w:rPr>
          <w:sz w:val="24"/>
          <w:szCs w:val="24"/>
        </w:rPr>
        <w:t>changes in the operational capacity and needs of DOH, programmatic objectives, and applicable state and federal legal requirements</w:t>
      </w:r>
      <w:r w:rsidR="00A12C97">
        <w:rPr>
          <w:sz w:val="24"/>
          <w:szCs w:val="24"/>
        </w:rPr>
        <w:t xml:space="preserve">.  Such </w:t>
      </w:r>
      <w:r w:rsidR="00EC770A" w:rsidRPr="004235D5">
        <w:rPr>
          <w:sz w:val="24"/>
          <w:szCs w:val="24"/>
        </w:rPr>
        <w:t xml:space="preserve">modifications </w:t>
      </w:r>
      <w:r w:rsidR="00A12C97">
        <w:rPr>
          <w:sz w:val="24"/>
          <w:szCs w:val="24"/>
        </w:rPr>
        <w:t>may include</w:t>
      </w:r>
      <w:r w:rsidR="00EC770A" w:rsidRPr="004235D5">
        <w:rPr>
          <w:sz w:val="24"/>
          <w:szCs w:val="24"/>
        </w:rPr>
        <w:t xml:space="preserve">, for example, the timing and sequencing of procurements, the scope of services to be procured, </w:t>
      </w:r>
      <w:r w:rsidR="00A12C97">
        <w:rPr>
          <w:sz w:val="24"/>
          <w:szCs w:val="24"/>
        </w:rPr>
        <w:t xml:space="preserve">the length of contract, </w:t>
      </w:r>
      <w:r w:rsidR="00EC770A" w:rsidRPr="004235D5">
        <w:rPr>
          <w:sz w:val="24"/>
          <w:szCs w:val="24"/>
        </w:rPr>
        <w:t>and the definition of services to be procured, services to use practice improvement methods rather than competitive procurement or services to be waived from procurement.</w:t>
      </w:r>
      <w:r w:rsidR="005C5984" w:rsidRPr="004235D5">
        <w:rPr>
          <w:sz w:val="24"/>
          <w:szCs w:val="24"/>
        </w:rPr>
        <w:t xml:space="preserve">  </w:t>
      </w:r>
    </w:p>
    <w:p w:rsidR="00A12C97" w:rsidRDefault="00A12C97" w:rsidP="004235D5">
      <w:pPr>
        <w:spacing w:after="0" w:line="240" w:lineRule="auto"/>
        <w:rPr>
          <w:sz w:val="24"/>
          <w:szCs w:val="24"/>
        </w:rPr>
      </w:pPr>
    </w:p>
    <w:p w:rsidR="00C722C3" w:rsidRDefault="005C5984" w:rsidP="004235D5">
      <w:pPr>
        <w:spacing w:after="0" w:line="240" w:lineRule="auto"/>
        <w:rPr>
          <w:sz w:val="24"/>
          <w:szCs w:val="24"/>
        </w:rPr>
      </w:pPr>
      <w:r w:rsidRPr="004235D5">
        <w:rPr>
          <w:sz w:val="24"/>
          <w:szCs w:val="24"/>
        </w:rPr>
        <w:t>This is particularly true because DOH expects to continue to review the programs for which it procures health and human services, like all of its programs, carefully and with a critical eye to identify opportunities for greater efficiency and improvements in outcomes.  Where such modifications to this plan are significant, DOH expects to propose them to OPM as an amendment to this plan, as approved.</w:t>
      </w:r>
    </w:p>
    <w:p w:rsidR="004235D5" w:rsidRPr="004235D5" w:rsidRDefault="004235D5" w:rsidP="004235D5">
      <w:pPr>
        <w:spacing w:after="0" w:line="240" w:lineRule="auto"/>
        <w:rPr>
          <w:sz w:val="24"/>
          <w:szCs w:val="24"/>
        </w:rPr>
      </w:pPr>
    </w:p>
    <w:p w:rsidR="00263B49" w:rsidRDefault="000114FF" w:rsidP="004235D5">
      <w:pPr>
        <w:spacing w:after="0" w:line="240" w:lineRule="auto"/>
        <w:rPr>
          <w:sz w:val="24"/>
          <w:szCs w:val="24"/>
          <w:u w:val="single"/>
        </w:rPr>
      </w:pPr>
      <w:r>
        <w:rPr>
          <w:sz w:val="24"/>
          <w:szCs w:val="24"/>
          <w:u w:val="single"/>
        </w:rPr>
        <w:t>III</w:t>
      </w:r>
      <w:proofErr w:type="gramStart"/>
      <w:r>
        <w:rPr>
          <w:sz w:val="24"/>
          <w:szCs w:val="24"/>
          <w:u w:val="single"/>
        </w:rPr>
        <w:t xml:space="preserve">.  </w:t>
      </w:r>
      <w:r w:rsidR="005C5984" w:rsidRPr="004235D5">
        <w:rPr>
          <w:sz w:val="24"/>
          <w:szCs w:val="24"/>
          <w:u w:val="single"/>
        </w:rPr>
        <w:t>Overview</w:t>
      </w:r>
      <w:proofErr w:type="gramEnd"/>
      <w:r w:rsidR="005C5984" w:rsidRPr="004235D5">
        <w:rPr>
          <w:sz w:val="24"/>
          <w:szCs w:val="24"/>
          <w:u w:val="single"/>
        </w:rPr>
        <w:t xml:space="preserve"> of </w:t>
      </w:r>
      <w:r w:rsidR="00E63216" w:rsidRPr="004235D5">
        <w:rPr>
          <w:sz w:val="24"/>
          <w:szCs w:val="24"/>
          <w:u w:val="single"/>
        </w:rPr>
        <w:t xml:space="preserve">the </w:t>
      </w:r>
      <w:r w:rsidR="000C3252" w:rsidRPr="004235D5">
        <w:rPr>
          <w:sz w:val="24"/>
          <w:szCs w:val="24"/>
          <w:u w:val="single"/>
        </w:rPr>
        <w:t>Need for the Purchase of Health and Human Services</w:t>
      </w:r>
      <w:r w:rsidR="00E63216" w:rsidRPr="004235D5">
        <w:rPr>
          <w:sz w:val="24"/>
          <w:szCs w:val="24"/>
          <w:u w:val="single"/>
        </w:rPr>
        <w:t xml:space="preserve"> at DOH</w:t>
      </w:r>
    </w:p>
    <w:p w:rsidR="004235D5" w:rsidRPr="004235D5" w:rsidRDefault="004235D5" w:rsidP="004235D5">
      <w:pPr>
        <w:spacing w:after="0" w:line="240" w:lineRule="auto"/>
        <w:rPr>
          <w:sz w:val="24"/>
          <w:szCs w:val="24"/>
          <w:u w:val="single"/>
        </w:rPr>
      </w:pPr>
    </w:p>
    <w:p w:rsidR="00225910" w:rsidRDefault="00E63216" w:rsidP="004235D5">
      <w:pPr>
        <w:spacing w:after="0" w:line="240" w:lineRule="auto"/>
        <w:rPr>
          <w:sz w:val="24"/>
          <w:szCs w:val="24"/>
        </w:rPr>
      </w:pPr>
      <w:r w:rsidRPr="004235D5">
        <w:rPr>
          <w:sz w:val="24"/>
          <w:szCs w:val="24"/>
        </w:rPr>
        <w:t xml:space="preserve">In furtherance of its mission to foster a Connecticut where affordable housing in strong, vibrant, and inclusive communities is accessible to individuals and families across the state and homelessness is a thing of the past, DOH administers a wide variety of State- and federally-funded programs, performs various statutorily </w:t>
      </w:r>
      <w:r w:rsidR="00225910" w:rsidRPr="004235D5">
        <w:rPr>
          <w:sz w:val="24"/>
          <w:szCs w:val="24"/>
        </w:rPr>
        <w:t>designated</w:t>
      </w:r>
      <w:r w:rsidRPr="004235D5">
        <w:rPr>
          <w:sz w:val="24"/>
          <w:szCs w:val="24"/>
        </w:rPr>
        <w:t xml:space="preserve"> oversight and adjudicatory roles, conducts research, and sets policy.  </w:t>
      </w:r>
    </w:p>
    <w:p w:rsidR="004235D5" w:rsidRPr="004235D5" w:rsidRDefault="004235D5" w:rsidP="004235D5">
      <w:pPr>
        <w:spacing w:after="0" w:line="240" w:lineRule="auto"/>
        <w:rPr>
          <w:sz w:val="24"/>
          <w:szCs w:val="24"/>
        </w:rPr>
      </w:pPr>
    </w:p>
    <w:p w:rsidR="00225910" w:rsidRDefault="00225910" w:rsidP="004235D5">
      <w:pPr>
        <w:spacing w:after="0" w:line="240" w:lineRule="auto"/>
        <w:rPr>
          <w:sz w:val="24"/>
          <w:szCs w:val="24"/>
        </w:rPr>
      </w:pPr>
      <w:r w:rsidRPr="004235D5">
        <w:rPr>
          <w:sz w:val="24"/>
          <w:szCs w:val="24"/>
        </w:rPr>
        <w:t xml:space="preserve">While many of DOH’s programs involve providing financial assistance to facilitate the creation and preservation of affordable and supportive housing, including both multi-family and homeownership projects, and congregate housing for the frail elderly, </w:t>
      </w:r>
      <w:r w:rsidR="00E63216" w:rsidRPr="004235D5">
        <w:rPr>
          <w:sz w:val="24"/>
          <w:szCs w:val="24"/>
        </w:rPr>
        <w:t>DOH’s Individual and Family Support Programs</w:t>
      </w:r>
      <w:r w:rsidRPr="004235D5">
        <w:rPr>
          <w:sz w:val="24"/>
          <w:szCs w:val="24"/>
        </w:rPr>
        <w:t xml:space="preserve"> (IFSP)</w:t>
      </w:r>
      <w:r w:rsidR="00E63216" w:rsidRPr="004235D5">
        <w:rPr>
          <w:sz w:val="24"/>
          <w:szCs w:val="24"/>
        </w:rPr>
        <w:t xml:space="preserve"> unit focuses on providing assistance to low- and extremely low income individuals and families to </w:t>
      </w:r>
      <w:r w:rsidR="00E92069" w:rsidRPr="004235D5">
        <w:rPr>
          <w:sz w:val="24"/>
          <w:szCs w:val="24"/>
        </w:rPr>
        <w:t xml:space="preserve">reduce and eliminate homelessness in the State.  </w:t>
      </w:r>
    </w:p>
    <w:p w:rsidR="004235D5" w:rsidRPr="004235D5" w:rsidRDefault="004235D5" w:rsidP="004235D5">
      <w:pPr>
        <w:spacing w:after="0" w:line="240" w:lineRule="auto"/>
        <w:rPr>
          <w:sz w:val="24"/>
          <w:szCs w:val="24"/>
        </w:rPr>
      </w:pPr>
    </w:p>
    <w:p w:rsidR="00E92069" w:rsidRDefault="00E92069" w:rsidP="004235D5">
      <w:pPr>
        <w:spacing w:after="0" w:line="240" w:lineRule="auto"/>
        <w:rPr>
          <w:sz w:val="24"/>
          <w:szCs w:val="24"/>
        </w:rPr>
      </w:pPr>
      <w:r w:rsidRPr="004235D5">
        <w:rPr>
          <w:sz w:val="24"/>
          <w:szCs w:val="24"/>
        </w:rPr>
        <w:t xml:space="preserve">Programs administered by </w:t>
      </w:r>
      <w:r w:rsidR="00225910" w:rsidRPr="004235D5">
        <w:rPr>
          <w:sz w:val="24"/>
          <w:szCs w:val="24"/>
        </w:rPr>
        <w:t xml:space="preserve">the IFSP unit </w:t>
      </w:r>
      <w:r w:rsidRPr="004235D5">
        <w:rPr>
          <w:sz w:val="24"/>
          <w:szCs w:val="24"/>
        </w:rPr>
        <w:t>include</w:t>
      </w:r>
      <w:r w:rsidR="00C722C3" w:rsidRPr="004235D5">
        <w:rPr>
          <w:sz w:val="24"/>
          <w:szCs w:val="24"/>
        </w:rPr>
        <w:t xml:space="preserve"> </w:t>
      </w:r>
      <w:r w:rsidRPr="004235D5">
        <w:rPr>
          <w:sz w:val="24"/>
          <w:szCs w:val="24"/>
        </w:rPr>
        <w:t xml:space="preserve">funding </w:t>
      </w:r>
      <w:r w:rsidR="00C722C3" w:rsidRPr="004235D5">
        <w:rPr>
          <w:sz w:val="24"/>
          <w:szCs w:val="24"/>
        </w:rPr>
        <w:t>emergency shelters, transitional living programs,</w:t>
      </w:r>
      <w:r w:rsidRPr="004235D5">
        <w:rPr>
          <w:sz w:val="24"/>
          <w:szCs w:val="24"/>
        </w:rPr>
        <w:t xml:space="preserve"> rental assistance, rapid rehousing, foreclosure prevention, mobility counseling, security deposit guaranties, homelessness prevention services, and the establishment of </w:t>
      </w:r>
      <w:r w:rsidR="00C722C3" w:rsidRPr="004235D5">
        <w:rPr>
          <w:sz w:val="24"/>
          <w:szCs w:val="24"/>
        </w:rPr>
        <w:t>a new coordinated access system statewide that offers comprehensive assessments and referral services to meet the housing needs of vulne</w:t>
      </w:r>
      <w:r w:rsidRPr="004235D5">
        <w:rPr>
          <w:sz w:val="24"/>
          <w:szCs w:val="24"/>
        </w:rPr>
        <w:t xml:space="preserve">rable individuals and families.  </w:t>
      </w:r>
    </w:p>
    <w:p w:rsidR="004235D5" w:rsidRPr="004235D5" w:rsidRDefault="004235D5" w:rsidP="004235D5">
      <w:pPr>
        <w:spacing w:after="0" w:line="240" w:lineRule="auto"/>
        <w:rPr>
          <w:sz w:val="24"/>
          <w:szCs w:val="24"/>
        </w:rPr>
      </w:pPr>
    </w:p>
    <w:p w:rsidR="00C722C3" w:rsidRDefault="00E92069" w:rsidP="004235D5">
      <w:pPr>
        <w:spacing w:after="0" w:line="240" w:lineRule="auto"/>
        <w:rPr>
          <w:sz w:val="24"/>
          <w:szCs w:val="24"/>
        </w:rPr>
      </w:pPr>
      <w:r w:rsidRPr="004235D5">
        <w:rPr>
          <w:sz w:val="24"/>
          <w:szCs w:val="24"/>
        </w:rPr>
        <w:t xml:space="preserve">In FY 2014, the first fiscal year in which DOH administered programs involving the procurement of health and human services under POS contracts, DOH </w:t>
      </w:r>
      <w:r w:rsidR="00F418A1" w:rsidRPr="004235D5">
        <w:rPr>
          <w:sz w:val="24"/>
          <w:szCs w:val="24"/>
        </w:rPr>
        <w:t>was a party to 109</w:t>
      </w:r>
      <w:r w:rsidRPr="004235D5">
        <w:rPr>
          <w:sz w:val="24"/>
          <w:szCs w:val="24"/>
        </w:rPr>
        <w:t xml:space="preserve"> POS contracts</w:t>
      </w:r>
      <w:r w:rsidR="00F418A1" w:rsidRPr="004235D5">
        <w:rPr>
          <w:sz w:val="24"/>
          <w:szCs w:val="24"/>
        </w:rPr>
        <w:t>, all of which had previously been executed on behalf of the State by DSS</w:t>
      </w:r>
      <w:r w:rsidRPr="004235D5">
        <w:rPr>
          <w:sz w:val="24"/>
          <w:szCs w:val="24"/>
        </w:rPr>
        <w:t xml:space="preserve">.  </w:t>
      </w:r>
      <w:r w:rsidR="00F418A1" w:rsidRPr="004235D5">
        <w:rPr>
          <w:sz w:val="24"/>
          <w:szCs w:val="24"/>
        </w:rPr>
        <w:t>The vast majority of these contracts (approximately 99) were amended prior to the end of FY 14 to extend the</w:t>
      </w:r>
      <w:r w:rsidR="009F6F89">
        <w:rPr>
          <w:sz w:val="24"/>
          <w:szCs w:val="24"/>
        </w:rPr>
        <w:t>ir</w:t>
      </w:r>
      <w:r w:rsidR="00F418A1" w:rsidRPr="004235D5">
        <w:rPr>
          <w:sz w:val="24"/>
          <w:szCs w:val="24"/>
        </w:rPr>
        <w:t xml:space="preserve"> </w:t>
      </w:r>
      <w:r w:rsidR="009F6F89">
        <w:rPr>
          <w:sz w:val="24"/>
          <w:szCs w:val="24"/>
        </w:rPr>
        <w:t xml:space="preserve">respective </w:t>
      </w:r>
      <w:r w:rsidR="00F418A1" w:rsidRPr="004235D5">
        <w:rPr>
          <w:sz w:val="24"/>
          <w:szCs w:val="24"/>
        </w:rPr>
        <w:t>term</w:t>
      </w:r>
      <w:r w:rsidR="009F6F89">
        <w:rPr>
          <w:sz w:val="24"/>
          <w:szCs w:val="24"/>
        </w:rPr>
        <w:t>s</w:t>
      </w:r>
      <w:r w:rsidR="00F418A1" w:rsidRPr="004235D5">
        <w:rPr>
          <w:sz w:val="24"/>
          <w:szCs w:val="24"/>
        </w:rPr>
        <w:t xml:space="preserve"> for an additional one-year period (i.e. the end of FY 15) and to provide for approximately level funding, within the limits of the budget authority that had been transferred to DOH at the outset of FY 14.</w:t>
      </w:r>
    </w:p>
    <w:p w:rsidR="004235D5" w:rsidRPr="004235D5" w:rsidRDefault="004235D5" w:rsidP="004235D5">
      <w:pPr>
        <w:spacing w:after="0" w:line="240" w:lineRule="auto"/>
        <w:rPr>
          <w:sz w:val="24"/>
          <w:szCs w:val="24"/>
        </w:rPr>
      </w:pPr>
    </w:p>
    <w:p w:rsidR="004C7DB3" w:rsidRDefault="00F418A1" w:rsidP="004235D5">
      <w:pPr>
        <w:spacing w:after="0" w:line="240" w:lineRule="auto"/>
        <w:rPr>
          <w:sz w:val="24"/>
          <w:szCs w:val="24"/>
        </w:rPr>
      </w:pPr>
      <w:r w:rsidRPr="004235D5">
        <w:rPr>
          <w:sz w:val="24"/>
          <w:szCs w:val="24"/>
        </w:rPr>
        <w:t xml:space="preserve">At the start of FY 15, DOH undertook a strategic overview of the programs in the IFSP unit to identify the priorities for </w:t>
      </w:r>
      <w:r w:rsidR="003C77BD" w:rsidRPr="004235D5">
        <w:rPr>
          <w:sz w:val="24"/>
          <w:szCs w:val="24"/>
        </w:rPr>
        <w:t xml:space="preserve">in-depth programmatic review and re-procurement.  Based on this </w:t>
      </w:r>
      <w:r w:rsidR="003C77BD" w:rsidRPr="004235D5">
        <w:rPr>
          <w:sz w:val="24"/>
          <w:szCs w:val="24"/>
        </w:rPr>
        <w:lastRenderedPageBreak/>
        <w:t>review, three programs were selected for in-depth programmatic review and re-procurement within FY 15 (Emergency Shelter Services, Housing Opportunities for Persons with AIDS, and Mobility Counseling).</w:t>
      </w:r>
      <w:r w:rsidR="004C7DB3" w:rsidRPr="004235D5">
        <w:rPr>
          <w:sz w:val="24"/>
          <w:szCs w:val="24"/>
        </w:rPr>
        <w:t xml:space="preserve">  In addition, </w:t>
      </w:r>
      <w:r w:rsidR="009F6F89">
        <w:rPr>
          <w:sz w:val="24"/>
          <w:szCs w:val="24"/>
        </w:rPr>
        <w:t>three</w:t>
      </w:r>
      <w:r w:rsidR="004C7DB3" w:rsidRPr="004235D5">
        <w:rPr>
          <w:sz w:val="24"/>
          <w:szCs w:val="24"/>
        </w:rPr>
        <w:t xml:space="preserve"> programs were selected for in-depth programmatic review and re-procurement during FY 16 (Eviction Foreclosure Prevention &amp; Security Deposit </w:t>
      </w:r>
      <w:r w:rsidR="009F6F89">
        <w:rPr>
          <w:sz w:val="24"/>
          <w:szCs w:val="24"/>
        </w:rPr>
        <w:t xml:space="preserve">Guaranty, AIDS, </w:t>
      </w:r>
      <w:proofErr w:type="gramStart"/>
      <w:r w:rsidR="009F6F89">
        <w:rPr>
          <w:sz w:val="24"/>
          <w:szCs w:val="24"/>
        </w:rPr>
        <w:t>Rapid</w:t>
      </w:r>
      <w:proofErr w:type="gramEnd"/>
      <w:r w:rsidR="009F6F89">
        <w:rPr>
          <w:sz w:val="24"/>
          <w:szCs w:val="24"/>
        </w:rPr>
        <w:t xml:space="preserve"> Rehousing</w:t>
      </w:r>
      <w:r w:rsidR="004C7DB3" w:rsidRPr="004235D5">
        <w:rPr>
          <w:sz w:val="24"/>
          <w:szCs w:val="24"/>
        </w:rPr>
        <w:t>).</w:t>
      </w:r>
      <w:r w:rsidR="009F6F89">
        <w:rPr>
          <w:sz w:val="24"/>
          <w:szCs w:val="24"/>
        </w:rPr>
        <w:t xml:space="preserve">  The Transitional Living Program was selected for in-depth programmatic review during FY 16 in connection with an Alternative Practice Improvement Approach.</w:t>
      </w:r>
      <w:r w:rsidR="004C7DB3" w:rsidRPr="004235D5">
        <w:rPr>
          <w:sz w:val="24"/>
          <w:szCs w:val="24"/>
        </w:rPr>
        <w:t xml:space="preserve">  </w:t>
      </w:r>
      <w:proofErr w:type="gramStart"/>
      <w:r w:rsidR="004C7DB3" w:rsidRPr="004235D5">
        <w:rPr>
          <w:sz w:val="24"/>
          <w:szCs w:val="24"/>
        </w:rPr>
        <w:t>A</w:t>
      </w:r>
      <w:proofErr w:type="gramEnd"/>
      <w:r w:rsidR="004C7DB3" w:rsidRPr="004235D5">
        <w:rPr>
          <w:sz w:val="24"/>
          <w:szCs w:val="24"/>
        </w:rPr>
        <w:t xml:space="preserve"> final program (</w:t>
      </w:r>
      <w:r w:rsidR="00D51586" w:rsidRPr="004235D5">
        <w:rPr>
          <w:sz w:val="24"/>
          <w:szCs w:val="24"/>
        </w:rPr>
        <w:t>Section 8/</w:t>
      </w:r>
      <w:r w:rsidR="004C7DB3" w:rsidRPr="004235D5">
        <w:rPr>
          <w:sz w:val="24"/>
          <w:szCs w:val="24"/>
        </w:rPr>
        <w:t>Rental Assistance) was selected for in-depth programmatic review and re-procurement during FY 17.</w:t>
      </w:r>
    </w:p>
    <w:p w:rsidR="004235D5" w:rsidRPr="004235D5" w:rsidRDefault="004235D5" w:rsidP="004235D5">
      <w:pPr>
        <w:spacing w:after="0" w:line="240" w:lineRule="auto"/>
        <w:rPr>
          <w:sz w:val="24"/>
          <w:szCs w:val="24"/>
        </w:rPr>
      </w:pPr>
    </w:p>
    <w:p w:rsidR="004C7DB3" w:rsidRDefault="000114FF" w:rsidP="004235D5">
      <w:pPr>
        <w:spacing w:after="0" w:line="240" w:lineRule="auto"/>
        <w:rPr>
          <w:sz w:val="24"/>
          <w:szCs w:val="24"/>
          <w:u w:val="single"/>
        </w:rPr>
      </w:pPr>
      <w:r>
        <w:rPr>
          <w:sz w:val="24"/>
          <w:szCs w:val="24"/>
          <w:u w:val="single"/>
        </w:rPr>
        <w:t>IV</w:t>
      </w:r>
      <w:proofErr w:type="gramStart"/>
      <w:r>
        <w:rPr>
          <w:sz w:val="24"/>
          <w:szCs w:val="24"/>
          <w:u w:val="single"/>
        </w:rPr>
        <w:t xml:space="preserve">.  </w:t>
      </w:r>
      <w:r w:rsidR="00D51586" w:rsidRPr="004235D5">
        <w:rPr>
          <w:sz w:val="24"/>
          <w:szCs w:val="24"/>
          <w:u w:val="single"/>
        </w:rPr>
        <w:t>Procurement</w:t>
      </w:r>
      <w:proofErr w:type="gramEnd"/>
      <w:r w:rsidR="00D51586" w:rsidRPr="004235D5">
        <w:rPr>
          <w:sz w:val="24"/>
          <w:szCs w:val="24"/>
          <w:u w:val="single"/>
        </w:rPr>
        <w:t xml:space="preserve"> Process</w:t>
      </w:r>
    </w:p>
    <w:p w:rsidR="004235D5" w:rsidRPr="004235D5" w:rsidRDefault="004235D5" w:rsidP="004235D5">
      <w:pPr>
        <w:spacing w:after="0" w:line="240" w:lineRule="auto"/>
        <w:rPr>
          <w:sz w:val="24"/>
          <w:szCs w:val="24"/>
          <w:u w:val="single"/>
        </w:rPr>
      </w:pPr>
    </w:p>
    <w:p w:rsidR="00D51586" w:rsidRDefault="00D51586" w:rsidP="004235D5">
      <w:pPr>
        <w:spacing w:after="0" w:line="240" w:lineRule="auto"/>
        <w:rPr>
          <w:sz w:val="24"/>
          <w:szCs w:val="24"/>
        </w:rPr>
      </w:pPr>
      <w:r w:rsidRPr="004235D5">
        <w:rPr>
          <w:sz w:val="24"/>
          <w:szCs w:val="24"/>
        </w:rPr>
        <w:t>In its procurement of health and human services contracts, DOH’s goal is to ensure a fair, open, consistent, and responsive procurement process from the start</w:t>
      </w:r>
      <w:r w:rsidR="00384690" w:rsidRPr="004235D5">
        <w:rPr>
          <w:sz w:val="24"/>
          <w:szCs w:val="24"/>
        </w:rPr>
        <w:t xml:space="preserve">. </w:t>
      </w:r>
      <w:r w:rsidRPr="004235D5">
        <w:rPr>
          <w:sz w:val="24"/>
          <w:szCs w:val="24"/>
        </w:rPr>
        <w:t xml:space="preserve"> In connection with its own internal review of the program for which services are to be procured, DOH will ordinarily seek input from existing contractors and, as applicable, other state agencies and interagency bodies, federal officials, municipal representatives, and other third-party stakeholders such as non-profit advocates.  </w:t>
      </w:r>
      <w:proofErr w:type="gramStart"/>
      <w:r w:rsidRPr="004235D5">
        <w:rPr>
          <w:sz w:val="24"/>
          <w:szCs w:val="24"/>
        </w:rPr>
        <w:t>Based on this programmatic review, DOH crafts the procurement.</w:t>
      </w:r>
      <w:proofErr w:type="gramEnd"/>
      <w:r w:rsidR="00384690" w:rsidRPr="004235D5">
        <w:rPr>
          <w:sz w:val="24"/>
          <w:szCs w:val="24"/>
        </w:rPr>
        <w:t xml:space="preserve">  </w:t>
      </w:r>
    </w:p>
    <w:p w:rsidR="004235D5" w:rsidRPr="004235D5" w:rsidRDefault="004235D5" w:rsidP="004235D5">
      <w:pPr>
        <w:spacing w:after="0" w:line="240" w:lineRule="auto"/>
        <w:rPr>
          <w:sz w:val="24"/>
          <w:szCs w:val="24"/>
        </w:rPr>
      </w:pPr>
    </w:p>
    <w:p w:rsidR="00D51586" w:rsidRPr="004235D5" w:rsidRDefault="00384690" w:rsidP="004235D5">
      <w:pPr>
        <w:spacing w:after="0" w:line="240" w:lineRule="auto"/>
        <w:rPr>
          <w:sz w:val="24"/>
          <w:szCs w:val="24"/>
        </w:rPr>
      </w:pPr>
      <w:r w:rsidRPr="004235D5">
        <w:rPr>
          <w:sz w:val="24"/>
          <w:szCs w:val="24"/>
        </w:rPr>
        <w:t>In the absence of countervailing circumstances, DOH procures health and human services through a competitive procurement process.  The decision to conduct a competitive procurement is impacted by a variety of factors:</w:t>
      </w:r>
    </w:p>
    <w:p w:rsidR="00384690" w:rsidRPr="004235D5" w:rsidRDefault="00384690" w:rsidP="004235D5">
      <w:pPr>
        <w:spacing w:after="0" w:line="240" w:lineRule="auto"/>
        <w:rPr>
          <w:sz w:val="24"/>
          <w:szCs w:val="24"/>
        </w:rPr>
      </w:pPr>
    </w:p>
    <w:p w:rsidR="00376456" w:rsidRPr="004235D5" w:rsidRDefault="00384690" w:rsidP="004235D5">
      <w:pPr>
        <w:pStyle w:val="ListParagraph"/>
        <w:numPr>
          <w:ilvl w:val="0"/>
          <w:numId w:val="1"/>
        </w:numPr>
        <w:spacing w:after="0" w:line="240" w:lineRule="auto"/>
        <w:ind w:left="1260" w:hanging="540"/>
        <w:rPr>
          <w:sz w:val="24"/>
          <w:szCs w:val="24"/>
        </w:rPr>
      </w:pPr>
      <w:r w:rsidRPr="004235D5">
        <w:rPr>
          <w:sz w:val="24"/>
          <w:szCs w:val="24"/>
        </w:rPr>
        <w:t xml:space="preserve">Express requirements </w:t>
      </w:r>
      <w:r w:rsidR="00376456" w:rsidRPr="004235D5">
        <w:rPr>
          <w:sz w:val="24"/>
          <w:szCs w:val="24"/>
        </w:rPr>
        <w:t>stipulated by the funding source (for example, an “earmark” or similar specification in a federal appropriation);</w:t>
      </w:r>
    </w:p>
    <w:p w:rsidR="00376456" w:rsidRPr="004235D5" w:rsidRDefault="00376456" w:rsidP="004235D5">
      <w:pPr>
        <w:pStyle w:val="ListParagraph"/>
        <w:numPr>
          <w:ilvl w:val="0"/>
          <w:numId w:val="1"/>
        </w:numPr>
        <w:spacing w:after="0" w:line="240" w:lineRule="auto"/>
        <w:ind w:left="1260" w:hanging="540"/>
        <w:rPr>
          <w:sz w:val="24"/>
          <w:szCs w:val="24"/>
        </w:rPr>
      </w:pPr>
      <w:r w:rsidRPr="004235D5">
        <w:rPr>
          <w:sz w:val="24"/>
          <w:szCs w:val="24"/>
        </w:rPr>
        <w:t>The existence of potential viable alternative providers of the services in question;</w:t>
      </w:r>
    </w:p>
    <w:p w:rsidR="00376456" w:rsidRPr="004235D5" w:rsidRDefault="00376456" w:rsidP="004235D5">
      <w:pPr>
        <w:pStyle w:val="ListParagraph"/>
        <w:numPr>
          <w:ilvl w:val="0"/>
          <w:numId w:val="1"/>
        </w:numPr>
        <w:spacing w:after="0" w:line="240" w:lineRule="auto"/>
        <w:ind w:left="1260" w:hanging="540"/>
        <w:rPr>
          <w:sz w:val="24"/>
          <w:szCs w:val="24"/>
        </w:rPr>
      </w:pPr>
      <w:r w:rsidRPr="004235D5">
        <w:rPr>
          <w:sz w:val="24"/>
          <w:szCs w:val="24"/>
        </w:rPr>
        <w:t>The extent to which consistency in the delivery of the services in question is needed;</w:t>
      </w:r>
    </w:p>
    <w:p w:rsidR="00376456" w:rsidRPr="004235D5" w:rsidRDefault="00376456" w:rsidP="004235D5">
      <w:pPr>
        <w:pStyle w:val="ListParagraph"/>
        <w:numPr>
          <w:ilvl w:val="0"/>
          <w:numId w:val="1"/>
        </w:numPr>
        <w:spacing w:after="0" w:line="240" w:lineRule="auto"/>
        <w:ind w:left="1260" w:hanging="540"/>
        <w:rPr>
          <w:sz w:val="24"/>
          <w:szCs w:val="24"/>
        </w:rPr>
      </w:pPr>
      <w:r w:rsidRPr="004235D5">
        <w:rPr>
          <w:sz w:val="24"/>
          <w:szCs w:val="24"/>
        </w:rPr>
        <w:t xml:space="preserve">The extent to which a competitive procurement would likely result in an interruption in the services in question and the extent to which </w:t>
      </w:r>
      <w:r w:rsidR="004235D5" w:rsidRPr="004235D5">
        <w:rPr>
          <w:sz w:val="24"/>
          <w:szCs w:val="24"/>
        </w:rPr>
        <w:t>maintaining uninterrupted services is needed;</w:t>
      </w:r>
    </w:p>
    <w:p w:rsidR="00376456" w:rsidRPr="004235D5" w:rsidRDefault="00376456" w:rsidP="004235D5">
      <w:pPr>
        <w:pStyle w:val="ListParagraph"/>
        <w:numPr>
          <w:ilvl w:val="0"/>
          <w:numId w:val="1"/>
        </w:numPr>
        <w:spacing w:after="0" w:line="240" w:lineRule="auto"/>
        <w:ind w:left="1260" w:hanging="540"/>
        <w:rPr>
          <w:sz w:val="24"/>
          <w:szCs w:val="24"/>
        </w:rPr>
      </w:pPr>
      <w:r w:rsidRPr="004235D5">
        <w:rPr>
          <w:sz w:val="24"/>
          <w:szCs w:val="24"/>
        </w:rPr>
        <w:t>The attendant costs and the risk of harm to program beneficiaries resulting from a transition to a new service provider;</w:t>
      </w:r>
    </w:p>
    <w:p w:rsidR="00376456" w:rsidRPr="004235D5" w:rsidRDefault="00376456" w:rsidP="004235D5">
      <w:pPr>
        <w:pStyle w:val="ListParagraph"/>
        <w:numPr>
          <w:ilvl w:val="0"/>
          <w:numId w:val="1"/>
        </w:numPr>
        <w:spacing w:after="0" w:line="240" w:lineRule="auto"/>
        <w:ind w:left="1260" w:hanging="540"/>
        <w:rPr>
          <w:sz w:val="24"/>
          <w:szCs w:val="24"/>
        </w:rPr>
      </w:pPr>
      <w:r w:rsidRPr="004235D5">
        <w:rPr>
          <w:sz w:val="24"/>
          <w:szCs w:val="24"/>
        </w:rPr>
        <w:t>Contractor performance issues;</w:t>
      </w:r>
      <w:r w:rsidR="004235D5" w:rsidRPr="004235D5">
        <w:rPr>
          <w:sz w:val="24"/>
          <w:szCs w:val="24"/>
        </w:rPr>
        <w:t xml:space="preserve"> and</w:t>
      </w:r>
    </w:p>
    <w:p w:rsidR="00376456" w:rsidRPr="004235D5" w:rsidRDefault="004235D5" w:rsidP="004235D5">
      <w:pPr>
        <w:pStyle w:val="ListParagraph"/>
        <w:numPr>
          <w:ilvl w:val="0"/>
          <w:numId w:val="1"/>
        </w:numPr>
        <w:spacing w:after="0" w:line="240" w:lineRule="auto"/>
        <w:ind w:left="1260" w:hanging="540"/>
        <w:rPr>
          <w:sz w:val="24"/>
          <w:szCs w:val="24"/>
        </w:rPr>
      </w:pPr>
      <w:r w:rsidRPr="004235D5">
        <w:rPr>
          <w:sz w:val="24"/>
          <w:szCs w:val="24"/>
        </w:rPr>
        <w:t>Funding availability.</w:t>
      </w:r>
    </w:p>
    <w:p w:rsidR="00384690" w:rsidRPr="004235D5" w:rsidRDefault="00384690" w:rsidP="004235D5">
      <w:pPr>
        <w:spacing w:after="0" w:line="240" w:lineRule="auto"/>
        <w:rPr>
          <w:sz w:val="24"/>
          <w:szCs w:val="24"/>
        </w:rPr>
      </w:pPr>
    </w:p>
    <w:p w:rsidR="00384690" w:rsidRDefault="00384690" w:rsidP="004235D5">
      <w:pPr>
        <w:spacing w:after="0" w:line="240" w:lineRule="auto"/>
        <w:rPr>
          <w:sz w:val="24"/>
          <w:szCs w:val="24"/>
        </w:rPr>
      </w:pPr>
      <w:r w:rsidRPr="004235D5">
        <w:rPr>
          <w:sz w:val="24"/>
          <w:szCs w:val="24"/>
        </w:rPr>
        <w:t>The analysis also considers whether or not a practice improvement approach or a waiver from competitive procurement should be requested from OPM.</w:t>
      </w:r>
    </w:p>
    <w:p w:rsidR="00F115E9" w:rsidRPr="004235D5" w:rsidRDefault="00F115E9" w:rsidP="004235D5">
      <w:pPr>
        <w:spacing w:after="0" w:line="240" w:lineRule="auto"/>
        <w:rPr>
          <w:sz w:val="24"/>
          <w:szCs w:val="24"/>
        </w:rPr>
      </w:pPr>
    </w:p>
    <w:p w:rsidR="00D26BAC" w:rsidRDefault="004235D5" w:rsidP="004235D5">
      <w:pPr>
        <w:spacing w:after="0" w:line="240" w:lineRule="auto"/>
        <w:rPr>
          <w:sz w:val="24"/>
          <w:szCs w:val="24"/>
        </w:rPr>
      </w:pPr>
      <w:r>
        <w:rPr>
          <w:sz w:val="24"/>
          <w:szCs w:val="24"/>
        </w:rPr>
        <w:t xml:space="preserve">The </w:t>
      </w:r>
      <w:r w:rsidRPr="004235D5">
        <w:rPr>
          <w:sz w:val="24"/>
          <w:szCs w:val="24"/>
        </w:rPr>
        <w:t xml:space="preserve">decision </w:t>
      </w:r>
      <w:r>
        <w:rPr>
          <w:sz w:val="24"/>
          <w:szCs w:val="24"/>
        </w:rPr>
        <w:t xml:space="preserve">as to whether </w:t>
      </w:r>
      <w:r w:rsidRPr="004235D5">
        <w:rPr>
          <w:sz w:val="24"/>
          <w:szCs w:val="24"/>
        </w:rPr>
        <w:t xml:space="preserve">to </w:t>
      </w:r>
      <w:r>
        <w:rPr>
          <w:sz w:val="24"/>
          <w:szCs w:val="24"/>
        </w:rPr>
        <w:t xml:space="preserve">pursue a procurement method other than a competitive </w:t>
      </w:r>
      <w:r w:rsidRPr="004235D5">
        <w:rPr>
          <w:sz w:val="24"/>
          <w:szCs w:val="24"/>
        </w:rPr>
        <w:t xml:space="preserve">procurement </w:t>
      </w:r>
      <w:r>
        <w:rPr>
          <w:sz w:val="24"/>
          <w:szCs w:val="24"/>
        </w:rPr>
        <w:t>is</w:t>
      </w:r>
      <w:r w:rsidRPr="004235D5">
        <w:rPr>
          <w:sz w:val="24"/>
          <w:szCs w:val="24"/>
        </w:rPr>
        <w:t xml:space="preserve"> first made at a program level by the </w:t>
      </w:r>
      <w:r w:rsidR="00952C3F">
        <w:rPr>
          <w:sz w:val="24"/>
          <w:szCs w:val="24"/>
        </w:rPr>
        <w:t xml:space="preserve">DOH </w:t>
      </w:r>
      <w:r w:rsidRPr="004235D5">
        <w:rPr>
          <w:sz w:val="24"/>
          <w:szCs w:val="24"/>
        </w:rPr>
        <w:t>Commissioner</w:t>
      </w:r>
      <w:r>
        <w:rPr>
          <w:sz w:val="24"/>
          <w:szCs w:val="24"/>
        </w:rPr>
        <w:t>, aid</w:t>
      </w:r>
      <w:r w:rsidR="00952C3F">
        <w:rPr>
          <w:sz w:val="24"/>
          <w:szCs w:val="24"/>
        </w:rPr>
        <w:t>ed</w:t>
      </w:r>
      <w:r>
        <w:rPr>
          <w:sz w:val="24"/>
          <w:szCs w:val="24"/>
        </w:rPr>
        <w:t xml:space="preserve"> by the analysis and recommendation of program staff and relevant managerial staff.  </w:t>
      </w:r>
    </w:p>
    <w:p w:rsidR="00D26BAC" w:rsidRDefault="00D26BAC" w:rsidP="004235D5">
      <w:pPr>
        <w:spacing w:after="0" w:line="240" w:lineRule="auto"/>
        <w:rPr>
          <w:sz w:val="24"/>
          <w:szCs w:val="24"/>
        </w:rPr>
      </w:pPr>
    </w:p>
    <w:p w:rsidR="00D26BAC" w:rsidRDefault="004235D5" w:rsidP="004235D5">
      <w:pPr>
        <w:spacing w:after="0" w:line="240" w:lineRule="auto"/>
        <w:rPr>
          <w:sz w:val="24"/>
          <w:szCs w:val="24"/>
        </w:rPr>
      </w:pPr>
      <w:r>
        <w:rPr>
          <w:sz w:val="24"/>
          <w:szCs w:val="24"/>
        </w:rPr>
        <w:lastRenderedPageBreak/>
        <w:t xml:space="preserve">In all </w:t>
      </w:r>
      <w:r w:rsidR="00F115E9">
        <w:rPr>
          <w:sz w:val="24"/>
          <w:szCs w:val="24"/>
        </w:rPr>
        <w:t xml:space="preserve">DOH </w:t>
      </w:r>
      <w:r>
        <w:rPr>
          <w:sz w:val="24"/>
          <w:szCs w:val="24"/>
        </w:rPr>
        <w:t xml:space="preserve">procurements of health and human services, and its contracting </w:t>
      </w:r>
      <w:r w:rsidR="00D26BAC">
        <w:rPr>
          <w:sz w:val="24"/>
          <w:szCs w:val="24"/>
        </w:rPr>
        <w:t xml:space="preserve">with providers pursuant to POS contracts, </w:t>
      </w:r>
      <w:r>
        <w:rPr>
          <w:sz w:val="24"/>
          <w:szCs w:val="24"/>
        </w:rPr>
        <w:t>DOH is aided by the leadership and staff of the Central Contracting Unit (CCU), a</w:t>
      </w:r>
      <w:r w:rsidR="00D26BAC">
        <w:rPr>
          <w:sz w:val="24"/>
          <w:szCs w:val="24"/>
        </w:rPr>
        <w:t xml:space="preserve">n operational team with </w:t>
      </w:r>
      <w:r>
        <w:rPr>
          <w:sz w:val="24"/>
          <w:szCs w:val="24"/>
        </w:rPr>
        <w:t>specialized</w:t>
      </w:r>
      <w:r w:rsidR="00D26BAC">
        <w:rPr>
          <w:sz w:val="24"/>
          <w:szCs w:val="24"/>
        </w:rPr>
        <w:t xml:space="preserve"> expertise in, among other things, procurement requirements and processes, POS contracting requirements and processes, and related compliance monitoring, budgeting, and payments.  The CCU is presently “housed” within DMHAS.  DOH anticipates continuing to work closely with the CCU in connection with the procurements covered in this plan.  </w:t>
      </w:r>
    </w:p>
    <w:p w:rsidR="00D26BAC" w:rsidRDefault="00D26BAC" w:rsidP="004235D5">
      <w:pPr>
        <w:spacing w:after="0" w:line="240" w:lineRule="auto"/>
        <w:rPr>
          <w:sz w:val="24"/>
          <w:szCs w:val="24"/>
        </w:rPr>
      </w:pPr>
    </w:p>
    <w:p w:rsidR="00F41DCC" w:rsidRDefault="00D26BAC" w:rsidP="004235D5">
      <w:pPr>
        <w:spacing w:after="0" w:line="240" w:lineRule="auto"/>
        <w:rPr>
          <w:sz w:val="24"/>
          <w:szCs w:val="24"/>
        </w:rPr>
      </w:pPr>
      <w:r>
        <w:rPr>
          <w:sz w:val="24"/>
          <w:szCs w:val="24"/>
        </w:rPr>
        <w:t xml:space="preserve">Assistance from the CCU may evolve over time, depending on the respective relevant resources of DOH and the CCU, but </w:t>
      </w:r>
      <w:r w:rsidR="00F41DCC">
        <w:rPr>
          <w:sz w:val="24"/>
          <w:szCs w:val="24"/>
        </w:rPr>
        <w:t>with respect to procurements is expected to</w:t>
      </w:r>
      <w:r>
        <w:rPr>
          <w:sz w:val="24"/>
          <w:szCs w:val="24"/>
        </w:rPr>
        <w:t xml:space="preserve"> include: maintenance of standard procurement documents</w:t>
      </w:r>
      <w:r w:rsidR="00F41DCC">
        <w:rPr>
          <w:sz w:val="24"/>
          <w:szCs w:val="24"/>
        </w:rPr>
        <w:t xml:space="preserve"> and contract forms</w:t>
      </w:r>
      <w:r>
        <w:rPr>
          <w:sz w:val="24"/>
          <w:szCs w:val="24"/>
        </w:rPr>
        <w:t xml:space="preserve">, </w:t>
      </w:r>
      <w:r w:rsidR="00F41DCC">
        <w:rPr>
          <w:sz w:val="24"/>
          <w:szCs w:val="24"/>
        </w:rPr>
        <w:t xml:space="preserve">obtaining </w:t>
      </w:r>
      <w:r w:rsidR="004235D5" w:rsidRPr="004235D5">
        <w:rPr>
          <w:sz w:val="24"/>
          <w:szCs w:val="24"/>
        </w:rPr>
        <w:t>necessary approval</w:t>
      </w:r>
      <w:r w:rsidR="00F41DCC">
        <w:rPr>
          <w:sz w:val="24"/>
          <w:szCs w:val="24"/>
        </w:rPr>
        <w:t>s</w:t>
      </w:r>
      <w:r w:rsidR="004235D5" w:rsidRPr="004235D5">
        <w:rPr>
          <w:sz w:val="24"/>
          <w:szCs w:val="24"/>
        </w:rPr>
        <w:t xml:space="preserve"> from OPM, posting the </w:t>
      </w:r>
      <w:r w:rsidR="00F41DCC">
        <w:rPr>
          <w:sz w:val="24"/>
          <w:szCs w:val="24"/>
        </w:rPr>
        <w:t>procurement documents</w:t>
      </w:r>
      <w:r w:rsidR="004235D5" w:rsidRPr="004235D5">
        <w:rPr>
          <w:sz w:val="24"/>
          <w:szCs w:val="24"/>
        </w:rPr>
        <w:t xml:space="preserve"> to the State Contracting Portal and ensuring the posting to the </w:t>
      </w:r>
      <w:r w:rsidR="00F41DCC">
        <w:rPr>
          <w:sz w:val="24"/>
          <w:szCs w:val="24"/>
        </w:rPr>
        <w:t>DOH</w:t>
      </w:r>
      <w:r w:rsidR="004235D5" w:rsidRPr="004235D5">
        <w:rPr>
          <w:sz w:val="24"/>
          <w:szCs w:val="24"/>
        </w:rPr>
        <w:t xml:space="preserve"> website</w:t>
      </w:r>
      <w:r w:rsidR="00F41DCC">
        <w:rPr>
          <w:sz w:val="24"/>
          <w:szCs w:val="24"/>
        </w:rPr>
        <w:t xml:space="preserve"> and other relevant websites, and preparing final contract documentation</w:t>
      </w:r>
      <w:r w:rsidR="004235D5" w:rsidRPr="004235D5">
        <w:rPr>
          <w:sz w:val="24"/>
          <w:szCs w:val="24"/>
        </w:rPr>
        <w:t xml:space="preserve">. </w:t>
      </w:r>
      <w:r w:rsidR="00F41DCC">
        <w:rPr>
          <w:sz w:val="24"/>
          <w:szCs w:val="24"/>
        </w:rPr>
        <w:t xml:space="preserve"> </w:t>
      </w:r>
    </w:p>
    <w:p w:rsidR="00F41DCC" w:rsidRDefault="00F41DCC" w:rsidP="004235D5">
      <w:pPr>
        <w:spacing w:after="0" w:line="240" w:lineRule="auto"/>
        <w:rPr>
          <w:sz w:val="24"/>
          <w:szCs w:val="24"/>
        </w:rPr>
      </w:pPr>
    </w:p>
    <w:p w:rsidR="004235D5" w:rsidRDefault="00F41DCC" w:rsidP="004235D5">
      <w:pPr>
        <w:spacing w:after="0" w:line="240" w:lineRule="auto"/>
        <w:rPr>
          <w:sz w:val="24"/>
          <w:szCs w:val="24"/>
        </w:rPr>
      </w:pPr>
      <w:r>
        <w:rPr>
          <w:sz w:val="24"/>
          <w:szCs w:val="24"/>
        </w:rPr>
        <w:t xml:space="preserve">DOH staff </w:t>
      </w:r>
      <w:r w:rsidR="00F115E9">
        <w:rPr>
          <w:sz w:val="24"/>
          <w:szCs w:val="24"/>
        </w:rPr>
        <w:t xml:space="preserve">members </w:t>
      </w:r>
      <w:r>
        <w:rPr>
          <w:sz w:val="24"/>
          <w:szCs w:val="24"/>
        </w:rPr>
        <w:t>are responsible</w:t>
      </w:r>
      <w:r w:rsidR="004235D5" w:rsidRPr="004235D5">
        <w:rPr>
          <w:sz w:val="24"/>
          <w:szCs w:val="24"/>
        </w:rPr>
        <w:t xml:space="preserve"> for </w:t>
      </w:r>
      <w:r>
        <w:rPr>
          <w:sz w:val="24"/>
          <w:szCs w:val="24"/>
        </w:rPr>
        <w:t>the programmatic content of the procurement document, the</w:t>
      </w:r>
      <w:r w:rsidRPr="004235D5">
        <w:rPr>
          <w:sz w:val="24"/>
          <w:szCs w:val="24"/>
        </w:rPr>
        <w:t xml:space="preserve"> development of the evaluation tool</w:t>
      </w:r>
      <w:r>
        <w:rPr>
          <w:sz w:val="24"/>
          <w:szCs w:val="24"/>
        </w:rPr>
        <w:t xml:space="preserve">, </w:t>
      </w:r>
      <w:r w:rsidR="004235D5" w:rsidRPr="004235D5">
        <w:rPr>
          <w:sz w:val="24"/>
          <w:szCs w:val="24"/>
        </w:rPr>
        <w:t>coordination of the receipt and responses to questions</w:t>
      </w:r>
      <w:r>
        <w:rPr>
          <w:sz w:val="24"/>
          <w:szCs w:val="24"/>
        </w:rPr>
        <w:t>, and the receipt of proposals or other responses to the procurement document</w:t>
      </w:r>
      <w:r w:rsidR="004235D5" w:rsidRPr="004235D5">
        <w:rPr>
          <w:sz w:val="24"/>
          <w:szCs w:val="24"/>
        </w:rPr>
        <w:t xml:space="preserve">. </w:t>
      </w:r>
      <w:r>
        <w:rPr>
          <w:sz w:val="24"/>
          <w:szCs w:val="24"/>
        </w:rPr>
        <w:t xml:space="preserve"> A DOH</w:t>
      </w:r>
      <w:r w:rsidR="004235D5" w:rsidRPr="004235D5">
        <w:rPr>
          <w:sz w:val="24"/>
          <w:szCs w:val="24"/>
        </w:rPr>
        <w:t xml:space="preserve"> staff </w:t>
      </w:r>
      <w:r>
        <w:rPr>
          <w:sz w:val="24"/>
          <w:szCs w:val="24"/>
        </w:rPr>
        <w:t>member will be</w:t>
      </w:r>
      <w:r w:rsidR="004235D5" w:rsidRPr="004235D5">
        <w:rPr>
          <w:sz w:val="24"/>
          <w:szCs w:val="24"/>
        </w:rPr>
        <w:t xml:space="preserve"> the official contact for the procurement. </w:t>
      </w:r>
      <w:r>
        <w:rPr>
          <w:sz w:val="24"/>
          <w:szCs w:val="24"/>
        </w:rPr>
        <w:t xml:space="preserve"> DOH staff </w:t>
      </w:r>
      <w:r w:rsidR="00F115E9">
        <w:rPr>
          <w:sz w:val="24"/>
          <w:szCs w:val="24"/>
        </w:rPr>
        <w:t xml:space="preserve">members </w:t>
      </w:r>
      <w:r>
        <w:rPr>
          <w:sz w:val="24"/>
          <w:szCs w:val="24"/>
        </w:rPr>
        <w:t xml:space="preserve">meet to evaluate proposals or other responses to the procurement document and </w:t>
      </w:r>
      <w:r w:rsidR="004235D5" w:rsidRPr="004235D5">
        <w:rPr>
          <w:sz w:val="24"/>
          <w:szCs w:val="24"/>
        </w:rPr>
        <w:t xml:space="preserve">ensure that such meetings are conducting in accordance with </w:t>
      </w:r>
      <w:r>
        <w:rPr>
          <w:sz w:val="24"/>
          <w:szCs w:val="24"/>
        </w:rPr>
        <w:t xml:space="preserve">all applicable </w:t>
      </w:r>
      <w:r w:rsidR="004235D5" w:rsidRPr="004235D5">
        <w:rPr>
          <w:sz w:val="24"/>
          <w:szCs w:val="24"/>
        </w:rPr>
        <w:t xml:space="preserve">procurement standards. </w:t>
      </w:r>
      <w:r>
        <w:rPr>
          <w:sz w:val="24"/>
          <w:szCs w:val="24"/>
        </w:rPr>
        <w:t xml:space="preserve"> </w:t>
      </w:r>
      <w:r w:rsidR="004235D5" w:rsidRPr="004235D5">
        <w:rPr>
          <w:sz w:val="24"/>
          <w:szCs w:val="24"/>
        </w:rPr>
        <w:t xml:space="preserve">Following the conclusion of the </w:t>
      </w:r>
      <w:r>
        <w:rPr>
          <w:sz w:val="24"/>
          <w:szCs w:val="24"/>
        </w:rPr>
        <w:t>evaluation</w:t>
      </w:r>
      <w:r w:rsidR="004235D5" w:rsidRPr="004235D5">
        <w:rPr>
          <w:sz w:val="24"/>
          <w:szCs w:val="24"/>
        </w:rPr>
        <w:t xml:space="preserve"> session</w:t>
      </w:r>
      <w:r>
        <w:rPr>
          <w:sz w:val="24"/>
          <w:szCs w:val="24"/>
        </w:rPr>
        <w:t>s</w:t>
      </w:r>
      <w:r w:rsidR="004235D5" w:rsidRPr="004235D5">
        <w:rPr>
          <w:sz w:val="24"/>
          <w:szCs w:val="24"/>
        </w:rPr>
        <w:t xml:space="preserve">, </w:t>
      </w:r>
      <w:r>
        <w:rPr>
          <w:sz w:val="24"/>
          <w:szCs w:val="24"/>
        </w:rPr>
        <w:t xml:space="preserve">DOH </w:t>
      </w:r>
      <w:proofErr w:type="gramStart"/>
      <w:r>
        <w:rPr>
          <w:sz w:val="24"/>
          <w:szCs w:val="24"/>
        </w:rPr>
        <w:t>staff submit</w:t>
      </w:r>
      <w:proofErr w:type="gramEnd"/>
      <w:r w:rsidR="004235D5" w:rsidRPr="004235D5">
        <w:rPr>
          <w:sz w:val="24"/>
          <w:szCs w:val="24"/>
        </w:rPr>
        <w:t xml:space="preserve"> </w:t>
      </w:r>
      <w:r>
        <w:rPr>
          <w:sz w:val="24"/>
          <w:szCs w:val="24"/>
        </w:rPr>
        <w:t xml:space="preserve">the </w:t>
      </w:r>
      <w:r w:rsidRPr="004235D5">
        <w:rPr>
          <w:sz w:val="24"/>
          <w:szCs w:val="24"/>
        </w:rPr>
        <w:t>recommendation</w:t>
      </w:r>
      <w:r>
        <w:rPr>
          <w:sz w:val="24"/>
          <w:szCs w:val="24"/>
        </w:rPr>
        <w:t>s</w:t>
      </w:r>
      <w:r w:rsidRPr="004235D5">
        <w:rPr>
          <w:sz w:val="24"/>
          <w:szCs w:val="24"/>
        </w:rPr>
        <w:t xml:space="preserve"> of the evaluation team </w:t>
      </w:r>
      <w:r w:rsidR="00952C3F">
        <w:rPr>
          <w:sz w:val="24"/>
          <w:szCs w:val="24"/>
        </w:rPr>
        <w:t>to the DOH Commissioner and other relevant managerial staff</w:t>
      </w:r>
      <w:r w:rsidR="004235D5" w:rsidRPr="004235D5">
        <w:rPr>
          <w:sz w:val="24"/>
          <w:szCs w:val="24"/>
        </w:rPr>
        <w:t>.</w:t>
      </w:r>
      <w:r w:rsidR="00952C3F">
        <w:rPr>
          <w:sz w:val="24"/>
          <w:szCs w:val="24"/>
        </w:rPr>
        <w:t xml:space="preserve">  All DOH staff and other persons directly </w:t>
      </w:r>
      <w:r w:rsidR="004235D5" w:rsidRPr="004235D5">
        <w:rPr>
          <w:sz w:val="24"/>
          <w:szCs w:val="24"/>
        </w:rPr>
        <w:t xml:space="preserve">involved in the </w:t>
      </w:r>
      <w:r w:rsidR="00952C3F">
        <w:rPr>
          <w:sz w:val="24"/>
          <w:szCs w:val="24"/>
        </w:rPr>
        <w:t xml:space="preserve">procurement </w:t>
      </w:r>
      <w:r w:rsidR="004235D5" w:rsidRPr="004235D5">
        <w:rPr>
          <w:sz w:val="24"/>
          <w:szCs w:val="24"/>
        </w:rPr>
        <w:t xml:space="preserve">process sign a confidentiality statement and are advised not to discuss the procurement </w:t>
      </w:r>
      <w:r w:rsidR="00952C3F">
        <w:rPr>
          <w:sz w:val="24"/>
          <w:szCs w:val="24"/>
        </w:rPr>
        <w:t xml:space="preserve">(except as necessary) </w:t>
      </w:r>
      <w:r w:rsidR="004235D5" w:rsidRPr="004235D5">
        <w:rPr>
          <w:sz w:val="24"/>
          <w:szCs w:val="24"/>
        </w:rPr>
        <w:t>to preserve the integrity of the process and to avoid the risk of disqualification.</w:t>
      </w:r>
    </w:p>
    <w:p w:rsidR="004235D5" w:rsidRDefault="004235D5" w:rsidP="004235D5">
      <w:pPr>
        <w:spacing w:after="0" w:line="240" w:lineRule="auto"/>
        <w:rPr>
          <w:sz w:val="24"/>
          <w:szCs w:val="24"/>
        </w:rPr>
      </w:pPr>
    </w:p>
    <w:p w:rsidR="00952C3F" w:rsidRDefault="00384690" w:rsidP="004235D5">
      <w:pPr>
        <w:spacing w:after="0" w:line="240" w:lineRule="auto"/>
        <w:rPr>
          <w:sz w:val="24"/>
          <w:szCs w:val="24"/>
        </w:rPr>
      </w:pPr>
      <w:r w:rsidRPr="004235D5">
        <w:rPr>
          <w:sz w:val="24"/>
          <w:szCs w:val="24"/>
        </w:rPr>
        <w:t xml:space="preserve">Competitive procurements </w:t>
      </w:r>
      <w:r w:rsidR="00952C3F">
        <w:rPr>
          <w:sz w:val="24"/>
          <w:szCs w:val="24"/>
        </w:rPr>
        <w:t>conducted</w:t>
      </w:r>
      <w:r w:rsidRPr="004235D5">
        <w:rPr>
          <w:sz w:val="24"/>
          <w:szCs w:val="24"/>
        </w:rPr>
        <w:t xml:space="preserve"> by </w:t>
      </w:r>
      <w:r w:rsidR="00952C3F">
        <w:rPr>
          <w:sz w:val="24"/>
          <w:szCs w:val="24"/>
        </w:rPr>
        <w:t>DOH</w:t>
      </w:r>
      <w:r w:rsidRPr="004235D5">
        <w:rPr>
          <w:sz w:val="24"/>
          <w:szCs w:val="24"/>
        </w:rPr>
        <w:t xml:space="preserve"> will adhere to the procurement standards set forth in the Connecticut General Statutes and established by the Secretary of OPM in </w:t>
      </w:r>
      <w:r w:rsidR="00952C3F">
        <w:rPr>
          <w:sz w:val="24"/>
          <w:szCs w:val="24"/>
        </w:rPr>
        <w:t>“</w:t>
      </w:r>
      <w:r w:rsidRPr="004235D5">
        <w:rPr>
          <w:sz w:val="24"/>
          <w:szCs w:val="24"/>
        </w:rPr>
        <w:t>Procurement Standards: For Personal Service Agreements and Purchase of Service Contracts</w:t>
      </w:r>
      <w:r w:rsidR="000F7284">
        <w:rPr>
          <w:sz w:val="24"/>
          <w:szCs w:val="24"/>
        </w:rPr>
        <w:t>,</w:t>
      </w:r>
      <w:r w:rsidR="00952C3F">
        <w:rPr>
          <w:sz w:val="24"/>
          <w:szCs w:val="24"/>
        </w:rPr>
        <w:t>” as it may be amended or replaced from time to time and re-issued.</w:t>
      </w:r>
    </w:p>
    <w:p w:rsidR="00952C3F" w:rsidRDefault="00952C3F" w:rsidP="004235D5">
      <w:pPr>
        <w:spacing w:after="0" w:line="240" w:lineRule="auto"/>
        <w:rPr>
          <w:sz w:val="24"/>
          <w:szCs w:val="24"/>
        </w:rPr>
      </w:pPr>
    </w:p>
    <w:p w:rsidR="00952C3F" w:rsidRDefault="00952C3F" w:rsidP="004235D5">
      <w:pPr>
        <w:spacing w:after="0" w:line="240" w:lineRule="auto"/>
        <w:rPr>
          <w:sz w:val="24"/>
          <w:szCs w:val="24"/>
        </w:rPr>
      </w:pPr>
      <w:r>
        <w:rPr>
          <w:sz w:val="24"/>
          <w:szCs w:val="24"/>
        </w:rPr>
        <w:t>DOH’s</w:t>
      </w:r>
      <w:r w:rsidR="00384690" w:rsidRPr="004235D5">
        <w:rPr>
          <w:sz w:val="24"/>
          <w:szCs w:val="24"/>
        </w:rPr>
        <w:t xml:space="preserve"> procurement process </w:t>
      </w:r>
      <w:r w:rsidR="000114FF">
        <w:rPr>
          <w:sz w:val="24"/>
          <w:szCs w:val="24"/>
        </w:rPr>
        <w:t xml:space="preserve">under this plan </w:t>
      </w:r>
      <w:r>
        <w:rPr>
          <w:sz w:val="24"/>
          <w:szCs w:val="24"/>
        </w:rPr>
        <w:t xml:space="preserve">is intended to </w:t>
      </w:r>
      <w:r w:rsidR="00384690" w:rsidRPr="004235D5">
        <w:rPr>
          <w:sz w:val="24"/>
          <w:szCs w:val="24"/>
        </w:rPr>
        <w:t>reflec</w:t>
      </w:r>
      <w:r>
        <w:rPr>
          <w:sz w:val="24"/>
          <w:szCs w:val="24"/>
        </w:rPr>
        <w:t>t</w:t>
      </w:r>
      <w:r w:rsidR="00384690" w:rsidRPr="004235D5">
        <w:rPr>
          <w:sz w:val="24"/>
          <w:szCs w:val="24"/>
        </w:rPr>
        <w:t xml:space="preserve"> best practices in the public sector which include:</w:t>
      </w:r>
    </w:p>
    <w:p w:rsidR="003C0D95" w:rsidRDefault="003C0D95" w:rsidP="004235D5">
      <w:pPr>
        <w:spacing w:after="0" w:line="240" w:lineRule="auto"/>
        <w:rPr>
          <w:sz w:val="24"/>
          <w:szCs w:val="24"/>
        </w:rPr>
      </w:pPr>
    </w:p>
    <w:p w:rsidR="00384690" w:rsidRPr="00952C3F" w:rsidRDefault="00384690" w:rsidP="003C0D95">
      <w:pPr>
        <w:pStyle w:val="ListParagraph"/>
        <w:numPr>
          <w:ilvl w:val="0"/>
          <w:numId w:val="2"/>
        </w:numPr>
        <w:spacing w:after="0" w:line="240" w:lineRule="auto"/>
        <w:ind w:left="1260" w:hanging="540"/>
        <w:rPr>
          <w:sz w:val="24"/>
          <w:szCs w:val="24"/>
        </w:rPr>
      </w:pPr>
      <w:r w:rsidRPr="00952C3F">
        <w:rPr>
          <w:sz w:val="24"/>
          <w:szCs w:val="24"/>
          <w:u w:val="single"/>
        </w:rPr>
        <w:t>Openness</w:t>
      </w:r>
      <w:r w:rsidRPr="00952C3F">
        <w:rPr>
          <w:sz w:val="24"/>
          <w:szCs w:val="24"/>
        </w:rPr>
        <w:t xml:space="preserve">: Current providers will be notified in advance when one of their funded services will be re-bid. </w:t>
      </w:r>
      <w:r w:rsidR="00952C3F">
        <w:rPr>
          <w:sz w:val="24"/>
          <w:szCs w:val="24"/>
        </w:rPr>
        <w:t xml:space="preserve"> RFP</w:t>
      </w:r>
      <w:r w:rsidRPr="00952C3F">
        <w:rPr>
          <w:sz w:val="24"/>
          <w:szCs w:val="24"/>
        </w:rPr>
        <w:t xml:space="preserve">s will be posted on the DAS and </w:t>
      </w:r>
      <w:r w:rsidR="00952C3F">
        <w:rPr>
          <w:sz w:val="24"/>
          <w:szCs w:val="24"/>
        </w:rPr>
        <w:t>DOH</w:t>
      </w:r>
      <w:r w:rsidRPr="00952C3F">
        <w:rPr>
          <w:sz w:val="24"/>
          <w:szCs w:val="24"/>
        </w:rPr>
        <w:t xml:space="preserve"> websites and advertised as required.</w:t>
      </w:r>
    </w:p>
    <w:p w:rsidR="00952C3F" w:rsidRDefault="00952C3F" w:rsidP="003C0D95">
      <w:pPr>
        <w:spacing w:after="0" w:line="240" w:lineRule="auto"/>
        <w:ind w:left="1260" w:hanging="540"/>
        <w:rPr>
          <w:sz w:val="24"/>
          <w:szCs w:val="24"/>
        </w:rPr>
      </w:pPr>
    </w:p>
    <w:p w:rsidR="00384690" w:rsidRDefault="00384690" w:rsidP="003C0D95">
      <w:pPr>
        <w:pStyle w:val="ListParagraph"/>
        <w:numPr>
          <w:ilvl w:val="0"/>
          <w:numId w:val="2"/>
        </w:numPr>
        <w:spacing w:after="0" w:line="240" w:lineRule="auto"/>
        <w:ind w:left="1260" w:hanging="540"/>
        <w:rPr>
          <w:sz w:val="24"/>
          <w:szCs w:val="24"/>
        </w:rPr>
      </w:pPr>
      <w:r w:rsidRPr="00952C3F">
        <w:rPr>
          <w:sz w:val="24"/>
          <w:szCs w:val="24"/>
          <w:u w:val="single"/>
        </w:rPr>
        <w:t>Transparency</w:t>
      </w:r>
      <w:r w:rsidRPr="00952C3F">
        <w:rPr>
          <w:sz w:val="24"/>
          <w:szCs w:val="24"/>
        </w:rPr>
        <w:t>: RFPs will clearly state the criteria by which proposals will be evaluated</w:t>
      </w:r>
      <w:r w:rsidR="00952C3F">
        <w:rPr>
          <w:sz w:val="24"/>
          <w:szCs w:val="24"/>
        </w:rPr>
        <w:t xml:space="preserve"> and, if applicable,</w:t>
      </w:r>
      <w:r w:rsidRPr="00952C3F">
        <w:rPr>
          <w:sz w:val="24"/>
          <w:szCs w:val="24"/>
        </w:rPr>
        <w:t xml:space="preserve"> the </w:t>
      </w:r>
      <w:r w:rsidR="00952C3F">
        <w:rPr>
          <w:sz w:val="24"/>
          <w:szCs w:val="24"/>
        </w:rPr>
        <w:t xml:space="preserve">relative </w:t>
      </w:r>
      <w:r w:rsidRPr="00952C3F">
        <w:rPr>
          <w:sz w:val="24"/>
          <w:szCs w:val="24"/>
        </w:rPr>
        <w:t>weighting of the criteri</w:t>
      </w:r>
      <w:r w:rsidR="00952C3F">
        <w:rPr>
          <w:sz w:val="24"/>
          <w:szCs w:val="24"/>
        </w:rPr>
        <w:t>a</w:t>
      </w:r>
      <w:r w:rsidRPr="00952C3F">
        <w:rPr>
          <w:sz w:val="24"/>
          <w:szCs w:val="24"/>
        </w:rPr>
        <w:t xml:space="preserve">. </w:t>
      </w:r>
      <w:r w:rsidR="00952C3F">
        <w:rPr>
          <w:sz w:val="24"/>
          <w:szCs w:val="24"/>
        </w:rPr>
        <w:t xml:space="preserve"> </w:t>
      </w:r>
      <w:r w:rsidRPr="00952C3F">
        <w:rPr>
          <w:sz w:val="24"/>
          <w:szCs w:val="24"/>
        </w:rPr>
        <w:t>Results of the RFP process will be posted on the DAS website.</w:t>
      </w:r>
    </w:p>
    <w:p w:rsidR="00952C3F" w:rsidRPr="00952C3F" w:rsidRDefault="00952C3F" w:rsidP="003C0D95">
      <w:pPr>
        <w:spacing w:after="0" w:line="240" w:lineRule="auto"/>
        <w:ind w:left="1260" w:hanging="540"/>
        <w:rPr>
          <w:sz w:val="24"/>
          <w:szCs w:val="24"/>
        </w:rPr>
      </w:pPr>
    </w:p>
    <w:p w:rsidR="00384690" w:rsidRPr="00952C3F" w:rsidRDefault="00952C3F" w:rsidP="003C0D95">
      <w:pPr>
        <w:pStyle w:val="ListParagraph"/>
        <w:numPr>
          <w:ilvl w:val="0"/>
          <w:numId w:val="2"/>
        </w:numPr>
        <w:spacing w:after="0" w:line="240" w:lineRule="auto"/>
        <w:ind w:left="1260" w:hanging="540"/>
        <w:rPr>
          <w:sz w:val="24"/>
          <w:szCs w:val="24"/>
        </w:rPr>
      </w:pPr>
      <w:r w:rsidRPr="000F7284">
        <w:rPr>
          <w:sz w:val="24"/>
          <w:szCs w:val="24"/>
          <w:u w:val="single"/>
        </w:rPr>
        <w:lastRenderedPageBreak/>
        <w:t>F</w:t>
      </w:r>
      <w:r w:rsidR="00384690" w:rsidRPr="000F7284">
        <w:rPr>
          <w:sz w:val="24"/>
          <w:szCs w:val="24"/>
          <w:u w:val="single"/>
        </w:rPr>
        <w:t>airness</w:t>
      </w:r>
      <w:r w:rsidR="00384690" w:rsidRPr="00952C3F">
        <w:rPr>
          <w:sz w:val="24"/>
          <w:szCs w:val="24"/>
        </w:rPr>
        <w:t xml:space="preserve">: Providers who </w:t>
      </w:r>
      <w:r w:rsidR="000F7284">
        <w:rPr>
          <w:sz w:val="24"/>
          <w:szCs w:val="24"/>
        </w:rPr>
        <w:t xml:space="preserve">directly </w:t>
      </w:r>
      <w:r w:rsidR="00384690" w:rsidRPr="00952C3F">
        <w:rPr>
          <w:sz w:val="24"/>
          <w:szCs w:val="24"/>
        </w:rPr>
        <w:t xml:space="preserve">participate in the development of an RFP for new or existing services will not be allowed to compete for a contract to provide those services. </w:t>
      </w:r>
      <w:r w:rsidR="000114FF">
        <w:rPr>
          <w:sz w:val="24"/>
          <w:szCs w:val="24"/>
        </w:rPr>
        <w:t xml:space="preserve"> </w:t>
      </w:r>
      <w:r w:rsidR="00384690" w:rsidRPr="00952C3F">
        <w:rPr>
          <w:sz w:val="24"/>
          <w:szCs w:val="24"/>
        </w:rPr>
        <w:t>Members of the RFP development and evaluation teams are required to sign a Confidentiality Statement, in which they declare and attest that they have no personal or financial interests in the outcome of the RFP process.</w:t>
      </w:r>
    </w:p>
    <w:p w:rsidR="00952C3F" w:rsidRDefault="00952C3F" w:rsidP="003C0D95">
      <w:pPr>
        <w:spacing w:after="0" w:line="240" w:lineRule="auto"/>
        <w:ind w:left="1260" w:hanging="540"/>
        <w:rPr>
          <w:sz w:val="24"/>
          <w:szCs w:val="24"/>
        </w:rPr>
      </w:pPr>
    </w:p>
    <w:p w:rsidR="00384690" w:rsidRPr="00952C3F" w:rsidRDefault="00384690" w:rsidP="003C0D95">
      <w:pPr>
        <w:pStyle w:val="ListParagraph"/>
        <w:numPr>
          <w:ilvl w:val="0"/>
          <w:numId w:val="2"/>
        </w:numPr>
        <w:spacing w:after="0" w:line="240" w:lineRule="auto"/>
        <w:ind w:left="1260" w:hanging="540"/>
        <w:rPr>
          <w:sz w:val="24"/>
          <w:szCs w:val="24"/>
        </w:rPr>
      </w:pPr>
      <w:r w:rsidRPr="000114FF">
        <w:rPr>
          <w:sz w:val="24"/>
          <w:szCs w:val="24"/>
          <w:u w:val="single"/>
        </w:rPr>
        <w:t>Competition</w:t>
      </w:r>
      <w:r w:rsidRPr="00952C3F">
        <w:rPr>
          <w:sz w:val="24"/>
          <w:szCs w:val="24"/>
        </w:rPr>
        <w:t xml:space="preserve">: All eligible providers will have equal opportunity to compete for </w:t>
      </w:r>
      <w:r w:rsidR="000114FF">
        <w:rPr>
          <w:sz w:val="24"/>
          <w:szCs w:val="24"/>
        </w:rPr>
        <w:t>DOH</w:t>
      </w:r>
      <w:r w:rsidRPr="00952C3F">
        <w:rPr>
          <w:sz w:val="24"/>
          <w:szCs w:val="24"/>
        </w:rPr>
        <w:t xml:space="preserve"> contracts. </w:t>
      </w:r>
      <w:r w:rsidR="000114FF">
        <w:rPr>
          <w:sz w:val="24"/>
          <w:szCs w:val="24"/>
        </w:rPr>
        <w:t xml:space="preserve"> </w:t>
      </w:r>
      <w:r w:rsidRPr="00952C3F">
        <w:rPr>
          <w:sz w:val="24"/>
          <w:szCs w:val="24"/>
        </w:rPr>
        <w:t>No RFP requirements will specify any features that unnecessarily discriminate, either directly or indirectly, against current or potential providers.</w:t>
      </w:r>
    </w:p>
    <w:p w:rsidR="00952C3F" w:rsidRPr="004235D5" w:rsidRDefault="00952C3F" w:rsidP="003C0D95">
      <w:pPr>
        <w:spacing w:after="0" w:line="240" w:lineRule="auto"/>
        <w:ind w:left="1260" w:hanging="540"/>
        <w:rPr>
          <w:sz w:val="24"/>
          <w:szCs w:val="24"/>
        </w:rPr>
      </w:pPr>
    </w:p>
    <w:p w:rsidR="00384690" w:rsidRPr="00952C3F" w:rsidRDefault="00384690" w:rsidP="003C0D95">
      <w:pPr>
        <w:pStyle w:val="ListParagraph"/>
        <w:numPr>
          <w:ilvl w:val="0"/>
          <w:numId w:val="2"/>
        </w:numPr>
        <w:spacing w:after="0" w:line="240" w:lineRule="auto"/>
        <w:ind w:left="1260" w:hanging="540"/>
        <w:rPr>
          <w:sz w:val="24"/>
          <w:szCs w:val="24"/>
        </w:rPr>
      </w:pPr>
      <w:r w:rsidRPr="000114FF">
        <w:rPr>
          <w:sz w:val="24"/>
          <w:szCs w:val="24"/>
          <w:u w:val="single"/>
        </w:rPr>
        <w:t>Standardization</w:t>
      </w:r>
      <w:r w:rsidRPr="00952C3F">
        <w:rPr>
          <w:sz w:val="24"/>
          <w:szCs w:val="24"/>
        </w:rPr>
        <w:t xml:space="preserve">: </w:t>
      </w:r>
      <w:r w:rsidR="000114FF">
        <w:rPr>
          <w:sz w:val="24"/>
          <w:szCs w:val="24"/>
        </w:rPr>
        <w:t>A</w:t>
      </w:r>
      <w:r w:rsidRPr="00952C3F">
        <w:rPr>
          <w:sz w:val="24"/>
          <w:szCs w:val="24"/>
        </w:rPr>
        <w:t xml:space="preserve"> standardized RFP</w:t>
      </w:r>
      <w:r w:rsidR="000114FF">
        <w:rPr>
          <w:sz w:val="24"/>
          <w:szCs w:val="24"/>
        </w:rPr>
        <w:t xml:space="preserve"> process will be implemented. Such process</w:t>
      </w:r>
      <w:r w:rsidRPr="00952C3F">
        <w:rPr>
          <w:sz w:val="24"/>
          <w:szCs w:val="24"/>
        </w:rPr>
        <w:t xml:space="preserve"> </w:t>
      </w:r>
      <w:r w:rsidR="003C0D95">
        <w:rPr>
          <w:sz w:val="24"/>
          <w:szCs w:val="24"/>
        </w:rPr>
        <w:t xml:space="preserve">currently </w:t>
      </w:r>
      <w:r w:rsidRPr="00952C3F">
        <w:rPr>
          <w:sz w:val="24"/>
          <w:szCs w:val="24"/>
        </w:rPr>
        <w:t>includes</w:t>
      </w:r>
      <w:r w:rsidR="000114FF">
        <w:rPr>
          <w:sz w:val="24"/>
          <w:szCs w:val="24"/>
        </w:rPr>
        <w:t>, unless infeasible under the circumstances or otherwise inappropriate,</w:t>
      </w:r>
      <w:r w:rsidRPr="00952C3F">
        <w:rPr>
          <w:sz w:val="24"/>
          <w:szCs w:val="24"/>
        </w:rPr>
        <w:t xml:space="preserve"> the use of a standardized RFP template, </w:t>
      </w:r>
      <w:r w:rsidR="000114FF">
        <w:rPr>
          <w:sz w:val="24"/>
          <w:szCs w:val="24"/>
        </w:rPr>
        <w:t xml:space="preserve">uniform submission requirements, </w:t>
      </w:r>
      <w:r w:rsidRPr="00952C3F">
        <w:rPr>
          <w:sz w:val="24"/>
          <w:szCs w:val="24"/>
        </w:rPr>
        <w:t>a minimum seven (7) weeks between the release of the RFP and the proposal due date, standardized proposal review and scoring procedures and compliance with OPM RFP guidelines.</w:t>
      </w:r>
    </w:p>
    <w:p w:rsidR="00384690" w:rsidRDefault="00384690" w:rsidP="004235D5">
      <w:pPr>
        <w:spacing w:after="0" w:line="240" w:lineRule="auto"/>
        <w:rPr>
          <w:sz w:val="24"/>
          <w:szCs w:val="24"/>
        </w:rPr>
      </w:pPr>
    </w:p>
    <w:p w:rsidR="00952C3F" w:rsidRPr="000114FF" w:rsidRDefault="000114FF" w:rsidP="004235D5">
      <w:pPr>
        <w:spacing w:after="0" w:line="240" w:lineRule="auto"/>
        <w:rPr>
          <w:sz w:val="24"/>
          <w:szCs w:val="24"/>
          <w:u w:val="single"/>
        </w:rPr>
      </w:pPr>
      <w:r>
        <w:rPr>
          <w:sz w:val="24"/>
          <w:szCs w:val="24"/>
          <w:u w:val="single"/>
        </w:rPr>
        <w:t xml:space="preserve">V.  </w:t>
      </w:r>
      <w:r w:rsidR="00952C3F" w:rsidRPr="000114FF">
        <w:rPr>
          <w:sz w:val="24"/>
          <w:szCs w:val="24"/>
          <w:u w:val="single"/>
        </w:rPr>
        <w:t>Procurement Schedule</w:t>
      </w:r>
    </w:p>
    <w:p w:rsidR="00952C3F" w:rsidRDefault="00952C3F" w:rsidP="004235D5">
      <w:pPr>
        <w:spacing w:after="0" w:line="240" w:lineRule="auto"/>
        <w:rPr>
          <w:sz w:val="24"/>
          <w:szCs w:val="24"/>
        </w:rPr>
      </w:pPr>
    </w:p>
    <w:p w:rsidR="003C0D95" w:rsidRPr="003C0D95" w:rsidRDefault="003C0D95" w:rsidP="003C0D95">
      <w:pPr>
        <w:spacing w:after="0" w:line="240" w:lineRule="auto"/>
        <w:rPr>
          <w:sz w:val="24"/>
          <w:szCs w:val="24"/>
        </w:rPr>
      </w:pPr>
      <w:r w:rsidRPr="003C0D95">
        <w:rPr>
          <w:sz w:val="24"/>
          <w:szCs w:val="24"/>
        </w:rPr>
        <w:t xml:space="preserve">The </w:t>
      </w:r>
      <w:r>
        <w:rPr>
          <w:sz w:val="24"/>
          <w:szCs w:val="24"/>
        </w:rPr>
        <w:t>DOH</w:t>
      </w:r>
      <w:r w:rsidRPr="003C0D95">
        <w:rPr>
          <w:sz w:val="24"/>
          <w:szCs w:val="24"/>
        </w:rPr>
        <w:t xml:space="preserve"> procurement plan proposed for </w:t>
      </w:r>
      <w:r>
        <w:rPr>
          <w:sz w:val="24"/>
          <w:szCs w:val="24"/>
        </w:rPr>
        <w:t>FY</w:t>
      </w:r>
      <w:r w:rsidRPr="003C0D95">
        <w:rPr>
          <w:sz w:val="24"/>
          <w:szCs w:val="24"/>
        </w:rPr>
        <w:t xml:space="preserve"> 2016 through 2018</w:t>
      </w:r>
      <w:r>
        <w:rPr>
          <w:sz w:val="24"/>
          <w:szCs w:val="24"/>
        </w:rPr>
        <w:t xml:space="preserve"> is set forth on </w:t>
      </w:r>
      <w:r w:rsidR="00F115E9">
        <w:rPr>
          <w:sz w:val="24"/>
          <w:szCs w:val="24"/>
        </w:rPr>
        <w:t>Exhibit I</w:t>
      </w:r>
      <w:r w:rsidRPr="003C0D95">
        <w:rPr>
          <w:sz w:val="24"/>
          <w:szCs w:val="24"/>
        </w:rPr>
        <w:t xml:space="preserve">. </w:t>
      </w:r>
      <w:r w:rsidR="00F0002C">
        <w:rPr>
          <w:sz w:val="24"/>
          <w:szCs w:val="24"/>
        </w:rPr>
        <w:t xml:space="preserve"> This schedule has been guided by </w:t>
      </w:r>
      <w:r w:rsidRPr="003C0D95">
        <w:rPr>
          <w:sz w:val="24"/>
          <w:szCs w:val="24"/>
        </w:rPr>
        <w:t>the following principles:</w:t>
      </w:r>
    </w:p>
    <w:p w:rsidR="003C0D95" w:rsidRPr="003C0D95" w:rsidRDefault="003C0D95" w:rsidP="003C0D95">
      <w:pPr>
        <w:pStyle w:val="ListParagraph"/>
        <w:numPr>
          <w:ilvl w:val="0"/>
          <w:numId w:val="3"/>
        </w:numPr>
        <w:spacing w:after="0" w:line="240" w:lineRule="auto"/>
        <w:ind w:left="1260" w:hanging="540"/>
        <w:rPr>
          <w:sz w:val="24"/>
          <w:szCs w:val="24"/>
        </w:rPr>
      </w:pPr>
      <w:r w:rsidRPr="003C0D95">
        <w:rPr>
          <w:sz w:val="24"/>
          <w:szCs w:val="24"/>
        </w:rPr>
        <w:t xml:space="preserve">Maintenance of continuity of </w:t>
      </w:r>
      <w:r w:rsidR="00F0002C">
        <w:rPr>
          <w:sz w:val="24"/>
          <w:szCs w:val="24"/>
        </w:rPr>
        <w:t>service provision</w:t>
      </w:r>
      <w:r w:rsidRPr="003C0D95">
        <w:rPr>
          <w:sz w:val="24"/>
          <w:szCs w:val="24"/>
        </w:rPr>
        <w:t xml:space="preserve"> </w:t>
      </w:r>
      <w:r w:rsidR="00F0002C">
        <w:rPr>
          <w:sz w:val="24"/>
          <w:szCs w:val="24"/>
        </w:rPr>
        <w:t xml:space="preserve">to minimize any </w:t>
      </w:r>
      <w:r w:rsidRPr="003C0D95">
        <w:rPr>
          <w:sz w:val="24"/>
          <w:szCs w:val="24"/>
        </w:rPr>
        <w:t xml:space="preserve">disruption in services as programs are competitively procured and new contracts are </w:t>
      </w:r>
      <w:r w:rsidR="00F0002C">
        <w:rPr>
          <w:sz w:val="24"/>
          <w:szCs w:val="24"/>
        </w:rPr>
        <w:t>executed and implemented</w:t>
      </w:r>
      <w:r w:rsidRPr="003C0D95">
        <w:rPr>
          <w:sz w:val="24"/>
          <w:szCs w:val="24"/>
        </w:rPr>
        <w:t>;</w:t>
      </w:r>
    </w:p>
    <w:p w:rsidR="003C0D95" w:rsidRPr="003C0D95" w:rsidRDefault="00F0002C" w:rsidP="003C0D95">
      <w:pPr>
        <w:pStyle w:val="ListParagraph"/>
        <w:numPr>
          <w:ilvl w:val="0"/>
          <w:numId w:val="3"/>
        </w:numPr>
        <w:spacing w:after="0" w:line="240" w:lineRule="auto"/>
        <w:ind w:left="1260" w:hanging="540"/>
        <w:rPr>
          <w:sz w:val="24"/>
          <w:szCs w:val="24"/>
        </w:rPr>
      </w:pPr>
      <w:r>
        <w:rPr>
          <w:sz w:val="24"/>
          <w:szCs w:val="24"/>
        </w:rPr>
        <w:t>Promotion</w:t>
      </w:r>
      <w:r w:rsidR="003C0D95" w:rsidRPr="003C0D95">
        <w:rPr>
          <w:sz w:val="24"/>
          <w:szCs w:val="24"/>
        </w:rPr>
        <w:t xml:space="preserve"> of quality, innovation</w:t>
      </w:r>
      <w:r>
        <w:rPr>
          <w:sz w:val="24"/>
          <w:szCs w:val="24"/>
        </w:rPr>
        <w:t>,</w:t>
      </w:r>
      <w:r w:rsidR="003C0D95" w:rsidRPr="003C0D95">
        <w:rPr>
          <w:sz w:val="24"/>
          <w:szCs w:val="24"/>
        </w:rPr>
        <w:t xml:space="preserve"> current best practices</w:t>
      </w:r>
      <w:r>
        <w:rPr>
          <w:sz w:val="24"/>
          <w:szCs w:val="24"/>
        </w:rPr>
        <w:t>,</w:t>
      </w:r>
      <w:r w:rsidR="003C0D95" w:rsidRPr="003C0D95">
        <w:rPr>
          <w:sz w:val="24"/>
          <w:szCs w:val="24"/>
        </w:rPr>
        <w:t xml:space="preserve"> and efficiency in service delivery;</w:t>
      </w:r>
    </w:p>
    <w:p w:rsidR="003C0D95" w:rsidRPr="003C0D95" w:rsidRDefault="003C0D95" w:rsidP="003C0D95">
      <w:pPr>
        <w:pStyle w:val="ListParagraph"/>
        <w:numPr>
          <w:ilvl w:val="0"/>
          <w:numId w:val="3"/>
        </w:numPr>
        <w:spacing w:after="0" w:line="240" w:lineRule="auto"/>
        <w:ind w:left="1260" w:hanging="540"/>
        <w:rPr>
          <w:sz w:val="24"/>
          <w:szCs w:val="24"/>
        </w:rPr>
      </w:pPr>
      <w:r w:rsidRPr="003C0D95">
        <w:rPr>
          <w:sz w:val="24"/>
          <w:szCs w:val="24"/>
        </w:rPr>
        <w:t>Use of clearly defined, measurable outcomes and quality/performance measures;</w:t>
      </w:r>
    </w:p>
    <w:p w:rsidR="00F0002C" w:rsidRDefault="003C0D95" w:rsidP="003C0D95">
      <w:pPr>
        <w:pStyle w:val="ListParagraph"/>
        <w:numPr>
          <w:ilvl w:val="0"/>
          <w:numId w:val="3"/>
        </w:numPr>
        <w:spacing w:after="0" w:line="240" w:lineRule="auto"/>
        <w:ind w:left="1260" w:hanging="540"/>
        <w:rPr>
          <w:sz w:val="24"/>
          <w:szCs w:val="24"/>
        </w:rPr>
      </w:pPr>
      <w:r w:rsidRPr="003C0D95">
        <w:rPr>
          <w:sz w:val="24"/>
          <w:szCs w:val="24"/>
        </w:rPr>
        <w:t xml:space="preserve">A </w:t>
      </w:r>
      <w:r w:rsidR="00F0002C">
        <w:rPr>
          <w:sz w:val="24"/>
          <w:szCs w:val="24"/>
        </w:rPr>
        <w:t xml:space="preserve">prioritization of programs with the greatest impact on the largest number of program beneficiaries and the State as a whole; </w:t>
      </w:r>
    </w:p>
    <w:p w:rsidR="003C0D95" w:rsidRPr="003C0D95" w:rsidRDefault="00F0002C" w:rsidP="003C0D95">
      <w:pPr>
        <w:pStyle w:val="ListParagraph"/>
        <w:numPr>
          <w:ilvl w:val="0"/>
          <w:numId w:val="3"/>
        </w:numPr>
        <w:spacing w:after="0" w:line="240" w:lineRule="auto"/>
        <w:ind w:left="1260" w:hanging="540"/>
        <w:rPr>
          <w:sz w:val="24"/>
          <w:szCs w:val="24"/>
        </w:rPr>
      </w:pPr>
      <w:r>
        <w:rPr>
          <w:sz w:val="24"/>
          <w:szCs w:val="24"/>
        </w:rPr>
        <w:t xml:space="preserve">Funding source requirements; </w:t>
      </w:r>
      <w:r w:rsidR="003C0D95" w:rsidRPr="003C0D95">
        <w:rPr>
          <w:sz w:val="24"/>
          <w:szCs w:val="24"/>
        </w:rPr>
        <w:t>and</w:t>
      </w:r>
    </w:p>
    <w:p w:rsidR="00952C3F" w:rsidRPr="003C0D95" w:rsidRDefault="003C0D95" w:rsidP="003C0D95">
      <w:pPr>
        <w:pStyle w:val="ListParagraph"/>
        <w:numPr>
          <w:ilvl w:val="0"/>
          <w:numId w:val="3"/>
        </w:numPr>
        <w:spacing w:after="0" w:line="240" w:lineRule="auto"/>
        <w:ind w:left="1260" w:hanging="540"/>
        <w:rPr>
          <w:sz w:val="24"/>
          <w:szCs w:val="24"/>
        </w:rPr>
      </w:pPr>
      <w:r w:rsidRPr="003C0D95">
        <w:rPr>
          <w:sz w:val="24"/>
          <w:szCs w:val="24"/>
        </w:rPr>
        <w:t>Coordination of procurement activities with other State Human Service Agencies.</w:t>
      </w:r>
    </w:p>
    <w:p w:rsidR="00952C3F" w:rsidRDefault="00952C3F" w:rsidP="004235D5">
      <w:pPr>
        <w:spacing w:after="0" w:line="240" w:lineRule="auto"/>
        <w:rPr>
          <w:sz w:val="24"/>
          <w:szCs w:val="24"/>
        </w:rPr>
      </w:pPr>
    </w:p>
    <w:p w:rsidR="00952C3F" w:rsidRPr="000114FF" w:rsidRDefault="000114FF" w:rsidP="004235D5">
      <w:pPr>
        <w:spacing w:after="0" w:line="240" w:lineRule="auto"/>
        <w:rPr>
          <w:sz w:val="24"/>
          <w:szCs w:val="24"/>
          <w:u w:val="single"/>
        </w:rPr>
      </w:pPr>
      <w:r>
        <w:rPr>
          <w:sz w:val="24"/>
          <w:szCs w:val="24"/>
          <w:u w:val="single"/>
        </w:rPr>
        <w:t>VI</w:t>
      </w:r>
      <w:proofErr w:type="gramStart"/>
      <w:r>
        <w:rPr>
          <w:sz w:val="24"/>
          <w:szCs w:val="24"/>
          <w:u w:val="single"/>
        </w:rPr>
        <w:t xml:space="preserve">.  </w:t>
      </w:r>
      <w:r w:rsidR="00952C3F" w:rsidRPr="000114FF">
        <w:rPr>
          <w:sz w:val="24"/>
          <w:szCs w:val="24"/>
          <w:u w:val="single"/>
        </w:rPr>
        <w:t>Practice</w:t>
      </w:r>
      <w:proofErr w:type="gramEnd"/>
      <w:r w:rsidR="00952C3F" w:rsidRPr="000114FF">
        <w:rPr>
          <w:sz w:val="24"/>
          <w:szCs w:val="24"/>
          <w:u w:val="single"/>
        </w:rPr>
        <w:t xml:space="preserve"> Improvement Waivers</w:t>
      </w:r>
    </w:p>
    <w:p w:rsidR="00952C3F" w:rsidRDefault="00952C3F" w:rsidP="004235D5">
      <w:pPr>
        <w:spacing w:after="0" w:line="240" w:lineRule="auto"/>
        <w:rPr>
          <w:sz w:val="24"/>
          <w:szCs w:val="24"/>
        </w:rPr>
      </w:pPr>
    </w:p>
    <w:p w:rsidR="00952C3F" w:rsidRDefault="00F0002C" w:rsidP="004235D5">
      <w:pPr>
        <w:spacing w:after="0" w:line="240" w:lineRule="auto"/>
        <w:rPr>
          <w:sz w:val="24"/>
          <w:szCs w:val="24"/>
        </w:rPr>
      </w:pPr>
      <w:r>
        <w:rPr>
          <w:sz w:val="24"/>
          <w:szCs w:val="24"/>
        </w:rPr>
        <w:t>As set forth on Exhibit 1, DOH anticipates a Practice Improvement Approach with respect to the Transitional Living Program.  The Transitional Living Program has been increasingly questioned by the U.S. Department for Housing and Urban Development, which partially funds the current program, advocates, and some existing providers.  In at least some circumstances, assistance through alternate programs, such as rapid rehousing, long term emergency shelter, an</w:t>
      </w:r>
      <w:r w:rsidR="00F115E9">
        <w:rPr>
          <w:sz w:val="24"/>
          <w:szCs w:val="24"/>
        </w:rPr>
        <w:t>d permanent supportive housing has been shown to be</w:t>
      </w:r>
      <w:r>
        <w:rPr>
          <w:sz w:val="24"/>
          <w:szCs w:val="24"/>
        </w:rPr>
        <w:t xml:space="preserve"> </w:t>
      </w:r>
      <w:r w:rsidR="00F115E9">
        <w:rPr>
          <w:sz w:val="24"/>
          <w:szCs w:val="24"/>
        </w:rPr>
        <w:t>more cost effective and produce</w:t>
      </w:r>
      <w:r>
        <w:rPr>
          <w:sz w:val="24"/>
          <w:szCs w:val="24"/>
        </w:rPr>
        <w:t xml:space="preserve"> better outcomes.  DOH expects to </w:t>
      </w:r>
      <w:r w:rsidR="00BB0A68">
        <w:rPr>
          <w:sz w:val="24"/>
          <w:szCs w:val="24"/>
        </w:rPr>
        <w:t xml:space="preserve">examine the Transitional Living Program closely in FY 16 to determine if converting this program, in whole or in part, to a new </w:t>
      </w:r>
      <w:r w:rsidR="00F115E9">
        <w:rPr>
          <w:sz w:val="24"/>
          <w:szCs w:val="24"/>
        </w:rPr>
        <w:t xml:space="preserve">program </w:t>
      </w:r>
      <w:r w:rsidR="00BB0A68">
        <w:rPr>
          <w:sz w:val="24"/>
          <w:szCs w:val="24"/>
        </w:rPr>
        <w:t>or existing programs would better serve the interests of program beneficiaries and the State.</w:t>
      </w:r>
    </w:p>
    <w:p w:rsidR="00952C3F" w:rsidRDefault="00952C3F" w:rsidP="004235D5">
      <w:pPr>
        <w:spacing w:after="0" w:line="240" w:lineRule="auto"/>
        <w:rPr>
          <w:sz w:val="24"/>
          <w:szCs w:val="24"/>
        </w:rPr>
      </w:pPr>
    </w:p>
    <w:p w:rsidR="00952C3F" w:rsidRPr="000114FF" w:rsidRDefault="000114FF" w:rsidP="004235D5">
      <w:pPr>
        <w:spacing w:after="0" w:line="240" w:lineRule="auto"/>
        <w:rPr>
          <w:sz w:val="24"/>
          <w:szCs w:val="24"/>
          <w:u w:val="single"/>
        </w:rPr>
      </w:pPr>
      <w:r>
        <w:rPr>
          <w:sz w:val="24"/>
          <w:szCs w:val="24"/>
          <w:u w:val="single"/>
        </w:rPr>
        <w:t>VII</w:t>
      </w:r>
      <w:proofErr w:type="gramStart"/>
      <w:r>
        <w:rPr>
          <w:sz w:val="24"/>
          <w:szCs w:val="24"/>
          <w:u w:val="single"/>
        </w:rPr>
        <w:t xml:space="preserve">.  </w:t>
      </w:r>
      <w:r w:rsidR="00952C3F" w:rsidRPr="000114FF">
        <w:rPr>
          <w:sz w:val="24"/>
          <w:szCs w:val="24"/>
          <w:u w:val="single"/>
        </w:rPr>
        <w:t>Waivers</w:t>
      </w:r>
      <w:proofErr w:type="gramEnd"/>
      <w:r w:rsidR="00952C3F" w:rsidRPr="000114FF">
        <w:rPr>
          <w:sz w:val="24"/>
          <w:szCs w:val="24"/>
          <w:u w:val="single"/>
        </w:rPr>
        <w:t xml:space="preserve"> from Competitive Procurement</w:t>
      </w:r>
    </w:p>
    <w:p w:rsidR="00952C3F" w:rsidRDefault="00952C3F" w:rsidP="004235D5">
      <w:pPr>
        <w:spacing w:after="0" w:line="240" w:lineRule="auto"/>
        <w:rPr>
          <w:sz w:val="24"/>
          <w:szCs w:val="24"/>
        </w:rPr>
      </w:pPr>
    </w:p>
    <w:p w:rsidR="00BB0A68" w:rsidRDefault="00BB0A68" w:rsidP="004235D5">
      <w:pPr>
        <w:spacing w:after="0" w:line="240" w:lineRule="auto"/>
        <w:rPr>
          <w:sz w:val="24"/>
          <w:szCs w:val="24"/>
        </w:rPr>
      </w:pPr>
      <w:r>
        <w:rPr>
          <w:sz w:val="24"/>
          <w:szCs w:val="24"/>
        </w:rPr>
        <w:t>DOH is not requesting any waivers from competitive procurement for health and human services at this time.</w:t>
      </w:r>
    </w:p>
    <w:p w:rsidR="00952C3F" w:rsidRDefault="00952C3F" w:rsidP="004235D5">
      <w:pPr>
        <w:spacing w:after="0" w:line="240" w:lineRule="auto"/>
        <w:rPr>
          <w:sz w:val="24"/>
          <w:szCs w:val="24"/>
        </w:rPr>
      </w:pPr>
    </w:p>
    <w:p w:rsidR="00952C3F" w:rsidRPr="000114FF" w:rsidRDefault="000114FF" w:rsidP="004235D5">
      <w:pPr>
        <w:spacing w:after="0" w:line="240" w:lineRule="auto"/>
        <w:rPr>
          <w:sz w:val="24"/>
          <w:szCs w:val="24"/>
          <w:u w:val="single"/>
        </w:rPr>
      </w:pPr>
      <w:r>
        <w:rPr>
          <w:sz w:val="24"/>
          <w:szCs w:val="24"/>
          <w:u w:val="single"/>
        </w:rPr>
        <w:t>VIII</w:t>
      </w:r>
      <w:proofErr w:type="gramStart"/>
      <w:r>
        <w:rPr>
          <w:sz w:val="24"/>
          <w:szCs w:val="24"/>
          <w:u w:val="single"/>
        </w:rPr>
        <w:t xml:space="preserve">.  </w:t>
      </w:r>
      <w:r w:rsidR="00952C3F" w:rsidRPr="000114FF">
        <w:rPr>
          <w:sz w:val="24"/>
          <w:szCs w:val="24"/>
          <w:u w:val="single"/>
        </w:rPr>
        <w:t>Multi</w:t>
      </w:r>
      <w:proofErr w:type="gramEnd"/>
      <w:r w:rsidR="00952C3F" w:rsidRPr="000114FF">
        <w:rPr>
          <w:sz w:val="24"/>
          <w:szCs w:val="24"/>
          <w:u w:val="single"/>
        </w:rPr>
        <w:t>-year Contracting</w:t>
      </w:r>
    </w:p>
    <w:p w:rsidR="00952C3F" w:rsidRDefault="00952C3F" w:rsidP="004235D5">
      <w:pPr>
        <w:spacing w:after="0" w:line="240" w:lineRule="auto"/>
        <w:rPr>
          <w:sz w:val="24"/>
          <w:szCs w:val="24"/>
        </w:rPr>
      </w:pPr>
    </w:p>
    <w:p w:rsidR="000114FF" w:rsidRDefault="00BB0A68" w:rsidP="004235D5">
      <w:pPr>
        <w:spacing w:after="0" w:line="240" w:lineRule="auto"/>
        <w:rPr>
          <w:sz w:val="24"/>
          <w:szCs w:val="24"/>
        </w:rPr>
      </w:pPr>
      <w:r>
        <w:rPr>
          <w:sz w:val="24"/>
          <w:szCs w:val="24"/>
        </w:rPr>
        <w:t xml:space="preserve">In most cases, DOH will enter into multi-year POS contracts in connection with the procurements covered under this plan.  Multi-year contracts are preferable in these circumstances </w:t>
      </w:r>
      <w:r w:rsidR="00250389">
        <w:rPr>
          <w:sz w:val="24"/>
          <w:szCs w:val="24"/>
        </w:rPr>
        <w:t xml:space="preserve">primarily </w:t>
      </w:r>
      <w:r>
        <w:rPr>
          <w:sz w:val="24"/>
          <w:szCs w:val="24"/>
        </w:rPr>
        <w:t>to provide greater continuity, minimize dis</w:t>
      </w:r>
      <w:r w:rsidR="00250389">
        <w:rPr>
          <w:sz w:val="24"/>
          <w:szCs w:val="24"/>
        </w:rPr>
        <w:t xml:space="preserve">ruption of services, and allow sufficient time for service providers to implement a program and for DOH staff to monitor service providers for compliance and program effectiveness.  Multi-year contracts are also preferable to avoid wasteful duplication of procurement efforts by DOH </w:t>
      </w:r>
      <w:r w:rsidR="00F115E9">
        <w:rPr>
          <w:sz w:val="24"/>
          <w:szCs w:val="24"/>
        </w:rPr>
        <w:t xml:space="preserve">and CCU </w:t>
      </w:r>
      <w:r w:rsidR="00250389">
        <w:rPr>
          <w:sz w:val="24"/>
          <w:szCs w:val="24"/>
        </w:rPr>
        <w:t>staff.  The number of years included in DOH’s multi-year POS contracts depends on the program and, potentially, within a program on the evaluation of successful bidders during the procurement process.  It is not anticipated that any procurement would be for a contract period longer than four years.</w:t>
      </w:r>
    </w:p>
    <w:p w:rsidR="00952C3F" w:rsidRPr="00F115E9" w:rsidRDefault="00952C3F" w:rsidP="004235D5">
      <w:pPr>
        <w:spacing w:after="0" w:line="240" w:lineRule="auto"/>
        <w:rPr>
          <w:sz w:val="24"/>
          <w:szCs w:val="24"/>
        </w:rPr>
      </w:pPr>
    </w:p>
    <w:p w:rsidR="00952C3F" w:rsidRPr="00F115E9" w:rsidRDefault="000114FF" w:rsidP="004235D5">
      <w:pPr>
        <w:spacing w:after="0" w:line="240" w:lineRule="auto"/>
        <w:rPr>
          <w:sz w:val="24"/>
          <w:szCs w:val="24"/>
          <w:u w:val="single"/>
        </w:rPr>
      </w:pPr>
      <w:r w:rsidRPr="00F115E9">
        <w:rPr>
          <w:sz w:val="24"/>
          <w:szCs w:val="24"/>
          <w:u w:val="single"/>
        </w:rPr>
        <w:t>IX</w:t>
      </w:r>
      <w:proofErr w:type="gramStart"/>
      <w:r w:rsidRPr="00F115E9">
        <w:rPr>
          <w:sz w:val="24"/>
          <w:szCs w:val="24"/>
          <w:u w:val="single"/>
        </w:rPr>
        <w:t xml:space="preserve">.  </w:t>
      </w:r>
      <w:r w:rsidR="00952C3F" w:rsidRPr="00F115E9">
        <w:rPr>
          <w:sz w:val="24"/>
          <w:szCs w:val="24"/>
          <w:u w:val="single"/>
        </w:rPr>
        <w:t>Implementation</w:t>
      </w:r>
      <w:proofErr w:type="gramEnd"/>
      <w:r w:rsidR="00952C3F" w:rsidRPr="00F115E9">
        <w:rPr>
          <w:sz w:val="24"/>
          <w:szCs w:val="24"/>
          <w:u w:val="single"/>
        </w:rPr>
        <w:t xml:space="preserve"> and Oversight</w:t>
      </w:r>
    </w:p>
    <w:p w:rsidR="00952C3F" w:rsidRPr="00F115E9" w:rsidRDefault="00952C3F" w:rsidP="004235D5">
      <w:pPr>
        <w:spacing w:after="0" w:line="240" w:lineRule="auto"/>
        <w:rPr>
          <w:sz w:val="24"/>
          <w:szCs w:val="24"/>
        </w:rPr>
      </w:pPr>
    </w:p>
    <w:p w:rsidR="00952C3F" w:rsidRPr="00F115E9" w:rsidRDefault="00250389" w:rsidP="004235D5">
      <w:pPr>
        <w:spacing w:after="0" w:line="240" w:lineRule="auto"/>
        <w:rPr>
          <w:sz w:val="24"/>
          <w:szCs w:val="24"/>
        </w:rPr>
      </w:pPr>
      <w:r w:rsidRPr="00F115E9">
        <w:rPr>
          <w:sz w:val="24"/>
          <w:szCs w:val="24"/>
        </w:rPr>
        <w:t xml:space="preserve">DOH stands ready to implement this plan following approval by OPM.  This plan is </w:t>
      </w:r>
      <w:r w:rsidR="002D07BA" w:rsidRPr="00F115E9">
        <w:rPr>
          <w:sz w:val="24"/>
          <w:szCs w:val="24"/>
        </w:rPr>
        <w:t xml:space="preserve">intended to be </w:t>
      </w:r>
      <w:r w:rsidRPr="00F115E9">
        <w:rPr>
          <w:sz w:val="24"/>
          <w:szCs w:val="24"/>
        </w:rPr>
        <w:t xml:space="preserve">effective </w:t>
      </w:r>
      <w:r w:rsidR="002D07BA" w:rsidRPr="00F115E9">
        <w:rPr>
          <w:sz w:val="24"/>
          <w:szCs w:val="24"/>
        </w:rPr>
        <w:t>from</w:t>
      </w:r>
      <w:r w:rsidRPr="00F115E9">
        <w:rPr>
          <w:sz w:val="24"/>
          <w:szCs w:val="24"/>
        </w:rPr>
        <w:t xml:space="preserve"> </w:t>
      </w:r>
      <w:r w:rsidR="002D07BA" w:rsidRPr="00F115E9">
        <w:rPr>
          <w:sz w:val="24"/>
          <w:szCs w:val="24"/>
        </w:rPr>
        <w:t>FY</w:t>
      </w:r>
      <w:r w:rsidRPr="00F115E9">
        <w:rPr>
          <w:sz w:val="24"/>
          <w:szCs w:val="24"/>
        </w:rPr>
        <w:t xml:space="preserve"> 2016 through </w:t>
      </w:r>
      <w:r w:rsidR="002D07BA" w:rsidRPr="00F115E9">
        <w:rPr>
          <w:sz w:val="24"/>
          <w:szCs w:val="24"/>
        </w:rPr>
        <w:t xml:space="preserve">FY </w:t>
      </w:r>
      <w:r w:rsidRPr="00F115E9">
        <w:rPr>
          <w:sz w:val="24"/>
          <w:szCs w:val="24"/>
        </w:rPr>
        <w:t xml:space="preserve">2018 and shall be subject to review and modification as may be necessary from time to time. </w:t>
      </w:r>
      <w:r w:rsidR="002D07BA" w:rsidRPr="00F115E9">
        <w:rPr>
          <w:sz w:val="24"/>
          <w:szCs w:val="24"/>
        </w:rPr>
        <w:t xml:space="preserve"> </w:t>
      </w:r>
      <w:r w:rsidRPr="00F115E9">
        <w:rPr>
          <w:sz w:val="24"/>
          <w:szCs w:val="24"/>
        </w:rPr>
        <w:t xml:space="preserve">All </w:t>
      </w:r>
      <w:r w:rsidR="002D07BA" w:rsidRPr="00F115E9">
        <w:rPr>
          <w:sz w:val="24"/>
          <w:szCs w:val="24"/>
        </w:rPr>
        <w:t xml:space="preserve">significant </w:t>
      </w:r>
      <w:r w:rsidRPr="00F115E9">
        <w:rPr>
          <w:sz w:val="24"/>
          <w:szCs w:val="24"/>
        </w:rPr>
        <w:t xml:space="preserve">modifications will be submitted to OPM for approval. </w:t>
      </w:r>
      <w:r w:rsidR="002D07BA" w:rsidRPr="00F115E9">
        <w:rPr>
          <w:sz w:val="24"/>
          <w:szCs w:val="24"/>
        </w:rPr>
        <w:t>RFPs</w:t>
      </w:r>
      <w:r w:rsidRPr="00F115E9">
        <w:rPr>
          <w:sz w:val="24"/>
          <w:szCs w:val="24"/>
        </w:rPr>
        <w:t xml:space="preserve"> during the time period covered in this plan shall be issued in accordance with the guidelines of this plan. </w:t>
      </w:r>
      <w:r w:rsidR="002D07BA" w:rsidRPr="00F115E9">
        <w:rPr>
          <w:sz w:val="24"/>
          <w:szCs w:val="24"/>
        </w:rPr>
        <w:t xml:space="preserve"> </w:t>
      </w:r>
      <w:r w:rsidRPr="00F115E9">
        <w:rPr>
          <w:sz w:val="24"/>
          <w:szCs w:val="24"/>
        </w:rPr>
        <w:t>The end date of this procurement plan shall be June 30, 2018.</w:t>
      </w:r>
    </w:p>
    <w:p w:rsidR="00D51269" w:rsidRDefault="00D51269">
      <w:pPr>
        <w:rPr>
          <w:sz w:val="24"/>
          <w:szCs w:val="24"/>
        </w:rPr>
      </w:pPr>
      <w:r>
        <w:rPr>
          <w:sz w:val="24"/>
          <w:szCs w:val="24"/>
        </w:rPr>
        <w:br w:type="page"/>
      </w:r>
    </w:p>
    <w:p w:rsidR="00952C3F" w:rsidRPr="00D51269" w:rsidRDefault="00D51269" w:rsidP="00D51269">
      <w:pPr>
        <w:spacing w:after="0" w:line="240" w:lineRule="auto"/>
        <w:jc w:val="center"/>
        <w:rPr>
          <w:sz w:val="24"/>
          <w:szCs w:val="24"/>
          <w:u w:val="single"/>
        </w:rPr>
      </w:pPr>
      <w:r w:rsidRPr="00D51269">
        <w:rPr>
          <w:sz w:val="24"/>
          <w:szCs w:val="24"/>
          <w:u w:val="single"/>
        </w:rPr>
        <w:lastRenderedPageBreak/>
        <w:t>Exhibit I</w:t>
      </w:r>
    </w:p>
    <w:p w:rsidR="00D51269" w:rsidRDefault="00D51269" w:rsidP="004235D5">
      <w:pPr>
        <w:spacing w:after="0" w:line="240" w:lineRule="auto"/>
        <w:rPr>
          <w:sz w:val="24"/>
          <w:szCs w:val="24"/>
        </w:rPr>
      </w:pPr>
    </w:p>
    <w:p w:rsidR="00D51269" w:rsidRDefault="00D51269" w:rsidP="004235D5">
      <w:pPr>
        <w:spacing w:after="0" w:line="240" w:lineRule="auto"/>
        <w:rPr>
          <w:sz w:val="24"/>
          <w:szCs w:val="24"/>
        </w:rPr>
      </w:pPr>
      <w:r>
        <w:rPr>
          <w:sz w:val="24"/>
          <w:szCs w:val="24"/>
        </w:rPr>
        <w:t>A.  Procurement Schedule</w:t>
      </w:r>
    </w:p>
    <w:p w:rsidR="00D51269" w:rsidRDefault="00D51269" w:rsidP="004235D5">
      <w:pPr>
        <w:spacing w:after="0" w:line="240" w:lineRule="auto"/>
        <w:rPr>
          <w:sz w:val="24"/>
          <w:szCs w:val="24"/>
        </w:rPr>
      </w:pPr>
    </w:p>
    <w:tbl>
      <w:tblPr>
        <w:tblW w:w="9118" w:type="dxa"/>
        <w:jc w:val="center"/>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Look w:val="01E0"/>
      </w:tblPr>
      <w:tblGrid>
        <w:gridCol w:w="1706"/>
        <w:gridCol w:w="1233"/>
        <w:gridCol w:w="1530"/>
        <w:gridCol w:w="1170"/>
        <w:gridCol w:w="2402"/>
        <w:gridCol w:w="1077"/>
      </w:tblGrid>
      <w:tr w:rsidR="00D51269" w:rsidRPr="00C533DD" w:rsidTr="00AB52DC">
        <w:trPr>
          <w:jc w:val="center"/>
        </w:trPr>
        <w:tc>
          <w:tcPr>
            <w:tcW w:w="1706" w:type="dxa"/>
            <w:shd w:val="clear" w:color="auto" w:fill="auto"/>
          </w:tcPr>
          <w:p w:rsidR="00D51269" w:rsidRPr="00C533DD" w:rsidRDefault="00D51269" w:rsidP="003D4401">
            <w:pPr>
              <w:rPr>
                <w:b/>
              </w:rPr>
            </w:pPr>
            <w:r>
              <w:rPr>
                <w:b/>
              </w:rPr>
              <w:t>DOH</w:t>
            </w:r>
          </w:p>
        </w:tc>
        <w:tc>
          <w:tcPr>
            <w:tcW w:w="7412" w:type="dxa"/>
            <w:gridSpan w:val="5"/>
            <w:shd w:val="clear" w:color="auto" w:fill="auto"/>
          </w:tcPr>
          <w:p w:rsidR="00D51269" w:rsidRPr="00C533DD" w:rsidRDefault="00D51269" w:rsidP="003D4401">
            <w:r w:rsidRPr="00C533DD">
              <w:t>PROCUREMENT SCHEDULE</w:t>
            </w:r>
            <w:r w:rsidRPr="00C533DD">
              <w:br/>
              <w:t>For SFY 201</w:t>
            </w:r>
            <w:r>
              <w:t>6</w:t>
            </w:r>
            <w:r w:rsidRPr="00C533DD">
              <w:t>, 201</w:t>
            </w:r>
            <w:r>
              <w:t>7</w:t>
            </w:r>
            <w:r w:rsidRPr="00C533DD">
              <w:t>, 201</w:t>
            </w:r>
            <w:r>
              <w:t>8</w:t>
            </w:r>
            <w:r w:rsidRPr="00C533DD">
              <w:t xml:space="preserve"> </w:t>
            </w:r>
          </w:p>
        </w:tc>
      </w:tr>
      <w:tr w:rsidR="00D51269" w:rsidRPr="00C533DD" w:rsidTr="00AB52DC">
        <w:trPr>
          <w:jc w:val="center"/>
        </w:trPr>
        <w:tc>
          <w:tcPr>
            <w:tcW w:w="1706" w:type="dxa"/>
            <w:shd w:val="clear" w:color="auto" w:fill="E7F1E7"/>
          </w:tcPr>
          <w:p w:rsidR="00D51269" w:rsidRPr="00C533DD" w:rsidRDefault="00D51269" w:rsidP="003D4401">
            <w:pPr>
              <w:jc w:val="both"/>
              <w:rPr>
                <w:i/>
              </w:rPr>
            </w:pPr>
            <w:r w:rsidRPr="00C533DD">
              <w:rPr>
                <w:i/>
              </w:rPr>
              <w:t>(a)</w:t>
            </w:r>
            <w:r w:rsidRPr="00C533DD">
              <w:rPr>
                <w:i/>
              </w:rPr>
              <w:br/>
              <w:t>Program/Service Name</w:t>
            </w:r>
          </w:p>
        </w:tc>
        <w:tc>
          <w:tcPr>
            <w:tcW w:w="1233" w:type="dxa"/>
            <w:shd w:val="clear" w:color="auto" w:fill="E7F1E7"/>
          </w:tcPr>
          <w:p w:rsidR="00D51269" w:rsidRPr="00C533DD" w:rsidRDefault="00D51269" w:rsidP="003D4401">
            <w:pPr>
              <w:rPr>
                <w:i/>
              </w:rPr>
            </w:pPr>
            <w:r w:rsidRPr="00C533DD">
              <w:rPr>
                <w:i/>
              </w:rPr>
              <w:t>(b)</w:t>
            </w:r>
            <w:r w:rsidRPr="00C533DD">
              <w:rPr>
                <w:i/>
              </w:rPr>
              <w:br/>
              <w:t>Last RFP</w:t>
            </w:r>
            <w:r w:rsidRPr="00C533DD">
              <w:rPr>
                <w:i/>
              </w:rPr>
              <w:br/>
              <w:t>(SFY, Qtr)</w:t>
            </w:r>
          </w:p>
        </w:tc>
        <w:tc>
          <w:tcPr>
            <w:tcW w:w="1530" w:type="dxa"/>
            <w:shd w:val="clear" w:color="auto" w:fill="E7F1E7"/>
          </w:tcPr>
          <w:p w:rsidR="00D51269" w:rsidRPr="00C533DD" w:rsidRDefault="00D51269" w:rsidP="003D4401">
            <w:pPr>
              <w:rPr>
                <w:i/>
              </w:rPr>
            </w:pPr>
            <w:r w:rsidRPr="00C533DD">
              <w:rPr>
                <w:i/>
              </w:rPr>
              <w:t>(c)</w:t>
            </w:r>
            <w:r w:rsidRPr="00C533DD">
              <w:rPr>
                <w:i/>
              </w:rPr>
              <w:br/>
              <w:t>$ Amount</w:t>
            </w:r>
            <w:r w:rsidRPr="00C533DD">
              <w:rPr>
                <w:i/>
              </w:rPr>
              <w:br/>
              <w:t>(Total)</w:t>
            </w:r>
          </w:p>
        </w:tc>
        <w:tc>
          <w:tcPr>
            <w:tcW w:w="1170" w:type="dxa"/>
            <w:shd w:val="clear" w:color="auto" w:fill="E7F1E7"/>
          </w:tcPr>
          <w:p w:rsidR="00D51269" w:rsidRPr="00C533DD" w:rsidRDefault="00D51269" w:rsidP="003D4401">
            <w:pPr>
              <w:rPr>
                <w:i/>
              </w:rPr>
            </w:pPr>
            <w:r w:rsidRPr="00C533DD">
              <w:rPr>
                <w:i/>
              </w:rPr>
              <w:t>(d)</w:t>
            </w:r>
            <w:r w:rsidRPr="00C533DD">
              <w:rPr>
                <w:i/>
              </w:rPr>
              <w:br/>
              <w:t>Contracts</w:t>
            </w:r>
            <w:r w:rsidRPr="00C533DD">
              <w:rPr>
                <w:i/>
              </w:rPr>
              <w:br/>
              <w:t>(Number)</w:t>
            </w:r>
          </w:p>
        </w:tc>
        <w:tc>
          <w:tcPr>
            <w:tcW w:w="2402" w:type="dxa"/>
            <w:shd w:val="clear" w:color="auto" w:fill="E7F1E7"/>
          </w:tcPr>
          <w:p w:rsidR="00D51269" w:rsidRPr="00C533DD" w:rsidRDefault="00D51269" w:rsidP="003D4401">
            <w:pPr>
              <w:rPr>
                <w:i/>
              </w:rPr>
            </w:pPr>
            <w:r w:rsidRPr="00C533DD">
              <w:rPr>
                <w:i/>
              </w:rPr>
              <w:t>(e)</w:t>
            </w:r>
            <w:r w:rsidRPr="00C533DD">
              <w:rPr>
                <w:i/>
              </w:rPr>
              <w:br/>
              <w:t>Next RFP</w:t>
            </w:r>
            <w:r w:rsidRPr="00C533DD">
              <w:rPr>
                <w:i/>
              </w:rPr>
              <w:br/>
              <w:t>(SFY, Qtr)</w:t>
            </w:r>
          </w:p>
        </w:tc>
        <w:tc>
          <w:tcPr>
            <w:tcW w:w="1077" w:type="dxa"/>
            <w:shd w:val="clear" w:color="auto" w:fill="E7F1E7"/>
          </w:tcPr>
          <w:p w:rsidR="00D51269" w:rsidRPr="00C533DD" w:rsidRDefault="00D51269" w:rsidP="003D4401">
            <w:pPr>
              <w:rPr>
                <w:i/>
              </w:rPr>
            </w:pPr>
            <w:r w:rsidRPr="00C533DD">
              <w:rPr>
                <w:i/>
              </w:rPr>
              <w:t>(f)</w:t>
            </w:r>
            <w:r w:rsidRPr="00C533DD">
              <w:rPr>
                <w:i/>
              </w:rPr>
              <w:br/>
              <w:t>RFP Cycle</w:t>
            </w:r>
            <w:r w:rsidRPr="00C533DD">
              <w:rPr>
                <w:i/>
              </w:rPr>
              <w:br/>
              <w:t>(In Years)</w:t>
            </w:r>
          </w:p>
        </w:tc>
      </w:tr>
      <w:tr w:rsidR="00D51269" w:rsidRPr="00C533DD" w:rsidTr="00AB52DC">
        <w:trPr>
          <w:jc w:val="center"/>
        </w:trPr>
        <w:tc>
          <w:tcPr>
            <w:tcW w:w="1706" w:type="dxa"/>
          </w:tcPr>
          <w:p w:rsidR="00D51269" w:rsidRPr="00C533DD" w:rsidRDefault="00D51269" w:rsidP="003D4401">
            <w:pPr>
              <w:jc w:val="both"/>
            </w:pPr>
            <w:r>
              <w:t>Emergency Shelter Services</w:t>
            </w:r>
          </w:p>
          <w:p w:rsidR="00D51269" w:rsidRPr="00C533DD" w:rsidRDefault="00D51269" w:rsidP="003D4401">
            <w:pPr>
              <w:jc w:val="both"/>
            </w:pPr>
          </w:p>
        </w:tc>
        <w:tc>
          <w:tcPr>
            <w:tcW w:w="1233" w:type="dxa"/>
          </w:tcPr>
          <w:p w:rsidR="00D51269" w:rsidRPr="00C533DD" w:rsidRDefault="00D51269" w:rsidP="003D4401">
            <w:r>
              <w:t>SFY</w:t>
            </w:r>
            <w:r w:rsidR="003D4401">
              <w:t>15 Q2</w:t>
            </w:r>
          </w:p>
        </w:tc>
        <w:tc>
          <w:tcPr>
            <w:tcW w:w="1530" w:type="dxa"/>
          </w:tcPr>
          <w:p w:rsidR="00D51269" w:rsidRPr="00C533DD" w:rsidRDefault="00D51269" w:rsidP="003D4401">
            <w:r>
              <w:t>$19,710,834</w:t>
            </w:r>
          </w:p>
        </w:tc>
        <w:tc>
          <w:tcPr>
            <w:tcW w:w="1170" w:type="dxa"/>
          </w:tcPr>
          <w:p w:rsidR="00D51269" w:rsidRPr="00C533DD" w:rsidRDefault="00D51269" w:rsidP="003D4401">
            <w:r>
              <w:t>50</w:t>
            </w:r>
          </w:p>
        </w:tc>
        <w:tc>
          <w:tcPr>
            <w:tcW w:w="2402" w:type="dxa"/>
          </w:tcPr>
          <w:p w:rsidR="00D51269" w:rsidRPr="00C533DD" w:rsidRDefault="00D51269" w:rsidP="00AB52DC">
            <w:r>
              <w:t>SFY1</w:t>
            </w:r>
            <w:r w:rsidR="003D4401">
              <w:t>9 (</w:t>
            </w:r>
            <w:r w:rsidR="00AB52DC">
              <w:t xml:space="preserve"> most contracts are for a 3 year term with a one-year option for the State to renew but </w:t>
            </w:r>
            <w:r w:rsidR="003D4401">
              <w:t>some contracts will have an annual term with 3 one-year options for the State to renew</w:t>
            </w:r>
            <w:r w:rsidR="00AB52DC">
              <w:t>,</w:t>
            </w:r>
            <w:r w:rsidR="003D4401">
              <w:t xml:space="preserve"> based on performance)</w:t>
            </w:r>
          </w:p>
        </w:tc>
        <w:tc>
          <w:tcPr>
            <w:tcW w:w="1077" w:type="dxa"/>
            <w:tcBorders>
              <w:bottom w:val="single" w:sz="2" w:space="0" w:color="999999"/>
            </w:tcBorders>
          </w:tcPr>
          <w:p w:rsidR="00D51269" w:rsidRPr="00C533DD" w:rsidRDefault="00D51269" w:rsidP="003D4401">
            <w:r>
              <w:t>4</w:t>
            </w:r>
            <w:r w:rsidR="003D4401">
              <w:t xml:space="preserve"> (an earlier RFP may be needed if some contracts are not renewed)</w:t>
            </w:r>
          </w:p>
        </w:tc>
      </w:tr>
      <w:tr w:rsidR="00D51269" w:rsidRPr="00C533DD" w:rsidTr="00AB52DC">
        <w:trPr>
          <w:jc w:val="center"/>
        </w:trPr>
        <w:tc>
          <w:tcPr>
            <w:tcW w:w="1706" w:type="dxa"/>
          </w:tcPr>
          <w:p w:rsidR="00D51269" w:rsidRPr="00C533DD" w:rsidRDefault="00D51269" w:rsidP="00C5039A">
            <w:pPr>
              <w:jc w:val="both"/>
            </w:pPr>
            <w:r>
              <w:t>Housing Opportunity for Persons with AIDS</w:t>
            </w:r>
          </w:p>
        </w:tc>
        <w:tc>
          <w:tcPr>
            <w:tcW w:w="1233" w:type="dxa"/>
          </w:tcPr>
          <w:p w:rsidR="00D51269" w:rsidRPr="00C533DD" w:rsidRDefault="00D51269" w:rsidP="003D4401">
            <w:r>
              <w:t>SFY</w:t>
            </w:r>
            <w:r w:rsidR="003D4401">
              <w:t>15</w:t>
            </w:r>
            <w:r>
              <w:t xml:space="preserve"> Q3</w:t>
            </w:r>
          </w:p>
        </w:tc>
        <w:tc>
          <w:tcPr>
            <w:tcW w:w="1530" w:type="dxa"/>
          </w:tcPr>
          <w:p w:rsidR="00D51269" w:rsidRPr="00C533DD" w:rsidRDefault="00D51269" w:rsidP="003D4401">
            <w:r>
              <w:t>$277,729</w:t>
            </w:r>
          </w:p>
        </w:tc>
        <w:tc>
          <w:tcPr>
            <w:tcW w:w="1170" w:type="dxa"/>
          </w:tcPr>
          <w:p w:rsidR="00D51269" w:rsidRPr="00C533DD" w:rsidRDefault="00D51269" w:rsidP="003D4401">
            <w:r>
              <w:t>3</w:t>
            </w:r>
          </w:p>
        </w:tc>
        <w:tc>
          <w:tcPr>
            <w:tcW w:w="2402" w:type="dxa"/>
          </w:tcPr>
          <w:p w:rsidR="00D51269" w:rsidRPr="00C533DD" w:rsidRDefault="00D51269" w:rsidP="003D4401">
            <w:r>
              <w:t>SFY</w:t>
            </w:r>
            <w:r w:rsidR="003D4401">
              <w:t>18 Q</w:t>
            </w:r>
            <w:r w:rsidR="00C5039A">
              <w:t>2</w:t>
            </w:r>
          </w:p>
        </w:tc>
        <w:tc>
          <w:tcPr>
            <w:tcW w:w="1077" w:type="dxa"/>
            <w:shd w:val="clear" w:color="auto" w:fill="auto"/>
          </w:tcPr>
          <w:p w:rsidR="00D51269" w:rsidRPr="00C533DD" w:rsidRDefault="003D4401" w:rsidP="003D4401">
            <w:r>
              <w:t>3</w:t>
            </w:r>
          </w:p>
        </w:tc>
      </w:tr>
      <w:tr w:rsidR="00D51269" w:rsidRPr="00C533DD" w:rsidTr="00AB52DC">
        <w:trPr>
          <w:jc w:val="center"/>
        </w:trPr>
        <w:tc>
          <w:tcPr>
            <w:tcW w:w="1706" w:type="dxa"/>
          </w:tcPr>
          <w:p w:rsidR="00D51269" w:rsidRPr="00C533DD" w:rsidRDefault="00D51269" w:rsidP="003D4401">
            <w:pPr>
              <w:jc w:val="both"/>
            </w:pPr>
            <w:r>
              <w:t>Mobility</w:t>
            </w:r>
            <w:r w:rsidR="003D4401">
              <w:t xml:space="preserve"> Counseling</w:t>
            </w:r>
          </w:p>
        </w:tc>
        <w:tc>
          <w:tcPr>
            <w:tcW w:w="1233" w:type="dxa"/>
          </w:tcPr>
          <w:p w:rsidR="00D51269" w:rsidRPr="00C533DD" w:rsidRDefault="00D51269" w:rsidP="003D4401">
            <w:r>
              <w:t>SFY</w:t>
            </w:r>
            <w:r w:rsidR="003D4401">
              <w:t>15 Q4</w:t>
            </w:r>
          </w:p>
        </w:tc>
        <w:tc>
          <w:tcPr>
            <w:tcW w:w="1530" w:type="dxa"/>
          </w:tcPr>
          <w:p w:rsidR="00D51269" w:rsidRPr="00C533DD" w:rsidRDefault="00D51269" w:rsidP="003D4401">
            <w:r>
              <w:t>$364,078</w:t>
            </w:r>
          </w:p>
        </w:tc>
        <w:tc>
          <w:tcPr>
            <w:tcW w:w="1170" w:type="dxa"/>
          </w:tcPr>
          <w:p w:rsidR="00D51269" w:rsidRPr="00C533DD" w:rsidRDefault="00D51269" w:rsidP="003D4401">
            <w:r>
              <w:t>3</w:t>
            </w:r>
          </w:p>
        </w:tc>
        <w:tc>
          <w:tcPr>
            <w:tcW w:w="2402" w:type="dxa"/>
          </w:tcPr>
          <w:p w:rsidR="00D51269" w:rsidRPr="00C533DD" w:rsidRDefault="00D51269" w:rsidP="003D4401">
            <w:r>
              <w:t>SFY</w:t>
            </w:r>
            <w:r w:rsidR="003D4401">
              <w:t>18 Q</w:t>
            </w:r>
            <w:r w:rsidR="00C5039A">
              <w:t>2</w:t>
            </w:r>
          </w:p>
        </w:tc>
        <w:tc>
          <w:tcPr>
            <w:tcW w:w="1077" w:type="dxa"/>
            <w:shd w:val="clear" w:color="auto" w:fill="auto"/>
          </w:tcPr>
          <w:p w:rsidR="00D51269" w:rsidRPr="00C533DD" w:rsidRDefault="003D4401" w:rsidP="003D4401">
            <w:r>
              <w:t>3</w:t>
            </w:r>
          </w:p>
        </w:tc>
      </w:tr>
      <w:tr w:rsidR="00D51269" w:rsidRPr="00C533DD" w:rsidTr="00AB52DC">
        <w:trPr>
          <w:jc w:val="center"/>
        </w:trPr>
        <w:tc>
          <w:tcPr>
            <w:tcW w:w="1706" w:type="dxa"/>
          </w:tcPr>
          <w:p w:rsidR="00D51269" w:rsidRPr="00C533DD" w:rsidRDefault="00D51269" w:rsidP="003D4401">
            <w:pPr>
              <w:jc w:val="both"/>
            </w:pPr>
            <w:r>
              <w:t>AIDS</w:t>
            </w:r>
          </w:p>
        </w:tc>
        <w:tc>
          <w:tcPr>
            <w:tcW w:w="1233" w:type="dxa"/>
          </w:tcPr>
          <w:p w:rsidR="00D51269" w:rsidRPr="00C533DD" w:rsidRDefault="00D51269" w:rsidP="003D4401">
            <w:r>
              <w:t>Unknown</w:t>
            </w:r>
          </w:p>
        </w:tc>
        <w:tc>
          <w:tcPr>
            <w:tcW w:w="1530" w:type="dxa"/>
          </w:tcPr>
          <w:p w:rsidR="00D51269" w:rsidRPr="00C533DD" w:rsidRDefault="00D51269" w:rsidP="003D4401">
            <w:r>
              <w:t>$5,538,819</w:t>
            </w:r>
          </w:p>
        </w:tc>
        <w:tc>
          <w:tcPr>
            <w:tcW w:w="1170" w:type="dxa"/>
          </w:tcPr>
          <w:p w:rsidR="00D51269" w:rsidRPr="00C533DD" w:rsidRDefault="00D51269" w:rsidP="003D4401">
            <w:r>
              <w:t>20</w:t>
            </w:r>
          </w:p>
        </w:tc>
        <w:tc>
          <w:tcPr>
            <w:tcW w:w="2402" w:type="dxa"/>
          </w:tcPr>
          <w:p w:rsidR="00D51269" w:rsidRPr="00C533DD" w:rsidRDefault="00D51269" w:rsidP="003D4401">
            <w:r>
              <w:t>SFY16 Q1</w:t>
            </w:r>
          </w:p>
        </w:tc>
        <w:tc>
          <w:tcPr>
            <w:tcW w:w="1077" w:type="dxa"/>
          </w:tcPr>
          <w:p w:rsidR="00D51269" w:rsidRPr="00C533DD" w:rsidRDefault="003D4401" w:rsidP="003D4401">
            <w:r>
              <w:t>3</w:t>
            </w:r>
          </w:p>
        </w:tc>
      </w:tr>
      <w:tr w:rsidR="00D51269" w:rsidRPr="00C533DD" w:rsidTr="00AB52DC">
        <w:trPr>
          <w:jc w:val="center"/>
        </w:trPr>
        <w:tc>
          <w:tcPr>
            <w:tcW w:w="1706" w:type="dxa"/>
          </w:tcPr>
          <w:p w:rsidR="00D51269" w:rsidRPr="00C533DD" w:rsidRDefault="00D51269" w:rsidP="003D4401">
            <w:pPr>
              <w:jc w:val="both"/>
            </w:pPr>
            <w:r>
              <w:t>Rapid Rehousing</w:t>
            </w:r>
          </w:p>
        </w:tc>
        <w:tc>
          <w:tcPr>
            <w:tcW w:w="1233" w:type="dxa"/>
          </w:tcPr>
          <w:p w:rsidR="00D51269" w:rsidRPr="00C533DD" w:rsidRDefault="00D51269" w:rsidP="003D4401">
            <w:r>
              <w:t>SFY12 Q3</w:t>
            </w:r>
          </w:p>
        </w:tc>
        <w:tc>
          <w:tcPr>
            <w:tcW w:w="1530" w:type="dxa"/>
          </w:tcPr>
          <w:p w:rsidR="00D51269" w:rsidRPr="00C533DD" w:rsidRDefault="00D51269" w:rsidP="003D4401">
            <w:r>
              <w:t>$1,066,610</w:t>
            </w:r>
          </w:p>
        </w:tc>
        <w:tc>
          <w:tcPr>
            <w:tcW w:w="1170" w:type="dxa"/>
          </w:tcPr>
          <w:p w:rsidR="00D51269" w:rsidRPr="00C533DD" w:rsidRDefault="00D51269" w:rsidP="003D4401">
            <w:r>
              <w:t>5</w:t>
            </w:r>
          </w:p>
        </w:tc>
        <w:tc>
          <w:tcPr>
            <w:tcW w:w="2402" w:type="dxa"/>
          </w:tcPr>
          <w:p w:rsidR="00D51269" w:rsidRPr="00C533DD" w:rsidRDefault="00D51269" w:rsidP="003D4401">
            <w:r>
              <w:t>SFY16 Q</w:t>
            </w:r>
            <w:r w:rsidR="00C5039A">
              <w:t>2</w:t>
            </w:r>
          </w:p>
        </w:tc>
        <w:tc>
          <w:tcPr>
            <w:tcW w:w="1077" w:type="dxa"/>
          </w:tcPr>
          <w:p w:rsidR="00D51269" w:rsidRPr="00C533DD" w:rsidRDefault="003D4401" w:rsidP="003D4401">
            <w:r>
              <w:t>3</w:t>
            </w:r>
          </w:p>
        </w:tc>
      </w:tr>
      <w:tr w:rsidR="00D51269" w:rsidRPr="00C533DD" w:rsidTr="00AB52DC">
        <w:trPr>
          <w:jc w:val="center"/>
        </w:trPr>
        <w:tc>
          <w:tcPr>
            <w:tcW w:w="1706" w:type="dxa"/>
          </w:tcPr>
          <w:p w:rsidR="00D51269" w:rsidRDefault="00D51269" w:rsidP="003D4401">
            <w:pPr>
              <w:jc w:val="both"/>
            </w:pPr>
            <w:r>
              <w:t>Eviction Foreclosure Prevention/ Security Deposit Guarant</w:t>
            </w:r>
            <w:r w:rsidR="003D4401">
              <w:t>y</w:t>
            </w:r>
          </w:p>
        </w:tc>
        <w:tc>
          <w:tcPr>
            <w:tcW w:w="1233" w:type="dxa"/>
          </w:tcPr>
          <w:p w:rsidR="00D51269" w:rsidRDefault="00D51269" w:rsidP="00C5039A">
            <w:r>
              <w:t>SFY</w:t>
            </w:r>
            <w:r w:rsidR="00C5039A">
              <w:t>13</w:t>
            </w:r>
          </w:p>
        </w:tc>
        <w:tc>
          <w:tcPr>
            <w:tcW w:w="1530" w:type="dxa"/>
          </w:tcPr>
          <w:p w:rsidR="00D51269" w:rsidRPr="00C533DD" w:rsidRDefault="00D51269" w:rsidP="003D4401">
            <w:r>
              <w:t>$1,864,155</w:t>
            </w:r>
          </w:p>
        </w:tc>
        <w:tc>
          <w:tcPr>
            <w:tcW w:w="1170" w:type="dxa"/>
          </w:tcPr>
          <w:p w:rsidR="00D51269" w:rsidRDefault="00D51269" w:rsidP="003D4401">
            <w:r>
              <w:t>5</w:t>
            </w:r>
          </w:p>
        </w:tc>
        <w:tc>
          <w:tcPr>
            <w:tcW w:w="2402" w:type="dxa"/>
          </w:tcPr>
          <w:p w:rsidR="00D51269" w:rsidRDefault="00D51269" w:rsidP="003D4401">
            <w:r>
              <w:t>SFY16 Q</w:t>
            </w:r>
            <w:r w:rsidR="00C5039A">
              <w:t>2</w:t>
            </w:r>
          </w:p>
        </w:tc>
        <w:tc>
          <w:tcPr>
            <w:tcW w:w="1077" w:type="dxa"/>
          </w:tcPr>
          <w:p w:rsidR="00D51269" w:rsidRDefault="003D4401" w:rsidP="003D4401">
            <w:r>
              <w:t>3</w:t>
            </w:r>
          </w:p>
        </w:tc>
      </w:tr>
      <w:tr w:rsidR="00D51269" w:rsidRPr="00C533DD" w:rsidTr="00AB52DC">
        <w:trPr>
          <w:jc w:val="center"/>
        </w:trPr>
        <w:tc>
          <w:tcPr>
            <w:tcW w:w="1706" w:type="dxa"/>
          </w:tcPr>
          <w:p w:rsidR="00D51269" w:rsidRDefault="00D51269" w:rsidP="003D4401">
            <w:pPr>
              <w:jc w:val="both"/>
            </w:pPr>
            <w:r>
              <w:t>Section8/ Rental Assistance Program</w:t>
            </w:r>
          </w:p>
        </w:tc>
        <w:tc>
          <w:tcPr>
            <w:tcW w:w="1233" w:type="dxa"/>
          </w:tcPr>
          <w:p w:rsidR="00D51269" w:rsidRDefault="00D51269" w:rsidP="003D4401">
            <w:r>
              <w:t>SFY02 Q2</w:t>
            </w:r>
          </w:p>
        </w:tc>
        <w:tc>
          <w:tcPr>
            <w:tcW w:w="1530" w:type="dxa"/>
          </w:tcPr>
          <w:p w:rsidR="00D51269" w:rsidRPr="00C533DD" w:rsidRDefault="00D51269" w:rsidP="003D4401">
            <w:r>
              <w:t>$352,800,000</w:t>
            </w:r>
          </w:p>
        </w:tc>
        <w:tc>
          <w:tcPr>
            <w:tcW w:w="1170" w:type="dxa"/>
          </w:tcPr>
          <w:p w:rsidR="00D51269" w:rsidRDefault="00D51269" w:rsidP="003D4401">
            <w:r>
              <w:t>1</w:t>
            </w:r>
          </w:p>
        </w:tc>
        <w:tc>
          <w:tcPr>
            <w:tcW w:w="2402" w:type="dxa"/>
          </w:tcPr>
          <w:p w:rsidR="00D51269" w:rsidRDefault="00D51269" w:rsidP="003D4401">
            <w:r>
              <w:t>SFY17 Q1</w:t>
            </w:r>
          </w:p>
        </w:tc>
        <w:tc>
          <w:tcPr>
            <w:tcW w:w="1077" w:type="dxa"/>
          </w:tcPr>
          <w:p w:rsidR="00D51269" w:rsidRDefault="00D51269" w:rsidP="003D4401">
            <w:r>
              <w:t>4</w:t>
            </w:r>
          </w:p>
        </w:tc>
      </w:tr>
    </w:tbl>
    <w:p w:rsidR="00D51269" w:rsidRDefault="00D51269" w:rsidP="004235D5">
      <w:pPr>
        <w:spacing w:after="0" w:line="240" w:lineRule="auto"/>
        <w:rPr>
          <w:sz w:val="24"/>
          <w:szCs w:val="24"/>
        </w:rPr>
      </w:pPr>
    </w:p>
    <w:p w:rsidR="00D51269" w:rsidRDefault="00D51269" w:rsidP="004235D5">
      <w:pPr>
        <w:spacing w:after="0" w:line="240" w:lineRule="auto"/>
        <w:rPr>
          <w:sz w:val="24"/>
          <w:szCs w:val="24"/>
        </w:rPr>
      </w:pPr>
    </w:p>
    <w:p w:rsidR="00D51269" w:rsidRDefault="00D51269" w:rsidP="004235D5">
      <w:pPr>
        <w:spacing w:after="0" w:line="240" w:lineRule="auto"/>
        <w:rPr>
          <w:sz w:val="24"/>
          <w:szCs w:val="24"/>
        </w:rPr>
      </w:pPr>
      <w:r>
        <w:rPr>
          <w:sz w:val="24"/>
          <w:szCs w:val="24"/>
        </w:rPr>
        <w:lastRenderedPageBreak/>
        <w:t>B.  Alternative Practice Improvement Approach Schedule</w:t>
      </w:r>
    </w:p>
    <w:p w:rsidR="00D51269" w:rsidRDefault="00D51269" w:rsidP="004235D5">
      <w:pPr>
        <w:spacing w:after="0" w:line="240" w:lineRule="auto"/>
        <w:rPr>
          <w:sz w:val="24"/>
          <w:szCs w:val="24"/>
        </w:rPr>
      </w:pPr>
    </w:p>
    <w:p w:rsidR="00D51269" w:rsidRDefault="00D51269" w:rsidP="004235D5">
      <w:pPr>
        <w:spacing w:after="0" w:line="240" w:lineRule="auto"/>
        <w:rPr>
          <w:sz w:val="24"/>
          <w:szCs w:val="24"/>
        </w:rPr>
      </w:pPr>
    </w:p>
    <w:tbl>
      <w:tblPr>
        <w:tblW w:w="9118" w:type="dxa"/>
        <w:jc w:val="center"/>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Look w:val="01E0"/>
      </w:tblPr>
      <w:tblGrid>
        <w:gridCol w:w="1705"/>
        <w:gridCol w:w="1144"/>
        <w:gridCol w:w="1350"/>
        <w:gridCol w:w="1080"/>
        <w:gridCol w:w="1260"/>
        <w:gridCol w:w="2579"/>
      </w:tblGrid>
      <w:tr w:rsidR="00D51269" w:rsidRPr="0000010E" w:rsidTr="003D4401">
        <w:trPr>
          <w:jc w:val="center"/>
        </w:trPr>
        <w:tc>
          <w:tcPr>
            <w:tcW w:w="1705" w:type="dxa"/>
            <w:shd w:val="clear" w:color="auto" w:fill="auto"/>
          </w:tcPr>
          <w:p w:rsidR="00D51269" w:rsidRPr="0000010E" w:rsidRDefault="00D51269" w:rsidP="003D4401">
            <w:pPr>
              <w:rPr>
                <w:rFonts w:ascii="Calibri" w:eastAsia="Calibri" w:hAnsi="Calibri" w:cs="Times New Roman"/>
                <w:b/>
              </w:rPr>
            </w:pPr>
            <w:r w:rsidRPr="0000010E">
              <w:rPr>
                <w:rFonts w:ascii="Calibri" w:eastAsia="Calibri" w:hAnsi="Calibri" w:cs="Times New Roman"/>
                <w:b/>
              </w:rPr>
              <w:t>DOH</w:t>
            </w:r>
          </w:p>
        </w:tc>
        <w:tc>
          <w:tcPr>
            <w:tcW w:w="7413" w:type="dxa"/>
            <w:gridSpan w:val="5"/>
            <w:shd w:val="clear" w:color="auto" w:fill="auto"/>
          </w:tcPr>
          <w:p w:rsidR="00D51269" w:rsidRPr="0000010E" w:rsidRDefault="00D51269" w:rsidP="003D4401">
            <w:pPr>
              <w:rPr>
                <w:rFonts w:ascii="Calibri" w:eastAsia="Calibri" w:hAnsi="Calibri" w:cs="Times New Roman"/>
              </w:rPr>
            </w:pPr>
            <w:r>
              <w:rPr>
                <w:rFonts w:ascii="Calibri" w:eastAsia="Calibri" w:hAnsi="Calibri" w:cs="Times New Roman"/>
              </w:rPr>
              <w:t>Alternative Practice Improvement Approach Schedule</w:t>
            </w:r>
            <w:r w:rsidRPr="0000010E">
              <w:rPr>
                <w:rFonts w:ascii="Calibri" w:eastAsia="Calibri" w:hAnsi="Calibri" w:cs="Times New Roman"/>
              </w:rPr>
              <w:br/>
              <w:t xml:space="preserve">For SFY 2016, 2017, 2018 </w:t>
            </w:r>
          </w:p>
        </w:tc>
      </w:tr>
      <w:tr w:rsidR="00D51269" w:rsidRPr="0000010E" w:rsidTr="003D4401">
        <w:trPr>
          <w:jc w:val="center"/>
        </w:trPr>
        <w:tc>
          <w:tcPr>
            <w:tcW w:w="1705" w:type="dxa"/>
            <w:shd w:val="clear" w:color="auto" w:fill="E7F1E7"/>
          </w:tcPr>
          <w:p w:rsidR="00D51269" w:rsidRPr="0000010E" w:rsidRDefault="00D51269" w:rsidP="003D4401">
            <w:pPr>
              <w:jc w:val="both"/>
              <w:rPr>
                <w:rFonts w:ascii="Calibri" w:eastAsia="Calibri" w:hAnsi="Calibri" w:cs="Times New Roman"/>
                <w:i/>
              </w:rPr>
            </w:pPr>
            <w:r w:rsidRPr="0000010E">
              <w:rPr>
                <w:rFonts w:ascii="Calibri" w:eastAsia="Calibri" w:hAnsi="Calibri" w:cs="Times New Roman"/>
                <w:i/>
              </w:rPr>
              <w:t>(a)</w:t>
            </w:r>
            <w:r w:rsidRPr="0000010E">
              <w:rPr>
                <w:rFonts w:ascii="Calibri" w:eastAsia="Calibri" w:hAnsi="Calibri" w:cs="Times New Roman"/>
                <w:i/>
              </w:rPr>
              <w:br/>
              <w:t>Program/Service Name</w:t>
            </w:r>
          </w:p>
        </w:tc>
        <w:tc>
          <w:tcPr>
            <w:tcW w:w="1144" w:type="dxa"/>
            <w:shd w:val="clear" w:color="auto" w:fill="E7F1E7"/>
          </w:tcPr>
          <w:p w:rsidR="00D51269" w:rsidRPr="0000010E" w:rsidRDefault="00D51269" w:rsidP="003D4401">
            <w:pPr>
              <w:rPr>
                <w:rFonts w:ascii="Calibri" w:eastAsia="Calibri" w:hAnsi="Calibri" w:cs="Times New Roman"/>
                <w:i/>
              </w:rPr>
            </w:pPr>
            <w:r w:rsidRPr="0000010E">
              <w:rPr>
                <w:rFonts w:ascii="Calibri" w:eastAsia="Calibri" w:hAnsi="Calibri" w:cs="Times New Roman"/>
                <w:i/>
              </w:rPr>
              <w:t>(b)</w:t>
            </w:r>
            <w:r w:rsidRPr="0000010E">
              <w:rPr>
                <w:rFonts w:ascii="Calibri" w:eastAsia="Calibri" w:hAnsi="Calibri" w:cs="Times New Roman"/>
                <w:i/>
              </w:rPr>
              <w:br/>
              <w:t>Last RFP</w:t>
            </w:r>
            <w:r w:rsidRPr="0000010E">
              <w:rPr>
                <w:rFonts w:ascii="Calibri" w:eastAsia="Calibri" w:hAnsi="Calibri" w:cs="Times New Roman"/>
                <w:i/>
              </w:rPr>
              <w:br/>
              <w:t>(SFY, Qtr)</w:t>
            </w:r>
          </w:p>
        </w:tc>
        <w:tc>
          <w:tcPr>
            <w:tcW w:w="1350" w:type="dxa"/>
            <w:shd w:val="clear" w:color="auto" w:fill="E7F1E7"/>
          </w:tcPr>
          <w:p w:rsidR="00D51269" w:rsidRPr="0000010E" w:rsidRDefault="00D51269" w:rsidP="003D4401">
            <w:pPr>
              <w:rPr>
                <w:rFonts w:ascii="Calibri" w:eastAsia="Calibri" w:hAnsi="Calibri" w:cs="Times New Roman"/>
                <w:i/>
              </w:rPr>
            </w:pPr>
            <w:r w:rsidRPr="0000010E">
              <w:rPr>
                <w:rFonts w:ascii="Calibri" w:eastAsia="Calibri" w:hAnsi="Calibri" w:cs="Times New Roman"/>
                <w:i/>
              </w:rPr>
              <w:t>(c)</w:t>
            </w:r>
            <w:r w:rsidRPr="0000010E">
              <w:rPr>
                <w:rFonts w:ascii="Calibri" w:eastAsia="Calibri" w:hAnsi="Calibri" w:cs="Times New Roman"/>
                <w:i/>
              </w:rPr>
              <w:br/>
              <w:t>$ Amount</w:t>
            </w:r>
            <w:r w:rsidRPr="0000010E">
              <w:rPr>
                <w:rFonts w:ascii="Calibri" w:eastAsia="Calibri" w:hAnsi="Calibri" w:cs="Times New Roman"/>
                <w:i/>
              </w:rPr>
              <w:br/>
              <w:t>(Total)</w:t>
            </w:r>
          </w:p>
        </w:tc>
        <w:tc>
          <w:tcPr>
            <w:tcW w:w="1080" w:type="dxa"/>
            <w:shd w:val="clear" w:color="auto" w:fill="E7F1E7"/>
          </w:tcPr>
          <w:p w:rsidR="00D51269" w:rsidRPr="0000010E" w:rsidRDefault="00D51269" w:rsidP="003D4401">
            <w:pPr>
              <w:rPr>
                <w:rFonts w:ascii="Calibri" w:eastAsia="Calibri" w:hAnsi="Calibri" w:cs="Times New Roman"/>
                <w:i/>
              </w:rPr>
            </w:pPr>
            <w:r w:rsidRPr="0000010E">
              <w:rPr>
                <w:rFonts w:ascii="Calibri" w:eastAsia="Calibri" w:hAnsi="Calibri" w:cs="Times New Roman"/>
                <w:i/>
              </w:rPr>
              <w:t>(d)</w:t>
            </w:r>
            <w:r w:rsidRPr="0000010E">
              <w:rPr>
                <w:rFonts w:ascii="Calibri" w:eastAsia="Calibri" w:hAnsi="Calibri" w:cs="Times New Roman"/>
                <w:i/>
              </w:rPr>
              <w:br/>
              <w:t>Contracts</w:t>
            </w:r>
            <w:r w:rsidRPr="0000010E">
              <w:rPr>
                <w:rFonts w:ascii="Calibri" w:eastAsia="Calibri" w:hAnsi="Calibri" w:cs="Times New Roman"/>
                <w:i/>
              </w:rPr>
              <w:br/>
              <w:t>(Number)</w:t>
            </w:r>
          </w:p>
        </w:tc>
        <w:tc>
          <w:tcPr>
            <w:tcW w:w="1260" w:type="dxa"/>
            <w:shd w:val="clear" w:color="auto" w:fill="E7F1E7"/>
          </w:tcPr>
          <w:p w:rsidR="00D51269" w:rsidRPr="0000010E" w:rsidRDefault="00D51269" w:rsidP="003D4401">
            <w:pPr>
              <w:rPr>
                <w:rFonts w:ascii="Calibri" w:eastAsia="Calibri" w:hAnsi="Calibri" w:cs="Times New Roman"/>
                <w:i/>
              </w:rPr>
            </w:pPr>
            <w:r w:rsidRPr="0000010E">
              <w:rPr>
                <w:rFonts w:ascii="Calibri" w:eastAsia="Calibri" w:hAnsi="Calibri" w:cs="Times New Roman"/>
                <w:i/>
              </w:rPr>
              <w:t>(e)</w:t>
            </w:r>
            <w:r w:rsidRPr="0000010E">
              <w:rPr>
                <w:rFonts w:ascii="Calibri" w:eastAsia="Calibri" w:hAnsi="Calibri" w:cs="Times New Roman"/>
                <w:i/>
              </w:rPr>
              <w:br/>
              <w:t>Next RFP</w:t>
            </w:r>
            <w:r w:rsidRPr="0000010E">
              <w:rPr>
                <w:rFonts w:ascii="Calibri" w:eastAsia="Calibri" w:hAnsi="Calibri" w:cs="Times New Roman"/>
                <w:i/>
              </w:rPr>
              <w:br/>
              <w:t>(SFY, Qtr)</w:t>
            </w:r>
          </w:p>
        </w:tc>
        <w:tc>
          <w:tcPr>
            <w:tcW w:w="2579" w:type="dxa"/>
            <w:shd w:val="clear" w:color="auto" w:fill="E7F1E7"/>
          </w:tcPr>
          <w:p w:rsidR="00D51269" w:rsidRPr="0000010E" w:rsidRDefault="00D51269" w:rsidP="003D4401">
            <w:pPr>
              <w:rPr>
                <w:rFonts w:ascii="Calibri" w:eastAsia="Calibri" w:hAnsi="Calibri" w:cs="Times New Roman"/>
                <w:i/>
              </w:rPr>
            </w:pPr>
            <w:r w:rsidRPr="0000010E">
              <w:rPr>
                <w:rFonts w:ascii="Calibri" w:eastAsia="Calibri" w:hAnsi="Calibri" w:cs="Times New Roman"/>
                <w:i/>
              </w:rPr>
              <w:t>(f)</w:t>
            </w:r>
            <w:r w:rsidRPr="0000010E">
              <w:rPr>
                <w:rFonts w:ascii="Calibri" w:eastAsia="Calibri" w:hAnsi="Calibri" w:cs="Times New Roman"/>
                <w:i/>
              </w:rPr>
              <w:br/>
            </w:r>
            <w:r>
              <w:rPr>
                <w:rFonts w:ascii="Calibri" w:eastAsia="Calibri" w:hAnsi="Calibri" w:cs="Times New Roman"/>
                <w:i/>
              </w:rPr>
              <w:t>Rationale for Practice Improvement</w:t>
            </w:r>
          </w:p>
        </w:tc>
      </w:tr>
      <w:tr w:rsidR="00D51269" w:rsidRPr="0000010E" w:rsidTr="003D4401">
        <w:trPr>
          <w:jc w:val="center"/>
        </w:trPr>
        <w:tc>
          <w:tcPr>
            <w:tcW w:w="1705" w:type="dxa"/>
          </w:tcPr>
          <w:p w:rsidR="00D51269" w:rsidRPr="0000010E" w:rsidRDefault="00D51269" w:rsidP="003D4401">
            <w:pPr>
              <w:jc w:val="both"/>
              <w:rPr>
                <w:rFonts w:ascii="Calibri" w:eastAsia="Calibri" w:hAnsi="Calibri" w:cs="Times New Roman"/>
              </w:rPr>
            </w:pPr>
            <w:r>
              <w:rPr>
                <w:rFonts w:ascii="Calibri" w:eastAsia="Calibri" w:hAnsi="Calibri" w:cs="Times New Roman"/>
              </w:rPr>
              <w:t>Transitional Living Program (TLP)</w:t>
            </w:r>
          </w:p>
        </w:tc>
        <w:tc>
          <w:tcPr>
            <w:tcW w:w="1144" w:type="dxa"/>
          </w:tcPr>
          <w:p w:rsidR="00D51269" w:rsidRPr="0000010E" w:rsidRDefault="00D51269" w:rsidP="003D4401">
            <w:pPr>
              <w:rPr>
                <w:rFonts w:ascii="Calibri" w:eastAsia="Calibri" w:hAnsi="Calibri" w:cs="Times New Roman"/>
              </w:rPr>
            </w:pPr>
            <w:r w:rsidRPr="0000010E">
              <w:rPr>
                <w:rFonts w:ascii="Calibri" w:eastAsia="Calibri" w:hAnsi="Calibri" w:cs="Times New Roman"/>
              </w:rPr>
              <w:t>Unknown</w:t>
            </w:r>
          </w:p>
        </w:tc>
        <w:tc>
          <w:tcPr>
            <w:tcW w:w="1350" w:type="dxa"/>
          </w:tcPr>
          <w:p w:rsidR="00D51269" w:rsidRPr="0000010E" w:rsidRDefault="00D51269" w:rsidP="003D4401">
            <w:pPr>
              <w:rPr>
                <w:rFonts w:ascii="Calibri" w:eastAsia="Calibri" w:hAnsi="Calibri" w:cs="Times New Roman"/>
              </w:rPr>
            </w:pPr>
            <w:r>
              <w:rPr>
                <w:rFonts w:ascii="Calibri" w:eastAsia="Calibri" w:hAnsi="Calibri" w:cs="Times New Roman"/>
              </w:rPr>
              <w:t>$1,825,655</w:t>
            </w:r>
          </w:p>
        </w:tc>
        <w:tc>
          <w:tcPr>
            <w:tcW w:w="1080" w:type="dxa"/>
          </w:tcPr>
          <w:p w:rsidR="00D51269" w:rsidRPr="0000010E" w:rsidRDefault="00D51269" w:rsidP="003D4401">
            <w:pPr>
              <w:rPr>
                <w:rFonts w:ascii="Calibri" w:eastAsia="Calibri" w:hAnsi="Calibri" w:cs="Times New Roman"/>
              </w:rPr>
            </w:pPr>
            <w:r>
              <w:rPr>
                <w:rFonts w:ascii="Calibri" w:eastAsia="Calibri" w:hAnsi="Calibri" w:cs="Times New Roman"/>
              </w:rPr>
              <w:t>22</w:t>
            </w:r>
          </w:p>
        </w:tc>
        <w:tc>
          <w:tcPr>
            <w:tcW w:w="1260" w:type="dxa"/>
          </w:tcPr>
          <w:p w:rsidR="00D51269" w:rsidRPr="0000010E" w:rsidRDefault="00D51269" w:rsidP="003D4401">
            <w:pPr>
              <w:rPr>
                <w:rFonts w:ascii="Calibri" w:eastAsia="Calibri" w:hAnsi="Calibri" w:cs="Times New Roman"/>
              </w:rPr>
            </w:pPr>
            <w:r>
              <w:rPr>
                <w:rFonts w:ascii="Calibri" w:eastAsia="Calibri" w:hAnsi="Calibri" w:cs="Times New Roman"/>
              </w:rPr>
              <w:t>N/A</w:t>
            </w:r>
          </w:p>
        </w:tc>
        <w:tc>
          <w:tcPr>
            <w:tcW w:w="2579" w:type="dxa"/>
            <w:tcBorders>
              <w:bottom w:val="single" w:sz="2" w:space="0" w:color="999999"/>
            </w:tcBorders>
          </w:tcPr>
          <w:p w:rsidR="00D51269" w:rsidRPr="0000010E" w:rsidRDefault="00D51269" w:rsidP="003D4401">
            <w:pPr>
              <w:rPr>
                <w:rFonts w:ascii="Calibri" w:eastAsia="Calibri" w:hAnsi="Calibri" w:cs="Times New Roman"/>
              </w:rPr>
            </w:pPr>
            <w:r>
              <w:rPr>
                <w:rFonts w:ascii="Calibri" w:eastAsia="Calibri" w:hAnsi="Calibri" w:cs="Times New Roman"/>
              </w:rPr>
              <w:t xml:space="preserve">Research has shown that transitional programs are </w:t>
            </w:r>
            <w:r w:rsidR="003D4401">
              <w:rPr>
                <w:rFonts w:ascii="Calibri" w:eastAsia="Calibri" w:hAnsi="Calibri" w:cs="Times New Roman"/>
              </w:rPr>
              <w:t xml:space="preserve">often </w:t>
            </w:r>
            <w:r>
              <w:rPr>
                <w:rFonts w:ascii="Calibri" w:eastAsia="Calibri" w:hAnsi="Calibri" w:cs="Times New Roman"/>
              </w:rPr>
              <w:t xml:space="preserve">not the most effective response to homelessness.  Permanent supportive housing and rapid rehousing are more cost effective ways for ending homelessness.  Over the next 2 years DOH will evaluate all TLP </w:t>
            </w:r>
            <w:r w:rsidR="003D4401">
              <w:rPr>
                <w:rFonts w:ascii="Calibri" w:eastAsia="Calibri" w:hAnsi="Calibri" w:cs="Times New Roman"/>
              </w:rPr>
              <w:t xml:space="preserve">contractors </w:t>
            </w:r>
            <w:r>
              <w:rPr>
                <w:rFonts w:ascii="Calibri" w:eastAsia="Calibri" w:hAnsi="Calibri" w:cs="Times New Roman"/>
              </w:rPr>
              <w:t>to determine if there is a more effective use of the funding, to convert to supportive or rapid rehousing.</w:t>
            </w:r>
          </w:p>
        </w:tc>
      </w:tr>
    </w:tbl>
    <w:p w:rsidR="00D51269" w:rsidRDefault="00D51269" w:rsidP="004235D5">
      <w:pPr>
        <w:spacing w:after="0" w:line="240" w:lineRule="auto"/>
        <w:rPr>
          <w:sz w:val="24"/>
          <w:szCs w:val="24"/>
        </w:rPr>
      </w:pPr>
    </w:p>
    <w:p w:rsidR="00D51269" w:rsidRPr="004235D5" w:rsidRDefault="00D51269" w:rsidP="004235D5">
      <w:pPr>
        <w:spacing w:after="0" w:line="240" w:lineRule="auto"/>
        <w:rPr>
          <w:sz w:val="24"/>
          <w:szCs w:val="24"/>
        </w:rPr>
      </w:pPr>
    </w:p>
    <w:sectPr w:rsidR="00D51269" w:rsidRPr="004235D5" w:rsidSect="00330A63">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39B8" w:rsidRDefault="00CA39B8" w:rsidP="00263B49">
      <w:pPr>
        <w:spacing w:after="0" w:line="240" w:lineRule="auto"/>
      </w:pPr>
      <w:r>
        <w:separator/>
      </w:r>
    </w:p>
  </w:endnote>
  <w:endnote w:type="continuationSeparator" w:id="0">
    <w:p w:rsidR="00CA39B8" w:rsidRDefault="00CA39B8" w:rsidP="00263B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19183"/>
      <w:docPartObj>
        <w:docPartGallery w:val="Page Numbers (Bottom of Page)"/>
        <w:docPartUnique/>
      </w:docPartObj>
    </w:sdtPr>
    <w:sdtEndPr>
      <w:rPr>
        <w:sz w:val="20"/>
        <w:szCs w:val="20"/>
      </w:rPr>
    </w:sdtEndPr>
    <w:sdtContent>
      <w:p w:rsidR="003D4401" w:rsidRDefault="003D4401">
        <w:pPr>
          <w:pStyle w:val="Footer"/>
          <w:jc w:val="center"/>
        </w:pPr>
        <w:r w:rsidRPr="00263B49">
          <w:rPr>
            <w:sz w:val="20"/>
            <w:szCs w:val="20"/>
          </w:rPr>
          <w:fldChar w:fldCharType="begin"/>
        </w:r>
        <w:r w:rsidRPr="00263B49">
          <w:rPr>
            <w:sz w:val="20"/>
            <w:szCs w:val="20"/>
          </w:rPr>
          <w:instrText xml:space="preserve"> PAGE   \* MERGEFORMAT </w:instrText>
        </w:r>
        <w:r w:rsidRPr="00263B49">
          <w:rPr>
            <w:sz w:val="20"/>
            <w:szCs w:val="20"/>
          </w:rPr>
          <w:fldChar w:fldCharType="separate"/>
        </w:r>
        <w:r w:rsidR="00AB52DC">
          <w:rPr>
            <w:noProof/>
            <w:sz w:val="20"/>
            <w:szCs w:val="20"/>
          </w:rPr>
          <w:t>1</w:t>
        </w:r>
        <w:r w:rsidRPr="00263B49">
          <w:rPr>
            <w:sz w:val="20"/>
            <w:szCs w:val="20"/>
          </w:rPr>
          <w:fldChar w:fldCharType="end"/>
        </w:r>
      </w:p>
    </w:sdtContent>
  </w:sdt>
  <w:p w:rsidR="003D4401" w:rsidRDefault="003D44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39B8" w:rsidRDefault="00CA39B8" w:rsidP="00263B49">
      <w:pPr>
        <w:spacing w:after="0" w:line="240" w:lineRule="auto"/>
      </w:pPr>
      <w:r>
        <w:separator/>
      </w:r>
    </w:p>
  </w:footnote>
  <w:footnote w:type="continuationSeparator" w:id="0">
    <w:p w:rsidR="00CA39B8" w:rsidRDefault="00CA39B8" w:rsidP="00263B4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6E01A9"/>
    <w:multiLevelType w:val="hybridMultilevel"/>
    <w:tmpl w:val="E41EF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936627"/>
    <w:multiLevelType w:val="hybridMultilevel"/>
    <w:tmpl w:val="7CBEE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C63D56"/>
    <w:multiLevelType w:val="hybridMultilevel"/>
    <w:tmpl w:val="AB4865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A9701A"/>
    <w:rsid w:val="000114FF"/>
    <w:rsid w:val="000C3252"/>
    <w:rsid w:val="000F7284"/>
    <w:rsid w:val="001F0863"/>
    <w:rsid w:val="00225910"/>
    <w:rsid w:val="00250389"/>
    <w:rsid w:val="00263B49"/>
    <w:rsid w:val="00273374"/>
    <w:rsid w:val="002D07BA"/>
    <w:rsid w:val="00330A63"/>
    <w:rsid w:val="00376456"/>
    <w:rsid w:val="00384690"/>
    <w:rsid w:val="003A429F"/>
    <w:rsid w:val="003C0D95"/>
    <w:rsid w:val="003C77BD"/>
    <w:rsid w:val="003D4401"/>
    <w:rsid w:val="004235D5"/>
    <w:rsid w:val="004C7DB3"/>
    <w:rsid w:val="004D13A9"/>
    <w:rsid w:val="00573B46"/>
    <w:rsid w:val="005C5984"/>
    <w:rsid w:val="0065613F"/>
    <w:rsid w:val="007679AF"/>
    <w:rsid w:val="00855223"/>
    <w:rsid w:val="00866C84"/>
    <w:rsid w:val="00873631"/>
    <w:rsid w:val="008C0D1D"/>
    <w:rsid w:val="00952C3F"/>
    <w:rsid w:val="009F6F89"/>
    <w:rsid w:val="00A12C97"/>
    <w:rsid w:val="00A5324B"/>
    <w:rsid w:val="00A9701A"/>
    <w:rsid w:val="00AB52DC"/>
    <w:rsid w:val="00BB0A68"/>
    <w:rsid w:val="00C5039A"/>
    <w:rsid w:val="00C722C3"/>
    <w:rsid w:val="00CA39B8"/>
    <w:rsid w:val="00CC265D"/>
    <w:rsid w:val="00D26BAC"/>
    <w:rsid w:val="00D51269"/>
    <w:rsid w:val="00D51586"/>
    <w:rsid w:val="00DA4710"/>
    <w:rsid w:val="00E329A8"/>
    <w:rsid w:val="00E63216"/>
    <w:rsid w:val="00E92069"/>
    <w:rsid w:val="00EC770A"/>
    <w:rsid w:val="00F0002C"/>
    <w:rsid w:val="00F115E9"/>
    <w:rsid w:val="00F418A1"/>
    <w:rsid w:val="00F41D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A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63B4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63B49"/>
  </w:style>
  <w:style w:type="paragraph" w:styleId="Footer">
    <w:name w:val="footer"/>
    <w:basedOn w:val="Normal"/>
    <w:link w:val="FooterChar"/>
    <w:uiPriority w:val="99"/>
    <w:unhideWhenUsed/>
    <w:rsid w:val="00263B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B49"/>
  </w:style>
  <w:style w:type="paragraph" w:styleId="ListParagraph">
    <w:name w:val="List Paragraph"/>
    <w:basedOn w:val="Normal"/>
    <w:uiPriority w:val="34"/>
    <w:qFormat/>
    <w:rsid w:val="004235D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247</TotalTime>
  <Pages>8</Pages>
  <Words>2514</Words>
  <Characters>14335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doe</dc:creator>
  <cp:lastModifiedBy>LundgrenN</cp:lastModifiedBy>
  <cp:revision>9</cp:revision>
  <dcterms:created xsi:type="dcterms:W3CDTF">2015-03-27T22:25:00Z</dcterms:created>
  <dcterms:modified xsi:type="dcterms:W3CDTF">2015-03-28T10:55:00Z</dcterms:modified>
</cp:coreProperties>
</file>