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B4" w:rsidRPr="009A4B4C" w:rsidRDefault="00EF43B4" w:rsidP="00EF43B4">
      <w:pPr>
        <w:pStyle w:val="H1"/>
      </w:pPr>
      <w:r w:rsidRPr="009A4B4C">
        <w:t>OFFICE OF GOVERNMENTAL ACCOUNTABILITY</w:t>
      </w:r>
    </w:p>
    <w:p w:rsidR="00EF43B4" w:rsidRDefault="00EF43B4" w:rsidP="00EF43B4">
      <w:pPr>
        <w:pStyle w:val="H2"/>
      </w:pPr>
      <w:r>
        <w:t xml:space="preserve">Agency Description </w:t>
      </w:r>
      <w:r w:rsidR="00D83130">
        <w:fldChar w:fldCharType="begin"/>
      </w:r>
      <w:r w:rsidR="009A4B4C" w:rsidRPr="009F42EA">
        <w:instrText>xe "</w:instrText>
      </w:r>
      <w:r w:rsidR="002A285C">
        <w:instrText>Governmental Accountability</w:instrText>
      </w:r>
      <w:r w:rsidR="009A4B4C">
        <w:instrText xml:space="preserve">, </w:instrText>
      </w:r>
      <w:r w:rsidR="002A285C">
        <w:instrText>Office Of</w:instrText>
      </w:r>
      <w:r w:rsidR="009A4B4C" w:rsidRPr="009F42EA">
        <w:instrText>"</w:instrText>
      </w:r>
      <w:r w:rsidR="00D83130">
        <w:fldChar w:fldCharType="end"/>
      </w:r>
    </w:p>
    <w:p w:rsidR="00EF43B4" w:rsidRDefault="00EF43B4" w:rsidP="00EF43B4">
      <w:pPr>
        <w:spacing w:after="0"/>
        <w:jc w:val="left"/>
        <w:rPr>
          <w:caps/>
          <w:noProof/>
          <w:color w:val="002D86"/>
          <w:sz w:val="24"/>
        </w:rPr>
        <w:sectPr w:rsidR="00EF43B4" w:rsidSect="002B073E">
          <w:type w:val="continuous"/>
          <w:pgSz w:w="12240" w:h="15840" w:code="1"/>
          <w:pgMar w:top="864" w:right="720" w:bottom="1152" w:left="720" w:header="432" w:footer="288" w:gutter="216"/>
          <w:cols w:space="720"/>
        </w:sectPr>
      </w:pPr>
    </w:p>
    <w:p w:rsidR="00EF43B4" w:rsidRDefault="00EF43B4" w:rsidP="00EF43B4">
      <w:r>
        <w:lastRenderedPageBreak/>
        <w:t xml:space="preserve">The Office of Governmental Accountability is a newly created agency formed by consolidating those agencies and programs whose primary mission is to </w:t>
      </w:r>
      <w:r w:rsidR="008C7010">
        <w:t>foster</w:t>
      </w:r>
      <w:r>
        <w:t xml:space="preserve"> honesty, integrity, and accountability within state government. </w:t>
      </w:r>
    </w:p>
    <w:p w:rsidR="00EF43B4" w:rsidRDefault="00EF43B4" w:rsidP="00EF43B4">
      <w:r>
        <w:t xml:space="preserve">The consolidated agencies include: the State Elections Enforcement Commission, the Office of State Ethics, the Freedom of Information </w:t>
      </w:r>
      <w:r>
        <w:lastRenderedPageBreak/>
        <w:t xml:space="preserve">Commission, </w:t>
      </w:r>
      <w:r w:rsidR="00D85DDC">
        <w:t>t</w:t>
      </w:r>
      <w:r>
        <w:t>he Judicial Review Council,</w:t>
      </w:r>
      <w:r w:rsidR="009B2CE2">
        <w:t xml:space="preserve"> </w:t>
      </w:r>
      <w:r>
        <w:t>Contracting Standards Board</w:t>
      </w:r>
      <w:r w:rsidR="009B2CE2">
        <w:t>,</w:t>
      </w:r>
      <w:r>
        <w:t xml:space="preserve"> Judicial Selection Commission</w:t>
      </w:r>
      <w:r w:rsidR="009B2CE2">
        <w:t>,</w:t>
      </w:r>
      <w:r>
        <w:t xml:space="preserve"> </w:t>
      </w:r>
      <w:proofErr w:type="gramStart"/>
      <w:r w:rsidR="009B2CE2">
        <w:t>Office</w:t>
      </w:r>
      <w:proofErr w:type="gramEnd"/>
      <w:r>
        <w:t xml:space="preserve"> of the Victim Advocate</w:t>
      </w:r>
      <w:r w:rsidR="009B2CE2">
        <w:t>,</w:t>
      </w:r>
      <w:r>
        <w:t xml:space="preserve"> Board of Firearms Permit </w:t>
      </w:r>
      <w:r w:rsidR="009B2CE2">
        <w:t xml:space="preserve">Examiners, the </w:t>
      </w:r>
      <w:r>
        <w:t>Office of the Child Advocate</w:t>
      </w:r>
      <w:r w:rsidR="009B2CE2">
        <w:t xml:space="preserve">, and the newly </w:t>
      </w:r>
      <w:r w:rsidR="00D95CE8">
        <w:t>established</w:t>
      </w:r>
      <w:r w:rsidR="009B2CE2">
        <w:t xml:space="preserve"> Office of the Executive Administrator.</w:t>
      </w:r>
    </w:p>
    <w:p w:rsidR="00EF43B4" w:rsidRDefault="00EF43B4" w:rsidP="00EF43B4">
      <w:pPr>
        <w:spacing w:after="0"/>
        <w:jc w:val="left"/>
        <w:sectPr w:rsidR="00EF43B4" w:rsidSect="002B073E">
          <w:type w:val="continuous"/>
          <w:pgSz w:w="12240" w:h="15840" w:code="1"/>
          <w:pgMar w:top="864" w:right="720" w:bottom="1152" w:left="720" w:header="432" w:footer="288" w:gutter="216"/>
          <w:cols w:num="2" w:space="432"/>
        </w:sectPr>
      </w:pPr>
    </w:p>
    <w:p w:rsidR="000846F0" w:rsidRDefault="000846F0" w:rsidP="009A4B4C">
      <w:pPr>
        <w:sectPr w:rsidR="000846F0" w:rsidSect="002B073E">
          <w:type w:val="continuous"/>
          <w:pgSz w:w="12240" w:h="15840" w:code="1"/>
          <w:pgMar w:top="864" w:right="720" w:bottom="1152" w:left="720" w:header="432" w:footer="288" w:gutter="216"/>
          <w:cols w:space="720"/>
        </w:sectPr>
      </w:pPr>
    </w:p>
    <w:p w:rsidR="00DF3A30" w:rsidRDefault="00D40D9E" w:rsidP="00DF3A30">
      <w:pPr>
        <w:rPr>
          <w:szCs w:val="18"/>
        </w:rPr>
      </w:pPr>
      <w:r>
        <w:rPr>
          <w:b/>
          <w:bCs/>
          <w:i/>
          <w:iCs/>
          <w:szCs w:val="18"/>
        </w:rPr>
        <w:lastRenderedPageBreak/>
        <w:t>The Council on Environmental Q</w:t>
      </w:r>
      <w:r w:rsidR="00DF3A30">
        <w:rPr>
          <w:b/>
          <w:bCs/>
          <w:i/>
          <w:iCs/>
          <w:szCs w:val="18"/>
        </w:rPr>
        <w:t>uality is recommended for consolidation with the Office of Governmental Accountability in the Governor’s budget as part of his proposal to restructure and transform state government.</w:t>
      </w:r>
    </w:p>
    <w:p w:rsidR="009A4B4C" w:rsidRDefault="009A4B4C" w:rsidP="009A4B4C"/>
    <w:p w:rsidR="00EF43B4" w:rsidRDefault="00D83130" w:rsidP="00EF43B4">
      <w:pPr>
        <w:pStyle w:val="H2"/>
      </w:pPr>
      <w:r>
        <w:fldChar w:fldCharType="begin"/>
      </w:r>
      <w:r w:rsidR="009A4B4C">
        <w:instrText>xe "OGA17000 2</w:instrText>
      </w:r>
      <w:r w:rsidR="0061529B">
        <w:instrText>93</w:instrText>
      </w:r>
      <w:r w:rsidR="009A4B4C">
        <w:instrText>00"</w:instrText>
      </w:r>
      <w:r>
        <w:fldChar w:fldCharType="end"/>
      </w:r>
      <w:r w:rsidR="009A4B4C">
        <w:t>Central Administration</w:t>
      </w:r>
    </w:p>
    <w:p w:rsidR="00EF43B4" w:rsidRDefault="00EF43B4" w:rsidP="00EF43B4">
      <w:pPr>
        <w:spacing w:after="0"/>
        <w:jc w:val="left"/>
        <w:rPr>
          <w:caps/>
          <w:noProof/>
          <w:color w:val="002D86"/>
          <w:sz w:val="24"/>
        </w:rPr>
        <w:sectPr w:rsidR="00EF43B4" w:rsidSect="002B073E">
          <w:type w:val="continuous"/>
          <w:pgSz w:w="12240" w:h="15840" w:code="1"/>
          <w:pgMar w:top="864" w:right="720" w:bottom="1152" w:left="720" w:header="432" w:footer="288" w:gutter="216"/>
          <w:cols w:space="720"/>
        </w:sectPr>
      </w:pPr>
    </w:p>
    <w:p w:rsidR="00EF43B4" w:rsidRDefault="00EF43B4" w:rsidP="00EF43B4">
      <w:pPr>
        <w:pStyle w:val="Heading2"/>
      </w:pPr>
      <w:r>
        <w:lastRenderedPageBreak/>
        <w:t>Statutory Reference</w:t>
      </w:r>
    </w:p>
    <w:p w:rsidR="00EF43B4" w:rsidRDefault="00EF43B4" w:rsidP="00EF43B4">
      <w:r>
        <w:t>C.G.S. Section 1-300</w:t>
      </w:r>
      <w:r w:rsidR="004E255C">
        <w:t>.</w:t>
      </w:r>
    </w:p>
    <w:p w:rsidR="00EF43B4" w:rsidRDefault="00EF43B4" w:rsidP="00EF43B4">
      <w:pPr>
        <w:pStyle w:val="Heading2"/>
      </w:pPr>
      <w:r>
        <w:t>Statement of Need and Program Objectives</w:t>
      </w:r>
    </w:p>
    <w:p w:rsidR="00EF43B4" w:rsidRDefault="00D478FA" w:rsidP="00EF43B4">
      <w:pPr>
        <w:rPr>
          <w:szCs w:val="16"/>
        </w:rPr>
      </w:pPr>
      <w:r>
        <w:rPr>
          <w:szCs w:val="16"/>
        </w:rPr>
        <w:t>To p</w:t>
      </w:r>
      <w:r w:rsidR="00EF43B4">
        <w:rPr>
          <w:szCs w:val="16"/>
        </w:rPr>
        <w:t xml:space="preserve">rovide </w:t>
      </w:r>
      <w:r w:rsidR="00AE387F">
        <w:rPr>
          <w:szCs w:val="16"/>
        </w:rPr>
        <w:t>personnel, payroll, affirmative action, administrative and business office functions and</w:t>
      </w:r>
      <w:r w:rsidR="001B268B">
        <w:rPr>
          <w:szCs w:val="16"/>
        </w:rPr>
        <w:t xml:space="preserve"> information </w:t>
      </w:r>
      <w:r w:rsidR="00AE387F">
        <w:rPr>
          <w:szCs w:val="16"/>
        </w:rPr>
        <w:t xml:space="preserve">technology </w:t>
      </w:r>
      <w:r w:rsidR="001B268B">
        <w:rPr>
          <w:szCs w:val="16"/>
        </w:rPr>
        <w:t xml:space="preserve">to the </w:t>
      </w:r>
      <w:r w:rsidR="00AE387F">
        <w:rPr>
          <w:szCs w:val="16"/>
        </w:rPr>
        <w:t xml:space="preserve">agency </w:t>
      </w:r>
      <w:r w:rsidR="00EF43B4">
        <w:rPr>
          <w:szCs w:val="16"/>
        </w:rPr>
        <w:t xml:space="preserve">divisions </w:t>
      </w:r>
      <w:r w:rsidR="00AE387F">
        <w:rPr>
          <w:szCs w:val="16"/>
        </w:rPr>
        <w:t xml:space="preserve">and programs so </w:t>
      </w:r>
      <w:r w:rsidR="00EF43B4">
        <w:rPr>
          <w:szCs w:val="16"/>
        </w:rPr>
        <w:t>they may serve their constituents effectively.</w:t>
      </w:r>
    </w:p>
    <w:p w:rsidR="00EF43B4" w:rsidRDefault="00EF43B4" w:rsidP="00EF43B4">
      <w:pPr>
        <w:pStyle w:val="Heading2"/>
      </w:pPr>
      <w:r>
        <w:lastRenderedPageBreak/>
        <w:t>Program Description</w:t>
      </w:r>
    </w:p>
    <w:p w:rsidR="00AE387F" w:rsidRDefault="00EF43B4" w:rsidP="00EF43B4">
      <w:pPr>
        <w:spacing w:after="80"/>
        <w:rPr>
          <w:szCs w:val="16"/>
        </w:rPr>
      </w:pPr>
      <w:proofErr w:type="gramStart"/>
      <w:r>
        <w:rPr>
          <w:szCs w:val="16"/>
        </w:rPr>
        <w:t xml:space="preserve">Responsible for budget development and </w:t>
      </w:r>
      <w:r w:rsidR="00AE387F">
        <w:rPr>
          <w:szCs w:val="16"/>
        </w:rPr>
        <w:t>administration</w:t>
      </w:r>
      <w:r w:rsidR="0067779C">
        <w:rPr>
          <w:szCs w:val="16"/>
        </w:rPr>
        <w:t xml:space="preserve">, </w:t>
      </w:r>
      <w:r w:rsidR="00AE387F">
        <w:rPr>
          <w:szCs w:val="16"/>
        </w:rPr>
        <w:t xml:space="preserve">fiscal support, </w:t>
      </w:r>
      <w:r w:rsidR="008C7E57">
        <w:rPr>
          <w:szCs w:val="16"/>
        </w:rPr>
        <w:t xml:space="preserve">human </w:t>
      </w:r>
      <w:r>
        <w:rPr>
          <w:szCs w:val="16"/>
        </w:rPr>
        <w:t>resource</w:t>
      </w:r>
      <w:r w:rsidR="00AE387F">
        <w:rPr>
          <w:szCs w:val="16"/>
        </w:rPr>
        <w:t xml:space="preserve"> management</w:t>
      </w:r>
      <w:r>
        <w:rPr>
          <w:szCs w:val="16"/>
        </w:rPr>
        <w:t xml:space="preserve">, accounting, procurement, payroll, </w:t>
      </w:r>
      <w:r w:rsidR="00AE387F">
        <w:rPr>
          <w:szCs w:val="16"/>
        </w:rPr>
        <w:t xml:space="preserve">inventory, computer/IT assistance, telecommunications, and </w:t>
      </w:r>
      <w:r>
        <w:rPr>
          <w:szCs w:val="16"/>
        </w:rPr>
        <w:t xml:space="preserve">affirmative </w:t>
      </w:r>
      <w:r w:rsidR="00AE387F">
        <w:rPr>
          <w:szCs w:val="16"/>
        </w:rPr>
        <w:t>action planning.</w:t>
      </w:r>
      <w:proofErr w:type="gramEnd"/>
      <w:r>
        <w:rPr>
          <w:szCs w:val="16"/>
        </w:rPr>
        <w:t xml:space="preserve"> </w:t>
      </w:r>
    </w:p>
    <w:p w:rsidR="00EF43B4" w:rsidRDefault="00EF43B4" w:rsidP="00EF43B4">
      <w:pPr>
        <w:spacing w:after="0"/>
        <w:jc w:val="left"/>
        <w:rPr>
          <w:szCs w:val="16"/>
        </w:rPr>
        <w:sectPr w:rsidR="00EF43B4" w:rsidSect="002B073E">
          <w:type w:val="continuous"/>
          <w:pgSz w:w="12240" w:h="15840" w:code="1"/>
          <w:pgMar w:top="864" w:right="720" w:bottom="1152" w:left="720" w:header="432" w:footer="288" w:gutter="216"/>
          <w:cols w:num="2" w:space="432"/>
        </w:sectPr>
      </w:pPr>
    </w:p>
    <w:p w:rsidR="00594776" w:rsidRPr="00594776" w:rsidRDefault="00594776" w:rsidP="00416601"/>
    <w:p w:rsidR="00B139CD" w:rsidRPr="00594776" w:rsidRDefault="00D83130" w:rsidP="00B139CD">
      <w:pPr>
        <w:pStyle w:val="H2"/>
      </w:pPr>
      <w:r>
        <w:fldChar w:fldCharType="begin"/>
      </w:r>
      <w:r w:rsidR="00B139CD">
        <w:instrText>xe "OGA17000 29201"</w:instrText>
      </w:r>
      <w:r>
        <w:fldChar w:fldCharType="end"/>
      </w:r>
      <w:r w:rsidR="00B139CD" w:rsidRPr="00594776">
        <w:t>ELECTIONS ENFORCEMENT COMMISSION</w:t>
      </w:r>
    </w:p>
    <w:p w:rsidR="00B139CD" w:rsidRDefault="00B139CD" w:rsidP="00B139CD">
      <w:pPr>
        <w:sectPr w:rsidR="00B139CD" w:rsidSect="002B073E">
          <w:type w:val="continuous"/>
          <w:pgSz w:w="12240" w:h="15840" w:code="1"/>
          <w:pgMar w:top="864" w:right="720" w:bottom="1152" w:left="720" w:header="432" w:footer="288" w:gutter="216"/>
          <w:cols w:space="432"/>
        </w:sectPr>
      </w:pPr>
    </w:p>
    <w:p w:rsidR="00B139CD" w:rsidRDefault="00B139CD" w:rsidP="00B139CD">
      <w:pPr>
        <w:pStyle w:val="Heading2"/>
      </w:pPr>
      <w:r>
        <w:lastRenderedPageBreak/>
        <w:t xml:space="preserve">Statutory Reference  </w:t>
      </w:r>
    </w:p>
    <w:p w:rsidR="00B139CD" w:rsidRDefault="00B139CD" w:rsidP="00B139CD">
      <w:proofErr w:type="gramStart"/>
      <w:r>
        <w:t>C.G.S. Section 9-7a, 9-7b, 9-7c and Chapters 155 through 157</w:t>
      </w:r>
      <w:r w:rsidR="004E255C">
        <w:t>.</w:t>
      </w:r>
      <w:proofErr w:type="gramEnd"/>
      <w:r>
        <w:t xml:space="preserve"> </w:t>
      </w:r>
    </w:p>
    <w:p w:rsidR="00B139CD" w:rsidRDefault="00B139CD" w:rsidP="00B139CD">
      <w:pPr>
        <w:pStyle w:val="Heading2"/>
      </w:pPr>
      <w:r>
        <w:t xml:space="preserve">Statement of Need and Program Objectives </w:t>
      </w:r>
    </w:p>
    <w:p w:rsidR="00B139CD" w:rsidRDefault="00B139CD" w:rsidP="00B139CD">
      <w:pPr>
        <w:spacing w:after="0"/>
      </w:pPr>
      <w:r>
        <w:t>To improve public confidence in our electoral process and in the</w:t>
      </w:r>
      <w:r w:rsidR="00D478FA">
        <w:t xml:space="preserve"> </w:t>
      </w:r>
      <w:r>
        <w:t>officials who seek or hold a public office by monitoring compliance</w:t>
      </w:r>
      <w:r w:rsidR="00D478FA">
        <w:t xml:space="preserve"> </w:t>
      </w:r>
      <w:r>
        <w:t xml:space="preserve">with and swift enforcement of the election laws. </w:t>
      </w:r>
    </w:p>
    <w:p w:rsidR="00B139CD" w:rsidRDefault="00B139CD" w:rsidP="00416601"/>
    <w:p w:rsidR="00B139CD" w:rsidRDefault="00B139CD" w:rsidP="00B139CD">
      <w:pPr>
        <w:pStyle w:val="Heading2"/>
      </w:pPr>
      <w:r>
        <w:t>Program Description</w:t>
      </w:r>
    </w:p>
    <w:p w:rsidR="00B139CD" w:rsidRDefault="00B139CD" w:rsidP="00D478FA">
      <w:pPr>
        <w:spacing w:after="120"/>
      </w:pPr>
      <w:r>
        <w:t xml:space="preserve">The </w:t>
      </w:r>
      <w:r w:rsidR="00DC3894">
        <w:t>c</w:t>
      </w:r>
      <w:r>
        <w:t>ommission conducts investigations and complaints concerning vio</w:t>
      </w:r>
      <w:r w:rsidR="00D478FA">
        <w:t xml:space="preserve">lations of state election laws.  </w:t>
      </w:r>
      <w:r>
        <w:t xml:space="preserve">Civil enforcement sanctions, including monetary fines, may be imposed directly by the </w:t>
      </w:r>
      <w:r w:rsidR="00DC3894">
        <w:t>c</w:t>
      </w:r>
      <w:r>
        <w:t xml:space="preserve">ommission against violators of these laws. </w:t>
      </w:r>
    </w:p>
    <w:p w:rsidR="00B139CD" w:rsidRDefault="00B139CD" w:rsidP="00D478FA">
      <w:pPr>
        <w:spacing w:after="120"/>
      </w:pPr>
      <w:r>
        <w:t xml:space="preserve">The </w:t>
      </w:r>
      <w:r w:rsidR="00DC3894">
        <w:t>c</w:t>
      </w:r>
      <w:r>
        <w:t xml:space="preserve">ommission monitors compliance with campaign financing laws by auditing disclosure reports and disseminating information and </w:t>
      </w:r>
      <w:r>
        <w:lastRenderedPageBreak/>
        <w:t>advice to candidates, political action committees (PAC</w:t>
      </w:r>
      <w:r w:rsidR="00DC3894">
        <w:t>s</w:t>
      </w:r>
      <w:r>
        <w:t>) and political parties.</w:t>
      </w:r>
    </w:p>
    <w:p w:rsidR="00DE4F16" w:rsidRDefault="00B139CD" w:rsidP="00D478FA">
      <w:pPr>
        <w:spacing w:after="120"/>
      </w:pPr>
      <w:r>
        <w:t xml:space="preserve">The </w:t>
      </w:r>
      <w:r w:rsidR="00DC3894">
        <w:t>c</w:t>
      </w:r>
      <w:r>
        <w:t>ommission is also responsible for the administration of the Citizens’ Election Fund, which provides public grants to qualified candidates for statewide office and the General Assembly, and for the compliance of all contribution and expenditure limitations.</w:t>
      </w:r>
      <w:r w:rsidR="00DE4F16">
        <w:t xml:space="preserve">  </w:t>
      </w:r>
    </w:p>
    <w:p w:rsidR="00B139CD" w:rsidRDefault="00DE4F16" w:rsidP="00D478FA">
      <w:pPr>
        <w:spacing w:after="120"/>
        <w:rPr>
          <w:snapToGrid w:val="0"/>
        </w:rPr>
      </w:pPr>
      <w:r>
        <w:t xml:space="preserve">The staff </w:t>
      </w:r>
      <w:r w:rsidR="00B139CD">
        <w:t>prepares and distributes campaign guides for compliance with election financing laws</w:t>
      </w:r>
      <w:r w:rsidR="004E255C">
        <w:t>.  In addition, they</w:t>
      </w:r>
      <w:r w:rsidR="00B139CD">
        <w:t xml:space="preserve"> conduct seminars for candidates</w:t>
      </w:r>
      <w:r w:rsidR="004E255C">
        <w:t>;</w:t>
      </w:r>
      <w:r w:rsidR="00B139CD">
        <w:t xml:space="preserve"> campaign treasurers</w:t>
      </w:r>
      <w:r w:rsidR="004E255C">
        <w:t>;</w:t>
      </w:r>
      <w:r w:rsidR="00B139CD">
        <w:t xml:space="preserve"> business, professional and labor organizations</w:t>
      </w:r>
      <w:r w:rsidR="004253E7">
        <w:t>;</w:t>
      </w:r>
      <w:r w:rsidR="00B139CD">
        <w:t xml:space="preserve"> other political action groups and party officials</w:t>
      </w:r>
      <w:r w:rsidR="004253E7">
        <w:t>.  They</w:t>
      </w:r>
      <w:r w:rsidR="00B139CD">
        <w:t xml:space="preserve"> render formal and informal advisory opinions and rulings upon request and recommends revisions of election laws to the General Assembly.</w:t>
      </w:r>
    </w:p>
    <w:p w:rsidR="00B139CD" w:rsidRDefault="00B139CD" w:rsidP="00B139CD">
      <w:pPr>
        <w:spacing w:after="80"/>
        <w:ind w:left="360"/>
        <w:rPr>
          <w:snapToGrid w:val="0"/>
        </w:rPr>
        <w:sectPr w:rsidR="00B139CD" w:rsidSect="002B073E">
          <w:footerReference w:type="default" r:id="rId7"/>
          <w:type w:val="continuous"/>
          <w:pgSz w:w="12240" w:h="15840" w:code="1"/>
          <w:pgMar w:top="864" w:right="720" w:bottom="1152" w:left="720" w:header="432" w:footer="288" w:gutter="216"/>
          <w:cols w:num="2" w:space="432"/>
        </w:sectPr>
      </w:pPr>
    </w:p>
    <w:p w:rsidR="00B139CD" w:rsidRDefault="00B139CD" w:rsidP="00B139CD"/>
    <w:p w:rsidR="00594776" w:rsidRPr="009A4B4C" w:rsidRDefault="00D83130" w:rsidP="00594776">
      <w:pPr>
        <w:pStyle w:val="H2"/>
      </w:pPr>
      <w:r>
        <w:fldChar w:fldCharType="begin"/>
      </w:r>
      <w:r w:rsidR="00594776">
        <w:instrText>xe "OGA17000 13022"</w:instrText>
      </w:r>
      <w:r>
        <w:fldChar w:fldCharType="end"/>
      </w:r>
      <w:r w:rsidR="00594776" w:rsidRPr="009A4B4C">
        <w:t>ETHICS</w:t>
      </w:r>
      <w:r w:rsidR="00594776">
        <w:t xml:space="preserve"> Commission</w:t>
      </w:r>
    </w:p>
    <w:p w:rsidR="00594776" w:rsidRDefault="00594776" w:rsidP="00594776">
      <w:pPr>
        <w:autoSpaceDE w:val="0"/>
        <w:autoSpaceDN w:val="0"/>
        <w:adjustRightInd w:val="0"/>
        <w:spacing w:after="0"/>
        <w:rPr>
          <w:rFonts w:cs="Calibri"/>
          <w:color w:val="000000"/>
          <w:szCs w:val="18"/>
        </w:rPr>
        <w:sectPr w:rsidR="00594776" w:rsidSect="002B073E">
          <w:headerReference w:type="default" r:id="rId8"/>
          <w:type w:val="continuous"/>
          <w:pgSz w:w="12240" w:h="15840" w:code="1"/>
          <w:pgMar w:top="864" w:right="720" w:bottom="1152" w:left="720" w:header="432" w:footer="288" w:gutter="216"/>
          <w:cols w:space="720"/>
        </w:sectPr>
      </w:pPr>
    </w:p>
    <w:p w:rsidR="00594776" w:rsidRDefault="00594776" w:rsidP="00594776">
      <w:pPr>
        <w:pStyle w:val="Heading2"/>
      </w:pPr>
      <w:r>
        <w:lastRenderedPageBreak/>
        <w:t>Statutory Reference</w:t>
      </w:r>
    </w:p>
    <w:p w:rsidR="00594776" w:rsidRDefault="00594776" w:rsidP="00594776">
      <w:pPr>
        <w:autoSpaceDE w:val="0"/>
        <w:autoSpaceDN w:val="0"/>
        <w:adjustRightInd w:val="0"/>
        <w:spacing w:after="0"/>
        <w:rPr>
          <w:rFonts w:cs="Calibri"/>
          <w:color w:val="000000"/>
          <w:szCs w:val="18"/>
        </w:rPr>
      </w:pPr>
      <w:r>
        <w:rPr>
          <w:rFonts w:cs="Calibri"/>
          <w:color w:val="000000"/>
          <w:szCs w:val="18"/>
        </w:rPr>
        <w:t>C.G.S. Chapter 10, Part I and Part II, limited jurisdiction over Part IV.</w:t>
      </w:r>
    </w:p>
    <w:p w:rsidR="00594776" w:rsidRDefault="00594776" w:rsidP="00594776">
      <w:pPr>
        <w:pStyle w:val="Heading2"/>
      </w:pPr>
      <w:r>
        <w:t>Statement of Need and Program Objectives</w:t>
      </w:r>
    </w:p>
    <w:p w:rsidR="00594776" w:rsidRDefault="00594776" w:rsidP="00594776">
      <w:pPr>
        <w:autoSpaceDE w:val="0"/>
        <w:autoSpaceDN w:val="0"/>
        <w:adjustRightInd w:val="0"/>
        <w:spacing w:after="0"/>
        <w:rPr>
          <w:rFonts w:cs="Calibri"/>
          <w:color w:val="000000"/>
          <w:szCs w:val="18"/>
        </w:rPr>
      </w:pPr>
      <w:r>
        <w:rPr>
          <w:rFonts w:cs="Calibri"/>
          <w:color w:val="000000"/>
          <w:szCs w:val="18"/>
        </w:rPr>
        <w:t xml:space="preserve">The </w:t>
      </w:r>
      <w:r w:rsidR="00DE4F16">
        <w:rPr>
          <w:rFonts w:cs="Calibri"/>
          <w:color w:val="000000"/>
          <w:szCs w:val="18"/>
        </w:rPr>
        <w:t>Office of State Ethics (</w:t>
      </w:r>
      <w:r>
        <w:rPr>
          <w:rFonts w:cs="Calibri"/>
          <w:color w:val="000000"/>
          <w:szCs w:val="18"/>
        </w:rPr>
        <w:t>OSE</w:t>
      </w:r>
      <w:r w:rsidR="00DE4F16">
        <w:rPr>
          <w:rFonts w:cs="Calibri"/>
          <w:color w:val="000000"/>
          <w:szCs w:val="18"/>
        </w:rPr>
        <w:t>)</w:t>
      </w:r>
      <w:r>
        <w:rPr>
          <w:rFonts w:cs="Calibri"/>
          <w:color w:val="000000"/>
          <w:szCs w:val="18"/>
        </w:rPr>
        <w:t xml:space="preserve"> promotes integrity in government by providing advice, guidance and education to public officials, sta</w:t>
      </w:r>
      <w:r w:rsidR="00DE4F16">
        <w:rPr>
          <w:rFonts w:cs="Calibri"/>
          <w:color w:val="000000"/>
          <w:szCs w:val="18"/>
        </w:rPr>
        <w:t xml:space="preserve">te employees and lobbyists; by </w:t>
      </w:r>
      <w:r>
        <w:rPr>
          <w:rFonts w:cs="Calibri"/>
          <w:color w:val="000000"/>
          <w:szCs w:val="18"/>
        </w:rPr>
        <w:t xml:space="preserve">interpreting and fairly and impartially enforcing the applicable laws; by administering the lobbyist and financial disclosure filing systems; and by providing the public with access to non‐exempt information. </w:t>
      </w:r>
    </w:p>
    <w:p w:rsidR="00594776" w:rsidRDefault="00594776" w:rsidP="00594776">
      <w:pPr>
        <w:pStyle w:val="Heading2"/>
      </w:pPr>
      <w:r>
        <w:lastRenderedPageBreak/>
        <w:t>Program Description</w:t>
      </w:r>
    </w:p>
    <w:p w:rsidR="00594776" w:rsidRDefault="00594776" w:rsidP="00594776">
      <w:pPr>
        <w:autoSpaceDE w:val="0"/>
        <w:autoSpaceDN w:val="0"/>
        <w:adjustRightInd w:val="0"/>
        <w:spacing w:after="0"/>
        <w:rPr>
          <w:rFonts w:cs="Calibri"/>
          <w:color w:val="000000"/>
          <w:szCs w:val="18"/>
        </w:rPr>
      </w:pPr>
      <w:r>
        <w:rPr>
          <w:rFonts w:cs="Calibri"/>
          <w:color w:val="000000"/>
          <w:szCs w:val="18"/>
        </w:rPr>
        <w:t xml:space="preserve">The statutory responsibilities of the OSE are broken down into four main categories: education, interpretation, enforcement and disclosure. The OSE is charged with providing education to state employees, public officials, lobbyists and legislators on the </w:t>
      </w:r>
      <w:r w:rsidR="00DC3894">
        <w:rPr>
          <w:rFonts w:cs="Calibri"/>
          <w:color w:val="000000"/>
          <w:szCs w:val="18"/>
        </w:rPr>
        <w:t>c</w:t>
      </w:r>
      <w:r>
        <w:rPr>
          <w:rFonts w:cs="Calibri"/>
          <w:color w:val="000000"/>
          <w:szCs w:val="18"/>
        </w:rPr>
        <w:t xml:space="preserve">odes of </w:t>
      </w:r>
      <w:r w:rsidR="00DC3894">
        <w:rPr>
          <w:rFonts w:cs="Calibri"/>
          <w:color w:val="000000"/>
          <w:szCs w:val="18"/>
        </w:rPr>
        <w:t>e</w:t>
      </w:r>
      <w:r>
        <w:rPr>
          <w:rFonts w:cs="Calibri"/>
          <w:color w:val="000000"/>
          <w:szCs w:val="18"/>
        </w:rPr>
        <w:t>thics. The Citizen’s Ethics Advisory Board is responsible for adjudicating cases brought under the ethics codes and making findings of violations as well as issuing Advisory Opinions – interpretations of the codes as they apply to specific situations.</w:t>
      </w:r>
    </w:p>
    <w:p w:rsidR="00416601" w:rsidRDefault="00416601" w:rsidP="00594776">
      <w:pPr>
        <w:autoSpaceDE w:val="0"/>
        <w:autoSpaceDN w:val="0"/>
        <w:adjustRightInd w:val="0"/>
        <w:spacing w:after="0"/>
        <w:rPr>
          <w:rFonts w:cs="Calibri"/>
          <w:color w:val="000000"/>
          <w:szCs w:val="18"/>
        </w:rPr>
        <w:sectPr w:rsidR="00416601" w:rsidSect="002B073E">
          <w:type w:val="continuous"/>
          <w:pgSz w:w="12240" w:h="15840" w:code="1"/>
          <w:pgMar w:top="864" w:right="720" w:bottom="1152" w:left="720" w:header="432" w:footer="288" w:gutter="216"/>
          <w:cols w:num="2" w:space="432"/>
        </w:sectPr>
      </w:pPr>
    </w:p>
    <w:p w:rsidR="00416601" w:rsidRDefault="00416601" w:rsidP="00416601"/>
    <w:p w:rsidR="00B139CD" w:rsidRPr="000E2EA0" w:rsidRDefault="00D83130" w:rsidP="00B139CD">
      <w:pPr>
        <w:pStyle w:val="H2"/>
      </w:pPr>
      <w:r>
        <w:fldChar w:fldCharType="begin"/>
      </w:r>
      <w:r w:rsidR="00B139CD">
        <w:instrText>xe "OGA17000 29202"</w:instrText>
      </w:r>
      <w:r>
        <w:fldChar w:fldCharType="end"/>
      </w:r>
      <w:r w:rsidR="00B139CD" w:rsidRPr="000E2EA0">
        <w:t xml:space="preserve">Freedom of Information Commission </w:t>
      </w:r>
    </w:p>
    <w:p w:rsidR="00B139CD" w:rsidRPr="000E2EA0" w:rsidRDefault="00B139CD" w:rsidP="00B139CD">
      <w:pPr>
        <w:pStyle w:val="H2"/>
        <w:sectPr w:rsidR="00B139CD" w:rsidRPr="000E2EA0" w:rsidSect="002B073E">
          <w:type w:val="continuous"/>
          <w:pgSz w:w="12240" w:h="15840" w:code="1"/>
          <w:pgMar w:top="864" w:right="720" w:bottom="1152" w:left="720" w:header="432" w:footer="288" w:gutter="216"/>
          <w:cols w:space="720"/>
        </w:sectPr>
      </w:pPr>
    </w:p>
    <w:p w:rsidR="00B139CD" w:rsidRDefault="00B139CD" w:rsidP="00B139CD">
      <w:pPr>
        <w:pStyle w:val="Heading2"/>
      </w:pPr>
      <w:r>
        <w:lastRenderedPageBreak/>
        <w:t xml:space="preserve">Statutory Reference  </w:t>
      </w:r>
    </w:p>
    <w:p w:rsidR="00B139CD" w:rsidRDefault="00B139CD" w:rsidP="00B139CD">
      <w:pPr>
        <w:rPr>
          <w:rFonts w:ascii="Arial" w:hAnsi="Arial"/>
          <w:lang w:val="fr-FR"/>
        </w:rPr>
      </w:pPr>
      <w:r>
        <w:rPr>
          <w:lang w:val="fr-FR"/>
        </w:rPr>
        <w:t xml:space="preserve">C.G.S. Section 1-200 </w:t>
      </w:r>
      <w:r>
        <w:rPr>
          <w:i/>
          <w:lang w:val="fr-FR"/>
        </w:rPr>
        <w:t xml:space="preserve">et </w:t>
      </w:r>
      <w:proofErr w:type="spellStart"/>
      <w:r>
        <w:rPr>
          <w:i/>
          <w:lang w:val="fr-FR"/>
        </w:rPr>
        <w:t>seq</w:t>
      </w:r>
      <w:proofErr w:type="spellEnd"/>
      <w:r w:rsidR="004253E7">
        <w:rPr>
          <w:i/>
          <w:lang w:val="fr-FR"/>
        </w:rPr>
        <w:t>.</w:t>
      </w:r>
    </w:p>
    <w:p w:rsidR="00B139CD" w:rsidRPr="000E2EA0" w:rsidRDefault="00B139CD" w:rsidP="00B139CD">
      <w:pPr>
        <w:pStyle w:val="Heading2"/>
      </w:pPr>
      <w:r w:rsidRPr="000E2EA0">
        <w:t>Statement of Need and Program Objectives</w:t>
      </w:r>
    </w:p>
    <w:p w:rsidR="00B139CD" w:rsidRDefault="00B139CD" w:rsidP="00B139CD">
      <w:pPr>
        <w:rPr>
          <w:rFonts w:ascii="Arial" w:hAnsi="Arial"/>
        </w:rPr>
      </w:pPr>
      <w:r>
        <w:t>To ensure that the people of Connecticut have access to the non-exempt records and meetings of all state, local and regional public agencies and to ensure that all public agencies fully comply with the state’s Freedom of Information Act.</w:t>
      </w:r>
    </w:p>
    <w:p w:rsidR="00B139CD" w:rsidRPr="00AD1FAC" w:rsidRDefault="00B139CD" w:rsidP="00B139CD">
      <w:pPr>
        <w:pStyle w:val="H4"/>
        <w:rPr>
          <w:rFonts w:ascii="Lucida Sans Unicode" w:hAnsi="Lucida Sans Unicode"/>
          <w:b/>
          <w:i/>
        </w:rPr>
      </w:pPr>
      <w:r w:rsidRPr="00AD1FAC">
        <w:rPr>
          <w:b/>
          <w:i/>
        </w:rPr>
        <w:t>Program Description</w:t>
      </w:r>
    </w:p>
    <w:p w:rsidR="00B139CD" w:rsidRDefault="00DE4F16" w:rsidP="00B139CD">
      <w:pPr>
        <w:spacing w:after="80"/>
        <w:rPr>
          <w:rFonts w:ascii="Arial" w:hAnsi="Arial"/>
        </w:rPr>
      </w:pPr>
      <w:proofErr w:type="gramStart"/>
      <w:r>
        <w:t xml:space="preserve">To </w:t>
      </w:r>
      <w:r w:rsidR="00B139CD">
        <w:t>hear and decide citizen complaints and requests for declaratory rulings.</w:t>
      </w:r>
      <w:proofErr w:type="gramEnd"/>
      <w:r w:rsidR="00B139CD">
        <w:t xml:space="preserve"> The objective of this activity is to resolve cases fairly, quickly </w:t>
      </w:r>
      <w:r w:rsidR="00B139CD">
        <w:lastRenderedPageBreak/>
        <w:t xml:space="preserve">and inexpensively. To this end, the commission attempts to resolve as many cases as possible without formal hearings by use of ombudsmen and its statutory powers </w:t>
      </w:r>
      <w:r>
        <w:t xml:space="preserve">to terminate meritless cases. </w:t>
      </w:r>
    </w:p>
    <w:p w:rsidR="00B139CD" w:rsidRDefault="00B139CD" w:rsidP="00B139CD">
      <w:pPr>
        <w:spacing w:after="80"/>
        <w:rPr>
          <w:rFonts w:ascii="Arial" w:hAnsi="Arial"/>
        </w:rPr>
      </w:pPr>
      <w:proofErr w:type="gramStart"/>
      <w:r>
        <w:t>To inform and educate public officials and the public of their duties and rights under the Freedom of Information Act.</w:t>
      </w:r>
      <w:proofErr w:type="gramEnd"/>
      <w:r>
        <w:t xml:space="preserve">  It has established a popular interactive website </w:t>
      </w:r>
      <w:hyperlink r:id="rId9" w:history="1">
        <w:r>
          <w:rPr>
            <w:rStyle w:val="Hyperlink"/>
          </w:rPr>
          <w:t>www.ct.gov/foi</w:t>
        </w:r>
      </w:hyperlink>
      <w:hyperlink r:id="rId10" w:history="1"/>
      <w:r>
        <w:t xml:space="preserve">, on which its decisions can be researched and downloaded. </w:t>
      </w:r>
    </w:p>
    <w:p w:rsidR="00B139CD" w:rsidRDefault="00B139CD" w:rsidP="00B139CD">
      <w:pPr>
        <w:spacing w:after="80"/>
        <w:rPr>
          <w:rFonts w:ascii="Lucida Sans Unicode" w:hAnsi="Lucida Sans Unicode"/>
        </w:rPr>
      </w:pPr>
      <w:r>
        <w:t xml:space="preserve">To represent the commission, through staff counsel, in all court appeals and other litigation affecting the commission. </w:t>
      </w:r>
    </w:p>
    <w:p w:rsidR="00B139CD" w:rsidRDefault="00B139CD" w:rsidP="00B139CD">
      <w:pPr>
        <w:spacing w:after="0"/>
        <w:jc w:val="left"/>
        <w:sectPr w:rsidR="00B139CD" w:rsidSect="002B073E">
          <w:type w:val="continuous"/>
          <w:pgSz w:w="12240" w:h="15840" w:code="1"/>
          <w:pgMar w:top="864" w:right="720" w:bottom="1152" w:left="720" w:header="432" w:footer="288" w:gutter="216"/>
          <w:cols w:num="2" w:space="432"/>
        </w:sectPr>
      </w:pPr>
    </w:p>
    <w:p w:rsidR="00B139CD" w:rsidRDefault="00B139CD" w:rsidP="00416601"/>
    <w:p w:rsidR="00B139CD" w:rsidRPr="000E2EA0" w:rsidRDefault="00D83130" w:rsidP="00B139CD">
      <w:pPr>
        <w:pStyle w:val="H2"/>
      </w:pPr>
      <w:r>
        <w:fldChar w:fldCharType="begin"/>
      </w:r>
      <w:r w:rsidR="00B139CD">
        <w:instrText>xe "OGA17000 22010"</w:instrText>
      </w:r>
      <w:r>
        <w:fldChar w:fldCharType="end"/>
      </w:r>
      <w:r w:rsidR="00B139CD" w:rsidRPr="000E2EA0">
        <w:t>JUDICIAL REVIEW</w:t>
      </w:r>
    </w:p>
    <w:p w:rsidR="00B139CD" w:rsidRDefault="00B139CD" w:rsidP="00B139CD">
      <w:pPr>
        <w:jc w:val="left"/>
        <w:rPr>
          <w:szCs w:val="18"/>
        </w:rPr>
        <w:sectPr w:rsidR="00B139CD" w:rsidSect="002B073E">
          <w:type w:val="continuous"/>
          <w:pgSz w:w="12240" w:h="15840" w:code="1"/>
          <w:pgMar w:top="864" w:right="720" w:bottom="1152" w:left="720" w:header="432" w:footer="288" w:gutter="216"/>
          <w:cols w:space="720"/>
        </w:sectPr>
      </w:pPr>
    </w:p>
    <w:p w:rsidR="00104203" w:rsidRDefault="00104203" w:rsidP="00104203">
      <w:pPr>
        <w:pStyle w:val="Heading2"/>
      </w:pPr>
      <w:r>
        <w:lastRenderedPageBreak/>
        <w:t xml:space="preserve">Statutory Reference  </w:t>
      </w:r>
    </w:p>
    <w:p w:rsidR="00104203" w:rsidRDefault="00104203" w:rsidP="00104203">
      <w:pPr>
        <w:rPr>
          <w:rFonts w:ascii="Arial" w:hAnsi="Arial"/>
          <w:lang w:val="fr-FR"/>
        </w:rPr>
      </w:pPr>
      <w:r>
        <w:rPr>
          <w:lang w:val="fr-FR"/>
        </w:rPr>
        <w:t>C.G.S. Section 51-51k.</w:t>
      </w:r>
    </w:p>
    <w:p w:rsidR="00104203" w:rsidRPr="000E2EA0" w:rsidRDefault="00104203" w:rsidP="00104203">
      <w:pPr>
        <w:pStyle w:val="Heading2"/>
      </w:pPr>
      <w:r w:rsidRPr="000E2EA0">
        <w:t>Statement of Need and Program Objectives</w:t>
      </w:r>
    </w:p>
    <w:p w:rsidR="00104203" w:rsidRDefault="00104203" w:rsidP="00B139CD">
      <w:pPr>
        <w:jc w:val="left"/>
        <w:rPr>
          <w:szCs w:val="18"/>
        </w:rPr>
      </w:pPr>
      <w:r>
        <w:rPr>
          <w:szCs w:val="18"/>
        </w:rPr>
        <w:t xml:space="preserve">To </w:t>
      </w:r>
      <w:r w:rsidR="00B139CD" w:rsidRPr="004E4153">
        <w:rPr>
          <w:szCs w:val="18"/>
        </w:rPr>
        <w:t>investigat</w:t>
      </w:r>
      <w:r>
        <w:rPr>
          <w:szCs w:val="18"/>
        </w:rPr>
        <w:t>e</w:t>
      </w:r>
      <w:r w:rsidR="00B139CD" w:rsidRPr="004E4153">
        <w:rPr>
          <w:szCs w:val="18"/>
        </w:rPr>
        <w:t xml:space="preserve"> complaints of judicial misconduct made against state judges, family support magistrates and workers’ compensation commissioners.</w:t>
      </w:r>
    </w:p>
    <w:p w:rsidR="00104203" w:rsidRDefault="00104203" w:rsidP="00B139CD">
      <w:pPr>
        <w:jc w:val="left"/>
        <w:rPr>
          <w:szCs w:val="18"/>
        </w:rPr>
      </w:pPr>
    </w:p>
    <w:p w:rsidR="00104203" w:rsidRPr="00AD1FAC" w:rsidRDefault="00104203" w:rsidP="00104203">
      <w:pPr>
        <w:pStyle w:val="H4"/>
        <w:rPr>
          <w:rFonts w:ascii="Lucida Sans Unicode" w:hAnsi="Lucida Sans Unicode"/>
          <w:b/>
          <w:i/>
        </w:rPr>
      </w:pPr>
      <w:r w:rsidRPr="00AD1FAC">
        <w:rPr>
          <w:b/>
          <w:i/>
        </w:rPr>
        <w:lastRenderedPageBreak/>
        <w:t>Program Description</w:t>
      </w:r>
    </w:p>
    <w:p w:rsidR="00B139CD" w:rsidRDefault="00B139CD" w:rsidP="00B139CD">
      <w:pPr>
        <w:spacing w:after="80"/>
        <w:jc w:val="left"/>
        <w:rPr>
          <w:szCs w:val="18"/>
        </w:rPr>
      </w:pPr>
      <w:r w:rsidRPr="004E4153">
        <w:rPr>
          <w:szCs w:val="18"/>
        </w:rPr>
        <w:t>The purpose of this agency is to help enforce high standards of judicial conduct on and off the bench in order to preserve the integrity of the court system and promote public confidence in the courts.  It is recognized that judges, family support magistrates and worker’</w:t>
      </w:r>
      <w:r>
        <w:rPr>
          <w:szCs w:val="18"/>
        </w:rPr>
        <w:t>s</w:t>
      </w:r>
      <w:r w:rsidRPr="004E4153">
        <w:rPr>
          <w:szCs w:val="18"/>
        </w:rPr>
        <w:t xml:space="preserve"> compensation commissioners must be free to exercise their discretion without fear of disciplinary proceedings. However, they also must be held accountable for misconduct.</w:t>
      </w:r>
    </w:p>
    <w:p w:rsidR="00B139CD" w:rsidRDefault="00B139CD" w:rsidP="00B139CD">
      <w:pPr>
        <w:spacing w:after="80"/>
        <w:jc w:val="left"/>
        <w:rPr>
          <w:snapToGrid w:val="0"/>
          <w:szCs w:val="18"/>
        </w:rPr>
        <w:sectPr w:rsidR="00B139CD" w:rsidSect="002B073E">
          <w:type w:val="continuous"/>
          <w:pgSz w:w="12240" w:h="15840" w:code="1"/>
          <w:pgMar w:top="864" w:right="720" w:bottom="1152" w:left="720" w:header="432" w:footer="288" w:gutter="216"/>
          <w:cols w:num="2" w:space="432"/>
        </w:sectPr>
      </w:pPr>
    </w:p>
    <w:p w:rsidR="00B139CD" w:rsidRDefault="00B139CD" w:rsidP="00B139CD"/>
    <w:p w:rsidR="00B139CD" w:rsidRDefault="00D83130" w:rsidP="00B139CD">
      <w:pPr>
        <w:pStyle w:val="H2"/>
        <w:sectPr w:rsidR="00B139CD" w:rsidSect="002B073E">
          <w:type w:val="continuous"/>
          <w:pgSz w:w="12240" w:h="15840" w:code="1"/>
          <w:pgMar w:top="864" w:right="720" w:bottom="1152" w:left="720" w:header="432" w:footer="288" w:gutter="216"/>
          <w:cols w:space="720"/>
          <w:docGrid w:linePitch="245"/>
        </w:sectPr>
      </w:pPr>
      <w:r>
        <w:fldChar w:fldCharType="begin"/>
      </w:r>
      <w:r w:rsidR="00B139CD">
        <w:instrText>xe "OGA17000 22012"</w:instrText>
      </w:r>
      <w:r>
        <w:fldChar w:fldCharType="end"/>
      </w:r>
      <w:r w:rsidR="00B139CD" w:rsidRPr="000E2EA0">
        <w:t>Judicial Selection</w:t>
      </w:r>
    </w:p>
    <w:p w:rsidR="00104203" w:rsidRDefault="00104203" w:rsidP="00104203">
      <w:pPr>
        <w:pStyle w:val="Heading2"/>
      </w:pPr>
      <w:r>
        <w:lastRenderedPageBreak/>
        <w:t xml:space="preserve">Statutory Reference  </w:t>
      </w:r>
    </w:p>
    <w:p w:rsidR="00104203" w:rsidRDefault="00104203" w:rsidP="00104203">
      <w:pPr>
        <w:rPr>
          <w:rFonts w:ascii="Arial" w:hAnsi="Arial"/>
          <w:lang w:val="fr-FR"/>
        </w:rPr>
      </w:pPr>
      <w:r>
        <w:rPr>
          <w:lang w:val="fr-FR"/>
        </w:rPr>
        <w:t>C.G.S. Section 51-44a.</w:t>
      </w:r>
    </w:p>
    <w:p w:rsidR="00104203" w:rsidRPr="000E2EA0" w:rsidRDefault="00104203" w:rsidP="00104203">
      <w:pPr>
        <w:pStyle w:val="Heading2"/>
      </w:pPr>
      <w:r w:rsidRPr="000E2EA0">
        <w:t>Statement of Need and Program Objectives</w:t>
      </w:r>
    </w:p>
    <w:p w:rsidR="00B139CD" w:rsidRDefault="00104203" w:rsidP="00B139CD">
      <w:pPr>
        <w:pStyle w:val="H2"/>
        <w:pBdr>
          <w:bottom w:val="none" w:sz="0" w:space="0" w:color="auto"/>
        </w:pBdr>
        <w:spacing w:before="0" w:after="0"/>
        <w:rPr>
          <w:caps w:val="0"/>
          <w:snapToGrid w:val="0"/>
          <w:color w:val="000000" w:themeColor="text1"/>
          <w:sz w:val="18"/>
          <w:szCs w:val="18"/>
        </w:rPr>
      </w:pPr>
      <w:r>
        <w:rPr>
          <w:caps w:val="0"/>
          <w:snapToGrid w:val="0"/>
          <w:color w:val="000000" w:themeColor="text1"/>
          <w:sz w:val="18"/>
          <w:szCs w:val="18"/>
        </w:rPr>
        <w:t>To</w:t>
      </w:r>
      <w:r w:rsidR="00B139CD">
        <w:rPr>
          <w:caps w:val="0"/>
          <w:snapToGrid w:val="0"/>
          <w:color w:val="000000" w:themeColor="text1"/>
          <w:sz w:val="18"/>
          <w:szCs w:val="18"/>
        </w:rPr>
        <w:t xml:space="preserve"> evaluat</w:t>
      </w:r>
      <w:r>
        <w:rPr>
          <w:caps w:val="0"/>
          <w:snapToGrid w:val="0"/>
          <w:color w:val="000000" w:themeColor="text1"/>
          <w:sz w:val="18"/>
          <w:szCs w:val="18"/>
        </w:rPr>
        <w:t>e</w:t>
      </w:r>
      <w:r w:rsidR="00B139CD">
        <w:rPr>
          <w:caps w:val="0"/>
          <w:snapToGrid w:val="0"/>
          <w:color w:val="000000" w:themeColor="text1"/>
          <w:sz w:val="18"/>
          <w:szCs w:val="18"/>
        </w:rPr>
        <w:t>, investigat</w:t>
      </w:r>
      <w:r>
        <w:rPr>
          <w:caps w:val="0"/>
          <w:snapToGrid w:val="0"/>
          <w:color w:val="000000" w:themeColor="text1"/>
          <w:sz w:val="18"/>
          <w:szCs w:val="18"/>
        </w:rPr>
        <w:t>e</w:t>
      </w:r>
      <w:r w:rsidR="00B139CD" w:rsidRPr="00FC3E4C">
        <w:rPr>
          <w:caps w:val="0"/>
          <w:snapToGrid w:val="0"/>
          <w:color w:val="000000" w:themeColor="text1"/>
          <w:sz w:val="18"/>
          <w:szCs w:val="18"/>
        </w:rPr>
        <w:t xml:space="preserve"> and recommend qualified candidates for </w:t>
      </w:r>
      <w:r w:rsidR="00B139CD">
        <w:rPr>
          <w:caps w:val="0"/>
          <w:snapToGrid w:val="0"/>
          <w:color w:val="000000" w:themeColor="text1"/>
          <w:sz w:val="18"/>
          <w:szCs w:val="18"/>
        </w:rPr>
        <w:t xml:space="preserve">consideration </w:t>
      </w:r>
      <w:r w:rsidR="00B139CD" w:rsidRPr="00FC3E4C">
        <w:rPr>
          <w:caps w:val="0"/>
          <w:snapToGrid w:val="0"/>
          <w:color w:val="000000" w:themeColor="text1"/>
          <w:sz w:val="18"/>
          <w:szCs w:val="18"/>
        </w:rPr>
        <w:t xml:space="preserve">by the </w:t>
      </w:r>
      <w:r>
        <w:rPr>
          <w:caps w:val="0"/>
          <w:snapToGrid w:val="0"/>
          <w:color w:val="000000" w:themeColor="text1"/>
          <w:sz w:val="18"/>
          <w:szCs w:val="18"/>
        </w:rPr>
        <w:t>G</w:t>
      </w:r>
      <w:r w:rsidR="00B139CD" w:rsidRPr="00FC3E4C">
        <w:rPr>
          <w:caps w:val="0"/>
          <w:snapToGrid w:val="0"/>
          <w:color w:val="000000" w:themeColor="text1"/>
          <w:sz w:val="18"/>
          <w:szCs w:val="18"/>
        </w:rPr>
        <w:t>overnor fo</w:t>
      </w:r>
      <w:r w:rsidR="00B139CD">
        <w:rPr>
          <w:caps w:val="0"/>
          <w:snapToGrid w:val="0"/>
          <w:color w:val="000000" w:themeColor="text1"/>
          <w:sz w:val="18"/>
          <w:szCs w:val="18"/>
        </w:rPr>
        <w:t>r nomination as judges for the Superior C</w:t>
      </w:r>
      <w:r w:rsidR="00B139CD" w:rsidRPr="00FC3E4C">
        <w:rPr>
          <w:caps w:val="0"/>
          <w:snapToGrid w:val="0"/>
          <w:color w:val="000000" w:themeColor="text1"/>
          <w:sz w:val="18"/>
          <w:szCs w:val="18"/>
        </w:rPr>
        <w:t>our</w:t>
      </w:r>
      <w:r w:rsidR="00B139CD">
        <w:rPr>
          <w:caps w:val="0"/>
          <w:snapToGrid w:val="0"/>
          <w:color w:val="000000" w:themeColor="text1"/>
          <w:sz w:val="18"/>
          <w:szCs w:val="18"/>
        </w:rPr>
        <w:t>t, the Appellate Court and the Supreme C</w:t>
      </w:r>
      <w:r w:rsidR="00B139CD" w:rsidRPr="00FC3E4C">
        <w:rPr>
          <w:caps w:val="0"/>
          <w:snapToGrid w:val="0"/>
          <w:color w:val="000000" w:themeColor="text1"/>
          <w:sz w:val="18"/>
          <w:szCs w:val="18"/>
        </w:rPr>
        <w:t>ourt</w:t>
      </w:r>
      <w:r w:rsidR="00B139CD">
        <w:rPr>
          <w:caps w:val="0"/>
          <w:snapToGrid w:val="0"/>
          <w:color w:val="000000" w:themeColor="text1"/>
          <w:sz w:val="18"/>
          <w:szCs w:val="18"/>
        </w:rPr>
        <w:t>.</w:t>
      </w:r>
    </w:p>
    <w:p w:rsidR="00104203" w:rsidRPr="00AD1FAC" w:rsidRDefault="00104203" w:rsidP="00104203">
      <w:pPr>
        <w:pStyle w:val="H4"/>
        <w:rPr>
          <w:rFonts w:ascii="Lucida Sans Unicode" w:hAnsi="Lucida Sans Unicode"/>
          <w:b/>
          <w:i/>
        </w:rPr>
      </w:pPr>
      <w:r>
        <w:rPr>
          <w:b/>
          <w:i/>
        </w:rPr>
        <w:lastRenderedPageBreak/>
        <w:t>p</w:t>
      </w:r>
      <w:r w:rsidRPr="00AD1FAC">
        <w:rPr>
          <w:b/>
          <w:i/>
        </w:rPr>
        <w:t>rogram Description</w:t>
      </w:r>
    </w:p>
    <w:p w:rsidR="00B139CD" w:rsidRPr="00104203" w:rsidRDefault="00B139CD" w:rsidP="00104203">
      <w:pPr>
        <w:spacing w:after="80"/>
        <w:rPr>
          <w:snapToGrid w:val="0"/>
        </w:rPr>
      </w:pPr>
      <w:r>
        <w:rPr>
          <w:snapToGrid w:val="0"/>
        </w:rPr>
        <w:t xml:space="preserve">The Judicial Selection Commission consists of twelve members. The </w:t>
      </w:r>
      <w:r w:rsidR="00DC3894">
        <w:rPr>
          <w:snapToGrid w:val="0"/>
        </w:rPr>
        <w:t>c</w:t>
      </w:r>
      <w:r>
        <w:rPr>
          <w:snapToGrid w:val="0"/>
        </w:rPr>
        <w:t>ommission develops a listing of qualified candidates by investigating and interviewing the candidates, including incumbent judges seeking appointment to a different court.</w:t>
      </w:r>
    </w:p>
    <w:p w:rsidR="00B139CD" w:rsidRDefault="00B139CD" w:rsidP="00B139CD">
      <w:pPr>
        <w:spacing w:after="80"/>
        <w:ind w:left="360"/>
        <w:rPr>
          <w:snapToGrid w:val="0"/>
        </w:rPr>
        <w:sectPr w:rsidR="00B139CD" w:rsidSect="002B073E">
          <w:type w:val="continuous"/>
          <w:pgSz w:w="12240" w:h="15840" w:code="1"/>
          <w:pgMar w:top="864" w:right="720" w:bottom="1152" w:left="720" w:header="432" w:footer="288" w:gutter="216"/>
          <w:cols w:num="2" w:space="432"/>
        </w:sectPr>
      </w:pPr>
    </w:p>
    <w:p w:rsidR="00416601" w:rsidRDefault="00416601" w:rsidP="00416601"/>
    <w:p w:rsidR="000459A0" w:rsidRPr="000E2EA0" w:rsidRDefault="00D83130" w:rsidP="000459A0">
      <w:pPr>
        <w:pStyle w:val="H2"/>
      </w:pPr>
      <w:r>
        <w:fldChar w:fldCharType="begin"/>
      </w:r>
      <w:r w:rsidR="000459A0">
        <w:instrText>xe "OGA17000 12001"</w:instrText>
      </w:r>
      <w:r>
        <w:fldChar w:fldCharType="end"/>
      </w:r>
      <w:r w:rsidR="000459A0" w:rsidRPr="000E2EA0">
        <w:t>OFFICE OF the child advocate</w:t>
      </w:r>
    </w:p>
    <w:p w:rsidR="000459A0" w:rsidRDefault="000459A0" w:rsidP="000459A0">
      <w:pPr>
        <w:jc w:val="left"/>
        <w:sectPr w:rsidR="000459A0" w:rsidSect="002B073E">
          <w:type w:val="continuous"/>
          <w:pgSz w:w="12240" w:h="15840" w:code="1"/>
          <w:pgMar w:top="864" w:right="720" w:bottom="1152" w:left="720" w:header="432" w:footer="288" w:gutter="216"/>
          <w:cols w:space="720"/>
        </w:sectPr>
      </w:pPr>
    </w:p>
    <w:p w:rsidR="003C5307" w:rsidRDefault="003C5307" w:rsidP="003C5307">
      <w:pPr>
        <w:pStyle w:val="Heading2"/>
      </w:pPr>
      <w:r>
        <w:lastRenderedPageBreak/>
        <w:t xml:space="preserve">Statutory Reference  </w:t>
      </w:r>
    </w:p>
    <w:p w:rsidR="000459A0" w:rsidRPr="000E2EA0" w:rsidRDefault="000459A0" w:rsidP="003C5307">
      <w:pPr>
        <w:jc w:val="left"/>
      </w:pPr>
      <w:r>
        <w:t>C.G.S. Sections 46a-13k through 46a-13q.</w:t>
      </w:r>
    </w:p>
    <w:p w:rsidR="000459A0" w:rsidRDefault="000459A0" w:rsidP="000459A0">
      <w:pPr>
        <w:rPr>
          <w:b/>
          <w:i/>
          <w:color w:val="002060"/>
          <w:sz w:val="20"/>
          <w:szCs w:val="22"/>
        </w:rPr>
      </w:pPr>
      <w:r>
        <w:rPr>
          <w:b/>
          <w:i/>
          <w:color w:val="002060"/>
          <w:sz w:val="20"/>
        </w:rPr>
        <w:t>Statement of Need and Program Objectives</w:t>
      </w:r>
    </w:p>
    <w:p w:rsidR="000459A0" w:rsidRDefault="000459A0" w:rsidP="003C5307">
      <w:pPr>
        <w:spacing w:after="0"/>
        <w:jc w:val="left"/>
      </w:pPr>
      <w:r>
        <w:t xml:space="preserve">To secure and ensure the legal, civil and special rights of children who reside in this state.   </w:t>
      </w:r>
    </w:p>
    <w:p w:rsidR="003C5307" w:rsidRPr="000E2EA0" w:rsidRDefault="003C5307" w:rsidP="003C5307">
      <w:pPr>
        <w:spacing w:after="0"/>
        <w:jc w:val="left"/>
      </w:pPr>
    </w:p>
    <w:p w:rsidR="000459A0" w:rsidRDefault="000459A0" w:rsidP="000459A0">
      <w:pPr>
        <w:rPr>
          <w:b/>
          <w:i/>
          <w:color w:val="002060"/>
          <w:sz w:val="20"/>
        </w:rPr>
      </w:pPr>
      <w:r>
        <w:rPr>
          <w:b/>
          <w:i/>
          <w:color w:val="002060"/>
          <w:sz w:val="20"/>
        </w:rPr>
        <w:t>Program Description</w:t>
      </w:r>
    </w:p>
    <w:p w:rsidR="000459A0" w:rsidRDefault="000459A0" w:rsidP="000459A0">
      <w:r>
        <w:t>The Office of the Child Advocate</w:t>
      </w:r>
      <w:r w:rsidR="003C5307">
        <w:t xml:space="preserve"> (OCA)</w:t>
      </w:r>
      <w:r>
        <w:t xml:space="preserve"> evaluates the delivery of services by state agencies and entities that provide services to children through state funding; reviews the procedures of any state department providing services to children with a view toward their rights; reviews complaints and investigates those where it appears that a child or family may be in need of assistance; reviews facilities and procedures of any institution or residence where a juvenile has been placed by any agency or department; recommends changes in </w:t>
      </w:r>
      <w:r>
        <w:lastRenderedPageBreak/>
        <w:t xml:space="preserve">policies and procedures concerning children including changes in the system of providing juvenile justice, child care, foster care and treatment; reviews the number of special needs children in any foster care or permanent care facility and recommends changes in policies and procedures for the placement of these children; takes any and all possible action, including but not limited to, conducting programs of public education, undertaking legislative advocacy and making proposals for systemic reform and formal  legal action in order to secure and ensure the legal, civil and special rights of children who reside in this state; provide training and technical assistance to attorneys representing children and guardians ad </w:t>
      </w:r>
      <w:proofErr w:type="spellStart"/>
      <w:r>
        <w:t>litem</w:t>
      </w:r>
      <w:proofErr w:type="spellEnd"/>
      <w:r>
        <w:t xml:space="preserve"> appointed by the Superior Court; serves or designates a person to serve as a member of the child fatality review panel; take appropriate steps to advise the public of the services of the OCA, the purpose of the office and procedures to contact the office.</w:t>
      </w:r>
    </w:p>
    <w:p w:rsidR="000459A0" w:rsidRDefault="000459A0" w:rsidP="000459A0">
      <w:pPr>
        <w:rPr>
          <w:sz w:val="22"/>
        </w:rPr>
        <w:sectPr w:rsidR="000459A0" w:rsidSect="002B073E">
          <w:type w:val="continuous"/>
          <w:pgSz w:w="12240" w:h="15840" w:code="1"/>
          <w:pgMar w:top="864" w:right="720" w:bottom="1152" w:left="720" w:header="432" w:footer="288" w:gutter="216"/>
          <w:cols w:num="2" w:space="432"/>
        </w:sectPr>
      </w:pPr>
    </w:p>
    <w:p w:rsidR="000459A0" w:rsidRDefault="000459A0" w:rsidP="00416601"/>
    <w:p w:rsidR="000459A0" w:rsidRPr="00594776" w:rsidRDefault="00D83130" w:rsidP="000459A0">
      <w:pPr>
        <w:pStyle w:val="H2"/>
      </w:pPr>
      <w:r>
        <w:fldChar w:fldCharType="begin"/>
      </w:r>
      <w:r w:rsidR="000459A0">
        <w:instrText>xe "OGA17000 22017"</w:instrText>
      </w:r>
      <w:r>
        <w:fldChar w:fldCharType="end"/>
      </w:r>
      <w:r w:rsidR="000459A0" w:rsidRPr="00594776">
        <w:t>OFFICE OF victim advocate</w:t>
      </w:r>
    </w:p>
    <w:p w:rsidR="000459A0" w:rsidRPr="00594776" w:rsidRDefault="000459A0" w:rsidP="000459A0">
      <w:pPr>
        <w:pStyle w:val="H2"/>
        <w:sectPr w:rsidR="000459A0" w:rsidRPr="00594776" w:rsidSect="002B073E">
          <w:type w:val="continuous"/>
          <w:pgSz w:w="12240" w:h="15840" w:code="1"/>
          <w:pgMar w:top="864" w:right="720" w:bottom="1152" w:left="720" w:header="432" w:footer="288" w:gutter="216"/>
          <w:cols w:space="720"/>
        </w:sectPr>
      </w:pPr>
    </w:p>
    <w:p w:rsidR="000459A0" w:rsidRDefault="000459A0" w:rsidP="000459A0">
      <w:pPr>
        <w:pStyle w:val="Heading2"/>
      </w:pPr>
      <w:r>
        <w:lastRenderedPageBreak/>
        <w:t>Statutory Reference</w:t>
      </w:r>
    </w:p>
    <w:p w:rsidR="000459A0" w:rsidRDefault="000459A0" w:rsidP="000459A0">
      <w:pPr>
        <w:spacing w:after="80"/>
        <w:rPr>
          <w:snapToGrid w:val="0"/>
        </w:rPr>
      </w:pPr>
      <w:r>
        <w:rPr>
          <w:snapToGrid w:val="0"/>
        </w:rPr>
        <w:t>C.S.S. Sections 46a-13b, et seq.</w:t>
      </w:r>
    </w:p>
    <w:p w:rsidR="000459A0" w:rsidRDefault="000459A0" w:rsidP="000459A0">
      <w:pPr>
        <w:pStyle w:val="Heading2"/>
      </w:pPr>
      <w:r>
        <w:t>Statement of Need and Program Objectives</w:t>
      </w:r>
    </w:p>
    <w:p w:rsidR="000459A0" w:rsidRDefault="003C5307" w:rsidP="003C5307">
      <w:pPr>
        <w:spacing w:after="80"/>
        <w:rPr>
          <w:snapToGrid w:val="0"/>
        </w:rPr>
      </w:pPr>
      <w:r>
        <w:rPr>
          <w:snapToGrid w:val="0"/>
        </w:rPr>
        <w:t>To</w:t>
      </w:r>
      <w:r w:rsidR="000459A0">
        <w:rPr>
          <w:snapToGrid w:val="0"/>
        </w:rPr>
        <w:t xml:space="preserve"> provide oversight and advocacy when it has been determined the criminal justice or victim service delivery systems failed crime victims and witnesses, works to promote the fair and just treatment of crime </w:t>
      </w:r>
      <w:r w:rsidR="000459A0">
        <w:rPr>
          <w:snapToGrid w:val="0"/>
        </w:rPr>
        <w:lastRenderedPageBreak/>
        <w:t>victims/witnesses throughout the criminal justice process and helps ensure that the voices of crime victims play a central role in Connecticut’s response to violence and those victimized by crime</w:t>
      </w:r>
      <w:r w:rsidR="004253E7">
        <w:rPr>
          <w:snapToGrid w:val="0"/>
        </w:rPr>
        <w:t>.</w:t>
      </w:r>
    </w:p>
    <w:p w:rsidR="000459A0" w:rsidRDefault="000459A0" w:rsidP="000459A0">
      <w:pPr>
        <w:pStyle w:val="Heading2"/>
      </w:pPr>
      <w:r>
        <w:t>Program Description</w:t>
      </w:r>
    </w:p>
    <w:p w:rsidR="000459A0" w:rsidRDefault="000459A0" w:rsidP="000459A0">
      <w:pPr>
        <w:spacing w:after="80"/>
        <w:rPr>
          <w:snapToGrid w:val="0"/>
        </w:rPr>
      </w:pPr>
      <w:r>
        <w:rPr>
          <w:snapToGrid w:val="0"/>
        </w:rPr>
        <w:t>The Office of the Victim Advocate protects and promotes the rights of crime victims through individual case advocacy; engages in multi-</w:t>
      </w:r>
      <w:r>
        <w:rPr>
          <w:snapToGrid w:val="0"/>
        </w:rPr>
        <w:lastRenderedPageBreak/>
        <w:t>agency efforts to further the constitutional rights of crime victims and advocates for systemic reforms regarding victims’ rights and services, legal action, public education and legislative advocacy.</w:t>
      </w:r>
    </w:p>
    <w:p w:rsidR="000459A0" w:rsidRDefault="000459A0" w:rsidP="000459A0">
      <w:pPr>
        <w:spacing w:after="80"/>
        <w:rPr>
          <w:snapToGrid w:val="0"/>
        </w:rPr>
        <w:sectPr w:rsidR="000459A0" w:rsidSect="002B073E">
          <w:type w:val="continuous"/>
          <w:pgSz w:w="12240" w:h="15840" w:code="1"/>
          <w:pgMar w:top="864" w:right="720" w:bottom="1152" w:left="720" w:header="432" w:footer="288" w:gutter="216"/>
          <w:cols w:num="2" w:space="432"/>
        </w:sectPr>
      </w:pPr>
    </w:p>
    <w:p w:rsidR="000459A0" w:rsidRDefault="000459A0" w:rsidP="00416601">
      <w:pPr>
        <w:rPr>
          <w:snapToGrid w:val="0"/>
        </w:rPr>
      </w:pPr>
    </w:p>
    <w:p w:rsidR="00C45F63" w:rsidRPr="009A4B4C" w:rsidRDefault="00D83130" w:rsidP="009A4B4C">
      <w:pPr>
        <w:pStyle w:val="H2"/>
        <w:rPr>
          <w:caps w:val="0"/>
        </w:rPr>
      </w:pPr>
      <w:r>
        <w:fldChar w:fldCharType="begin"/>
      </w:r>
      <w:r w:rsidR="009A4B4C">
        <w:instrText>xe "OGA17000 29127"</w:instrText>
      </w:r>
      <w:r>
        <w:fldChar w:fldCharType="end"/>
      </w:r>
      <w:r w:rsidR="00C45F63" w:rsidRPr="009A4B4C">
        <w:t>Board of Firearms Permit Examiners</w:t>
      </w:r>
    </w:p>
    <w:p w:rsidR="00C45F63" w:rsidRDefault="00C45F63" w:rsidP="00C45F63">
      <w:pPr>
        <w:spacing w:after="0"/>
        <w:jc w:val="left"/>
        <w:rPr>
          <w:rStyle w:val="Hyperlink"/>
        </w:rPr>
        <w:sectPr w:rsidR="00C45F63" w:rsidSect="002B073E">
          <w:type w:val="continuous"/>
          <w:pgSz w:w="12240" w:h="15840" w:code="1"/>
          <w:pgMar w:top="864" w:right="720" w:bottom="1152" w:left="720" w:header="432" w:footer="288" w:gutter="216"/>
          <w:cols w:space="720"/>
        </w:sectPr>
      </w:pPr>
    </w:p>
    <w:p w:rsidR="00C45F63" w:rsidRDefault="00C45F63" w:rsidP="00C45F63">
      <w:pPr>
        <w:pStyle w:val="Heading2"/>
      </w:pPr>
      <w:r>
        <w:t xml:space="preserve">Statutory Reference  </w:t>
      </w:r>
    </w:p>
    <w:p w:rsidR="00C45F63" w:rsidRDefault="00C45F63" w:rsidP="00C45F63">
      <w:pPr>
        <w:pStyle w:val="CommentText"/>
        <w:rPr>
          <w:sz w:val="18"/>
          <w:szCs w:val="18"/>
        </w:rPr>
      </w:pPr>
      <w:proofErr w:type="gramStart"/>
      <w:r>
        <w:rPr>
          <w:sz w:val="18"/>
          <w:szCs w:val="18"/>
        </w:rPr>
        <w:t xml:space="preserve">C.G.S. Section 29-32b, </w:t>
      </w:r>
      <w:r>
        <w:rPr>
          <w:i/>
          <w:sz w:val="18"/>
          <w:szCs w:val="18"/>
        </w:rPr>
        <w:t xml:space="preserve">C.G. S. Section 28-28 </w:t>
      </w:r>
      <w:r>
        <w:rPr>
          <w:sz w:val="18"/>
          <w:szCs w:val="18"/>
        </w:rPr>
        <w:t>C. G.S. Section 29-36f</w:t>
      </w:r>
      <w:r w:rsidR="003C5307">
        <w:rPr>
          <w:sz w:val="18"/>
          <w:szCs w:val="18"/>
        </w:rPr>
        <w:t>.</w:t>
      </w:r>
      <w:proofErr w:type="gramEnd"/>
    </w:p>
    <w:p w:rsidR="00C45F63" w:rsidRDefault="00C45F63" w:rsidP="00C45F63">
      <w:pPr>
        <w:pStyle w:val="Heading2"/>
      </w:pPr>
      <w:r>
        <w:t>Statement of Need and Program Objectives</w:t>
      </w:r>
    </w:p>
    <w:p w:rsidR="00C45F63" w:rsidRDefault="003C5307" w:rsidP="00C45F63">
      <w:r>
        <w:t>T</w:t>
      </w:r>
      <w:r w:rsidR="00C45F63">
        <w:t xml:space="preserve">o provide a means of appeal for any person aggrieved by any refusal to issue or renew a pistol permit or certificate.  </w:t>
      </w:r>
    </w:p>
    <w:p w:rsidR="00C45F63" w:rsidRDefault="00C45F63" w:rsidP="00C45F63">
      <w:pPr>
        <w:pStyle w:val="Heading2"/>
      </w:pPr>
      <w:r>
        <w:t xml:space="preserve">Program Description </w:t>
      </w:r>
    </w:p>
    <w:p w:rsidR="00C45F63" w:rsidRDefault="00C45F63" w:rsidP="004253E7">
      <w:pPr>
        <w:autoSpaceDE w:val="0"/>
        <w:autoSpaceDN w:val="0"/>
        <w:adjustRightInd w:val="0"/>
        <w:spacing w:after="0"/>
        <w:rPr>
          <w:rFonts w:cs="Arial"/>
          <w:szCs w:val="18"/>
        </w:rPr>
      </w:pPr>
      <w:r>
        <w:rPr>
          <w:rFonts w:cs="Arial"/>
          <w:szCs w:val="18"/>
        </w:rPr>
        <w:t xml:space="preserve">The Board of Firearms Permit Examiners functions as a civilian review board, acting on appeals from denials or revocations of pistol permits by local police or first selectmen and the Connecticut State Police. The </w:t>
      </w:r>
      <w:r w:rsidR="00DC3894">
        <w:rPr>
          <w:rFonts w:cs="Arial"/>
          <w:szCs w:val="18"/>
        </w:rPr>
        <w:t>b</w:t>
      </w:r>
      <w:r>
        <w:rPr>
          <w:rFonts w:cs="Arial"/>
          <w:szCs w:val="18"/>
        </w:rPr>
        <w:t>oard is composed of representat</w:t>
      </w:r>
      <w:r w:rsidR="003659CD">
        <w:rPr>
          <w:rFonts w:cs="Arial"/>
          <w:szCs w:val="18"/>
        </w:rPr>
        <w:t>ives from Ye CT Gun Guild, Inc. and CT State Rifle and Revolver Association, Inc.</w:t>
      </w:r>
      <w:r>
        <w:rPr>
          <w:rFonts w:cs="Arial"/>
          <w:szCs w:val="18"/>
        </w:rPr>
        <w:t>, two public mem</w:t>
      </w:r>
      <w:r w:rsidR="003659CD">
        <w:rPr>
          <w:rFonts w:cs="Arial"/>
          <w:szCs w:val="18"/>
        </w:rPr>
        <w:t>bers, a representative of the Commissioner of the Department of Emergency S</w:t>
      </w:r>
      <w:r>
        <w:rPr>
          <w:rFonts w:cs="Arial"/>
          <w:szCs w:val="18"/>
        </w:rPr>
        <w:t>ervices</w:t>
      </w:r>
      <w:r w:rsidR="003659CD">
        <w:rPr>
          <w:rFonts w:cs="Arial"/>
          <w:szCs w:val="18"/>
        </w:rPr>
        <w:t xml:space="preserve"> and Public Protection, a representative from the Department of Energy and Environmental P</w:t>
      </w:r>
      <w:r>
        <w:rPr>
          <w:rFonts w:cs="Arial"/>
          <w:szCs w:val="18"/>
        </w:rPr>
        <w:t xml:space="preserve">rotection, and </w:t>
      </w:r>
      <w:r w:rsidR="00DC3894">
        <w:rPr>
          <w:rFonts w:cs="Arial"/>
          <w:szCs w:val="18"/>
        </w:rPr>
        <w:t xml:space="preserve">a </w:t>
      </w:r>
      <w:r>
        <w:rPr>
          <w:rFonts w:cs="Arial"/>
          <w:szCs w:val="18"/>
        </w:rPr>
        <w:t>repre</w:t>
      </w:r>
      <w:r w:rsidR="003659CD">
        <w:rPr>
          <w:rFonts w:cs="Arial"/>
          <w:szCs w:val="18"/>
        </w:rPr>
        <w:t>sentative of Connecticut State A</w:t>
      </w:r>
      <w:r>
        <w:rPr>
          <w:rFonts w:cs="Arial"/>
          <w:szCs w:val="18"/>
        </w:rPr>
        <w:t xml:space="preserve">ssociation of Chiefs of Police. At least one member must be an attorney admitted to practice in the State of Connecticut who serves as chairman and presides at hearings. The members are uncompensated volunteers. The </w:t>
      </w:r>
      <w:r w:rsidR="00DC3894">
        <w:rPr>
          <w:rFonts w:cs="Arial"/>
          <w:szCs w:val="18"/>
        </w:rPr>
        <w:t>b</w:t>
      </w:r>
      <w:r>
        <w:rPr>
          <w:rFonts w:cs="Arial"/>
          <w:szCs w:val="18"/>
        </w:rPr>
        <w:t>oard adjudicates appeals throug</w:t>
      </w:r>
      <w:r w:rsidR="003C5307">
        <w:rPr>
          <w:rFonts w:cs="Arial"/>
          <w:szCs w:val="18"/>
        </w:rPr>
        <w:t>h civil administrative hearings.</w:t>
      </w:r>
    </w:p>
    <w:p w:rsidR="00DE772B" w:rsidRDefault="00DE772B" w:rsidP="003659CD">
      <w:pPr>
        <w:autoSpaceDE w:val="0"/>
        <w:autoSpaceDN w:val="0"/>
        <w:adjustRightInd w:val="0"/>
        <w:spacing w:after="0"/>
        <w:ind w:left="180"/>
        <w:jc w:val="left"/>
        <w:rPr>
          <w:rFonts w:cs="Arial"/>
          <w:szCs w:val="18"/>
        </w:rPr>
        <w:sectPr w:rsidR="00DE772B" w:rsidSect="002B073E">
          <w:type w:val="continuous"/>
          <w:pgSz w:w="12240" w:h="15840" w:code="1"/>
          <w:pgMar w:top="864" w:right="720" w:bottom="1152" w:left="720" w:header="432" w:footer="288" w:gutter="216"/>
          <w:cols w:num="2" w:space="432"/>
        </w:sectPr>
      </w:pPr>
    </w:p>
    <w:p w:rsidR="00C45F63" w:rsidRDefault="00C45F63" w:rsidP="00416601"/>
    <w:p w:rsidR="00594776" w:rsidRDefault="00594776" w:rsidP="00416601"/>
    <w:sectPr w:rsidR="00594776" w:rsidSect="002B073E">
      <w:footerReference w:type="default" r:id="rId11"/>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73E" w:rsidRDefault="002B073E">
      <w:r>
        <w:separator/>
      </w:r>
    </w:p>
  </w:endnote>
  <w:endnote w:type="continuationSeparator" w:id="0">
    <w:p w:rsidR="002B073E" w:rsidRDefault="002B07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73E" w:rsidRDefault="002B073E">
    <w:pPr>
      <w:pStyle w:val="Footer"/>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73E" w:rsidRDefault="002B073E">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73E" w:rsidRDefault="002B073E">
      <w:r>
        <w:separator/>
      </w:r>
    </w:p>
  </w:footnote>
  <w:footnote w:type="continuationSeparator" w:id="0">
    <w:p w:rsidR="002B073E" w:rsidRDefault="002B0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73E" w:rsidRDefault="002B073E">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5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BA2436"/>
    <w:multiLevelType w:val="singleLevel"/>
    <w:tmpl w:val="7FDED53A"/>
    <w:lvl w:ilvl="0">
      <w:start w:val="1"/>
      <w:numFmt w:val="bullet"/>
      <w:lvlText w:val=""/>
      <w:lvlJc w:val="left"/>
      <w:pPr>
        <w:tabs>
          <w:tab w:val="num" w:pos="360"/>
        </w:tabs>
        <w:ind w:left="360" w:hanging="360"/>
      </w:pPr>
      <w:rPr>
        <w:rFonts w:ascii="Symbol" w:hAnsi="Symbol" w:hint="default"/>
      </w:rPr>
    </w:lvl>
  </w:abstractNum>
  <w:abstractNum w:abstractNumId="3">
    <w:nsid w:val="0FC7027A"/>
    <w:multiLevelType w:val="hybridMultilevel"/>
    <w:tmpl w:val="689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E689C"/>
    <w:multiLevelType w:val="hybridMultilevel"/>
    <w:tmpl w:val="D542E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4432DD"/>
    <w:multiLevelType w:val="hybridMultilevel"/>
    <w:tmpl w:val="E67A5ED8"/>
    <w:lvl w:ilvl="0" w:tplc="C3EE2984">
      <w:start w:val="1"/>
      <w:numFmt w:val="bullet"/>
      <w:lvlText w:val=""/>
      <w:lvlJc w:val="left"/>
      <w:pPr>
        <w:tabs>
          <w:tab w:val="num" w:pos="360"/>
        </w:tabs>
        <w:ind w:left="360" w:hanging="360"/>
      </w:pPr>
      <w:rPr>
        <w:rFonts w:ascii="Symbol" w:hAnsi="Symbol"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8B96F6D"/>
    <w:multiLevelType w:val="hybridMultilevel"/>
    <w:tmpl w:val="BBE02F4C"/>
    <w:lvl w:ilvl="0" w:tplc="04090001">
      <w:start w:val="5"/>
      <w:numFmt w:val="bullet"/>
      <w:lvlText w:val=""/>
      <w:lvlJc w:val="left"/>
      <w:pPr>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B90004C"/>
    <w:multiLevelType w:val="hybridMultilevel"/>
    <w:tmpl w:val="30E2D51E"/>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8A6379"/>
    <w:multiLevelType w:val="hybridMultilevel"/>
    <w:tmpl w:val="C67622D2"/>
    <w:lvl w:ilvl="0" w:tplc="EC76FE60">
      <w:start w:val="1"/>
      <w:numFmt w:val="bullet"/>
      <w:lvlText w:val=""/>
      <w:lvlJc w:val="left"/>
      <w:pPr>
        <w:tabs>
          <w:tab w:val="num" w:pos="360"/>
        </w:tabs>
        <w:ind w:left="360" w:hanging="360"/>
      </w:pPr>
      <w:rPr>
        <w:rFonts w:ascii="Symbol" w:hAnsi="Symbol"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004428E"/>
    <w:multiLevelType w:val="hybridMultilevel"/>
    <w:tmpl w:val="16A06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1A66C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EF6849"/>
    <w:multiLevelType w:val="hybridMultilevel"/>
    <w:tmpl w:val="FA38BE20"/>
    <w:lvl w:ilvl="0" w:tplc="EC76FE60">
      <w:start w:val="1"/>
      <w:numFmt w:val="bullet"/>
      <w:lvlText w:val=""/>
      <w:lvlJc w:val="left"/>
      <w:pPr>
        <w:tabs>
          <w:tab w:val="num" w:pos="360"/>
        </w:tabs>
        <w:ind w:left="360" w:hanging="360"/>
      </w:pPr>
      <w:rPr>
        <w:rFonts w:ascii="Symbol" w:hAnsi="Symbol"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1976CF8"/>
    <w:multiLevelType w:val="singleLevel"/>
    <w:tmpl w:val="7FDED53A"/>
    <w:lvl w:ilvl="0">
      <w:start w:val="1"/>
      <w:numFmt w:val="bullet"/>
      <w:lvlText w:val=""/>
      <w:lvlJc w:val="left"/>
      <w:pPr>
        <w:tabs>
          <w:tab w:val="num" w:pos="360"/>
        </w:tabs>
        <w:ind w:left="360" w:hanging="360"/>
      </w:pPr>
      <w:rPr>
        <w:rFonts w:ascii="Symbol" w:hAnsi="Symbol" w:hint="default"/>
      </w:rPr>
    </w:lvl>
  </w:abstractNum>
  <w:abstractNum w:abstractNumId="14">
    <w:nsid w:val="75116A83"/>
    <w:multiLevelType w:val="hybridMultilevel"/>
    <w:tmpl w:val="E952862E"/>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9B1415F"/>
    <w:multiLevelType w:val="hybridMultilevel"/>
    <w:tmpl w:val="15689B5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0"/>
  </w:num>
  <w:num w:numId="3">
    <w:abstractNumId w:val="2"/>
  </w:num>
  <w:num w:numId="4">
    <w:abstractNumId w:val="13"/>
  </w:num>
  <w:num w:numId="5">
    <w:abstractNumId w:val="1"/>
  </w:num>
  <w:num w:numId="6">
    <w:abstractNumId w:val="11"/>
  </w:num>
  <w:num w:numId="7">
    <w:abstractNumId w:val="1"/>
  </w:num>
  <w:num w:numId="8">
    <w:abstractNumId w:val="11"/>
  </w:num>
  <w:num w:numId="9">
    <w:abstractNumId w:val="1"/>
  </w:num>
  <w:num w:numId="10">
    <w:abstractNumId w:val="11"/>
  </w:num>
  <w:num w:numId="11">
    <w:abstractNumId w:val="1"/>
  </w:num>
  <w:num w:numId="12">
    <w:abstractNumId w:val="11"/>
  </w:num>
  <w:num w:numId="13">
    <w:abstractNumId w:val="1"/>
  </w:num>
  <w:num w:numId="14">
    <w:abstractNumId w:val="11"/>
  </w:num>
  <w:num w:numId="15">
    <w:abstractNumId w:val="4"/>
  </w:num>
  <w:num w:numId="16">
    <w:abstractNumId w:val="14"/>
  </w:num>
  <w:num w:numId="17">
    <w:abstractNumId w:val="7"/>
  </w:num>
  <w:num w:numId="18">
    <w:abstractNumId w:val="9"/>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1F08"/>
  <w:defaultTabStop w:val="720"/>
  <w:evenAndOddHeaders/>
  <w:drawingGridHorizontalSpacing w:val="9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rsids>
    <w:rsidRoot w:val="005F7FDE"/>
    <w:rsid w:val="00027DC5"/>
    <w:rsid w:val="00037118"/>
    <w:rsid w:val="000459A0"/>
    <w:rsid w:val="00045DBF"/>
    <w:rsid w:val="0007690B"/>
    <w:rsid w:val="000846F0"/>
    <w:rsid w:val="000A4665"/>
    <w:rsid w:val="000A6B3F"/>
    <w:rsid w:val="000C56B8"/>
    <w:rsid w:val="000D2B1E"/>
    <w:rsid w:val="000E291B"/>
    <w:rsid w:val="000E2EA0"/>
    <w:rsid w:val="000F13CC"/>
    <w:rsid w:val="001022B5"/>
    <w:rsid w:val="00104203"/>
    <w:rsid w:val="00110A49"/>
    <w:rsid w:val="00157944"/>
    <w:rsid w:val="00164FFA"/>
    <w:rsid w:val="0016792D"/>
    <w:rsid w:val="00172E93"/>
    <w:rsid w:val="00181267"/>
    <w:rsid w:val="001B268B"/>
    <w:rsid w:val="001B50E2"/>
    <w:rsid w:val="001C25CD"/>
    <w:rsid w:val="001E4B9A"/>
    <w:rsid w:val="00204E88"/>
    <w:rsid w:val="0020508D"/>
    <w:rsid w:val="00224BF8"/>
    <w:rsid w:val="00230231"/>
    <w:rsid w:val="0023071D"/>
    <w:rsid w:val="00231F98"/>
    <w:rsid w:val="0023604B"/>
    <w:rsid w:val="00247BA4"/>
    <w:rsid w:val="002550B1"/>
    <w:rsid w:val="0025533F"/>
    <w:rsid w:val="00256CB7"/>
    <w:rsid w:val="00293AA4"/>
    <w:rsid w:val="002A285C"/>
    <w:rsid w:val="002B073E"/>
    <w:rsid w:val="002C667C"/>
    <w:rsid w:val="002E2AD6"/>
    <w:rsid w:val="002E5D81"/>
    <w:rsid w:val="00347341"/>
    <w:rsid w:val="003612F5"/>
    <w:rsid w:val="003642DB"/>
    <w:rsid w:val="003659CD"/>
    <w:rsid w:val="0037064D"/>
    <w:rsid w:val="00382246"/>
    <w:rsid w:val="00383DF0"/>
    <w:rsid w:val="003C5307"/>
    <w:rsid w:val="003D3C9B"/>
    <w:rsid w:val="003E176D"/>
    <w:rsid w:val="003E402A"/>
    <w:rsid w:val="004033D4"/>
    <w:rsid w:val="004112C6"/>
    <w:rsid w:val="00416601"/>
    <w:rsid w:val="004253E7"/>
    <w:rsid w:val="00425FB1"/>
    <w:rsid w:val="00430212"/>
    <w:rsid w:val="0048236E"/>
    <w:rsid w:val="004B5E46"/>
    <w:rsid w:val="004C3150"/>
    <w:rsid w:val="004D3EF8"/>
    <w:rsid w:val="004E255C"/>
    <w:rsid w:val="004E4153"/>
    <w:rsid w:val="0052689A"/>
    <w:rsid w:val="0055632F"/>
    <w:rsid w:val="00582F65"/>
    <w:rsid w:val="00594776"/>
    <w:rsid w:val="005A777F"/>
    <w:rsid w:val="005B692C"/>
    <w:rsid w:val="005E3907"/>
    <w:rsid w:val="005E4370"/>
    <w:rsid w:val="005E50C9"/>
    <w:rsid w:val="005E704E"/>
    <w:rsid w:val="005F7FDE"/>
    <w:rsid w:val="00604D9B"/>
    <w:rsid w:val="00611F76"/>
    <w:rsid w:val="00614E67"/>
    <w:rsid w:val="0061529B"/>
    <w:rsid w:val="006215AC"/>
    <w:rsid w:val="00622F44"/>
    <w:rsid w:val="006242E2"/>
    <w:rsid w:val="00636FB9"/>
    <w:rsid w:val="00637972"/>
    <w:rsid w:val="00646B8C"/>
    <w:rsid w:val="0066308F"/>
    <w:rsid w:val="0067311C"/>
    <w:rsid w:val="0067779C"/>
    <w:rsid w:val="006A1A0F"/>
    <w:rsid w:val="006E2867"/>
    <w:rsid w:val="006E2FB2"/>
    <w:rsid w:val="006E5A69"/>
    <w:rsid w:val="006F2F85"/>
    <w:rsid w:val="00705434"/>
    <w:rsid w:val="007059AA"/>
    <w:rsid w:val="007077BF"/>
    <w:rsid w:val="00707D1B"/>
    <w:rsid w:val="00730552"/>
    <w:rsid w:val="00730AEC"/>
    <w:rsid w:val="007310B1"/>
    <w:rsid w:val="0073427A"/>
    <w:rsid w:val="007442F4"/>
    <w:rsid w:val="00751441"/>
    <w:rsid w:val="00761F8F"/>
    <w:rsid w:val="00783BFD"/>
    <w:rsid w:val="0078793A"/>
    <w:rsid w:val="007B253F"/>
    <w:rsid w:val="007E40A4"/>
    <w:rsid w:val="00802E22"/>
    <w:rsid w:val="00834FEF"/>
    <w:rsid w:val="00841FF9"/>
    <w:rsid w:val="00850767"/>
    <w:rsid w:val="0085625F"/>
    <w:rsid w:val="00872531"/>
    <w:rsid w:val="0088068D"/>
    <w:rsid w:val="008C02CA"/>
    <w:rsid w:val="008C7010"/>
    <w:rsid w:val="008C7E57"/>
    <w:rsid w:val="00902197"/>
    <w:rsid w:val="009041B8"/>
    <w:rsid w:val="00913917"/>
    <w:rsid w:val="00915794"/>
    <w:rsid w:val="00915A86"/>
    <w:rsid w:val="00915C18"/>
    <w:rsid w:val="009176C7"/>
    <w:rsid w:val="0092243B"/>
    <w:rsid w:val="00922647"/>
    <w:rsid w:val="0093275F"/>
    <w:rsid w:val="00936A30"/>
    <w:rsid w:val="00980330"/>
    <w:rsid w:val="009812B2"/>
    <w:rsid w:val="00990912"/>
    <w:rsid w:val="0099258E"/>
    <w:rsid w:val="009A4B4C"/>
    <w:rsid w:val="009B04D5"/>
    <w:rsid w:val="009B0E4C"/>
    <w:rsid w:val="009B15EF"/>
    <w:rsid w:val="009B2CE2"/>
    <w:rsid w:val="009B49ED"/>
    <w:rsid w:val="009B7F2E"/>
    <w:rsid w:val="009C1E1E"/>
    <w:rsid w:val="009D1A20"/>
    <w:rsid w:val="00A0509C"/>
    <w:rsid w:val="00A062B7"/>
    <w:rsid w:val="00A17B33"/>
    <w:rsid w:val="00A437F6"/>
    <w:rsid w:val="00A62B33"/>
    <w:rsid w:val="00A818BF"/>
    <w:rsid w:val="00A95199"/>
    <w:rsid w:val="00AC2E60"/>
    <w:rsid w:val="00AC77AC"/>
    <w:rsid w:val="00AD1FAC"/>
    <w:rsid w:val="00AD6CCA"/>
    <w:rsid w:val="00AE387F"/>
    <w:rsid w:val="00AF326E"/>
    <w:rsid w:val="00B0171E"/>
    <w:rsid w:val="00B06E60"/>
    <w:rsid w:val="00B12E54"/>
    <w:rsid w:val="00B13863"/>
    <w:rsid w:val="00B139CD"/>
    <w:rsid w:val="00B205BA"/>
    <w:rsid w:val="00B24185"/>
    <w:rsid w:val="00B442C2"/>
    <w:rsid w:val="00B45D91"/>
    <w:rsid w:val="00B64498"/>
    <w:rsid w:val="00B753A0"/>
    <w:rsid w:val="00B96EC8"/>
    <w:rsid w:val="00BA4362"/>
    <w:rsid w:val="00BB3887"/>
    <w:rsid w:val="00BE595B"/>
    <w:rsid w:val="00C15818"/>
    <w:rsid w:val="00C175C3"/>
    <w:rsid w:val="00C34056"/>
    <w:rsid w:val="00C37E9F"/>
    <w:rsid w:val="00C45F63"/>
    <w:rsid w:val="00C46B4D"/>
    <w:rsid w:val="00C50F8C"/>
    <w:rsid w:val="00C67342"/>
    <w:rsid w:val="00C743F9"/>
    <w:rsid w:val="00C803D8"/>
    <w:rsid w:val="00C96CAE"/>
    <w:rsid w:val="00C97292"/>
    <w:rsid w:val="00CA063E"/>
    <w:rsid w:val="00CA73B1"/>
    <w:rsid w:val="00CB373E"/>
    <w:rsid w:val="00CB6A4B"/>
    <w:rsid w:val="00CC0DCE"/>
    <w:rsid w:val="00CE25F2"/>
    <w:rsid w:val="00CE314B"/>
    <w:rsid w:val="00CE32BB"/>
    <w:rsid w:val="00CE7155"/>
    <w:rsid w:val="00D001A0"/>
    <w:rsid w:val="00D101E0"/>
    <w:rsid w:val="00D160BE"/>
    <w:rsid w:val="00D205D3"/>
    <w:rsid w:val="00D27467"/>
    <w:rsid w:val="00D2747D"/>
    <w:rsid w:val="00D32924"/>
    <w:rsid w:val="00D40D9E"/>
    <w:rsid w:val="00D450D2"/>
    <w:rsid w:val="00D478FA"/>
    <w:rsid w:val="00D50467"/>
    <w:rsid w:val="00D83130"/>
    <w:rsid w:val="00D84636"/>
    <w:rsid w:val="00D858BA"/>
    <w:rsid w:val="00D85DDC"/>
    <w:rsid w:val="00D94EFA"/>
    <w:rsid w:val="00D95CE8"/>
    <w:rsid w:val="00D96617"/>
    <w:rsid w:val="00DC3894"/>
    <w:rsid w:val="00DE4BD2"/>
    <w:rsid w:val="00DE4F16"/>
    <w:rsid w:val="00DE772B"/>
    <w:rsid w:val="00DF3A30"/>
    <w:rsid w:val="00E014D8"/>
    <w:rsid w:val="00E03488"/>
    <w:rsid w:val="00E03C25"/>
    <w:rsid w:val="00E4567B"/>
    <w:rsid w:val="00E46E75"/>
    <w:rsid w:val="00E721B7"/>
    <w:rsid w:val="00E900C2"/>
    <w:rsid w:val="00E9780D"/>
    <w:rsid w:val="00EC1545"/>
    <w:rsid w:val="00EF43B4"/>
    <w:rsid w:val="00F00306"/>
    <w:rsid w:val="00F05815"/>
    <w:rsid w:val="00F05D7E"/>
    <w:rsid w:val="00F1471F"/>
    <w:rsid w:val="00F306ED"/>
    <w:rsid w:val="00F71927"/>
    <w:rsid w:val="00F8742D"/>
    <w:rsid w:val="00FB3C92"/>
    <w:rsid w:val="00FB7EAF"/>
    <w:rsid w:val="00FC1EA1"/>
    <w:rsid w:val="00FC3145"/>
    <w:rsid w:val="00FC3E4C"/>
    <w:rsid w:val="00FF5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FF9"/>
    <w:pPr>
      <w:spacing w:after="40"/>
      <w:jc w:val="both"/>
    </w:pPr>
    <w:rPr>
      <w:rFonts w:ascii="Calibri" w:hAnsi="Calibri"/>
      <w:sz w:val="18"/>
    </w:rPr>
  </w:style>
  <w:style w:type="paragraph" w:styleId="Heading1">
    <w:name w:val="heading 1"/>
    <w:basedOn w:val="H1"/>
    <w:next w:val="Normal"/>
    <w:link w:val="Heading1Char"/>
    <w:qFormat/>
    <w:rsid w:val="00204E88"/>
    <w:pPr>
      <w:keepNext/>
      <w:spacing w:after="60"/>
      <w:jc w:val="left"/>
      <w:outlineLvl w:val="0"/>
    </w:pPr>
    <w:rPr>
      <w:kern w:val="28"/>
    </w:rPr>
  </w:style>
  <w:style w:type="paragraph" w:styleId="Heading2">
    <w:name w:val="heading 2"/>
    <w:basedOn w:val="Normal"/>
    <w:next w:val="Normal"/>
    <w:link w:val="Heading2Char"/>
    <w:qFormat/>
    <w:rsid w:val="00204E88"/>
    <w:pPr>
      <w:keepNext/>
      <w:spacing w:before="80" w:after="0"/>
      <w:outlineLvl w:val="1"/>
    </w:pPr>
    <w:rPr>
      <w:b/>
      <w:i/>
      <w:color w:val="002D86"/>
      <w:sz w:val="20"/>
    </w:rPr>
  </w:style>
  <w:style w:type="paragraph" w:styleId="Heading3">
    <w:name w:val="heading 3"/>
    <w:basedOn w:val="Normal"/>
    <w:next w:val="Normal"/>
    <w:link w:val="Heading3Char"/>
    <w:qFormat/>
    <w:rsid w:val="00204E88"/>
    <w:pPr>
      <w:keepNext/>
      <w:spacing w:after="60"/>
      <w:jc w:val="center"/>
      <w:outlineLvl w:val="2"/>
    </w:pPr>
    <w:rPr>
      <w:b/>
    </w:rPr>
  </w:style>
  <w:style w:type="paragraph" w:styleId="Heading4">
    <w:name w:val="heading 4"/>
    <w:basedOn w:val="Heading3"/>
    <w:next w:val="Normal"/>
    <w:link w:val="Heading4Char"/>
    <w:qFormat/>
    <w:rsid w:val="00204E88"/>
    <w:pPr>
      <w:spacing w:before="120" w:after="0"/>
      <w:jc w:val="left"/>
      <w:outlineLvl w:val="3"/>
    </w:pPr>
    <w:rPr>
      <w:b w:val="0"/>
      <w:i/>
    </w:rPr>
  </w:style>
  <w:style w:type="paragraph" w:styleId="Heading5">
    <w:name w:val="heading 5"/>
    <w:basedOn w:val="Normal"/>
    <w:next w:val="Normal"/>
    <w:qFormat/>
    <w:rsid w:val="00204E88"/>
    <w:pPr>
      <w:spacing w:before="240" w:after="60"/>
      <w:outlineLvl w:val="4"/>
    </w:pPr>
    <w:rPr>
      <w:sz w:val="22"/>
    </w:rPr>
  </w:style>
  <w:style w:type="paragraph" w:styleId="Heading6">
    <w:name w:val="heading 6"/>
    <w:basedOn w:val="Normal"/>
    <w:next w:val="Normal"/>
    <w:qFormat/>
    <w:rsid w:val="00204E88"/>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204E88"/>
    <w:pPr>
      <w:keepNext/>
      <w:outlineLvl w:val="6"/>
    </w:pPr>
    <w:rPr>
      <w:b/>
      <w:u w:val="single"/>
    </w:rPr>
  </w:style>
  <w:style w:type="paragraph" w:styleId="Heading8">
    <w:name w:val="heading 8"/>
    <w:basedOn w:val="Normal"/>
    <w:next w:val="Normal"/>
    <w:qFormat/>
    <w:rsid w:val="00204E88"/>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204E88"/>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204E88"/>
    <w:pPr>
      <w:spacing w:after="240"/>
      <w:jc w:val="center"/>
    </w:pPr>
    <w:rPr>
      <w:rFonts w:ascii="Calibri" w:hAnsi="Calibri"/>
      <w:caps/>
      <w:noProof/>
      <w:color w:val="002D86"/>
      <w:sz w:val="40"/>
    </w:rPr>
  </w:style>
  <w:style w:type="paragraph" w:styleId="Header">
    <w:name w:val="header"/>
    <w:basedOn w:val="Normal"/>
    <w:link w:val="HeaderChar"/>
    <w:uiPriority w:val="99"/>
    <w:rsid w:val="00204E88"/>
    <w:pPr>
      <w:jc w:val="center"/>
    </w:pPr>
  </w:style>
  <w:style w:type="paragraph" w:styleId="Footer">
    <w:name w:val="footer"/>
    <w:basedOn w:val="Header"/>
    <w:rsid w:val="00204E88"/>
  </w:style>
  <w:style w:type="character" w:styleId="PageNumber">
    <w:name w:val="page number"/>
    <w:basedOn w:val="DefaultParagraphFont"/>
    <w:rsid w:val="00204E88"/>
    <w:rPr>
      <w:rFonts w:ascii="Trebuchet MS" w:hAnsi="Trebuchet MS"/>
      <w:sz w:val="16"/>
    </w:rPr>
  </w:style>
  <w:style w:type="paragraph" w:customStyle="1" w:styleId="H2">
    <w:name w:val="H2"/>
    <w:basedOn w:val="Normal"/>
    <w:link w:val="H2Char"/>
    <w:rsid w:val="00204E88"/>
    <w:pPr>
      <w:pBdr>
        <w:bottom w:val="single" w:sz="4" w:space="1" w:color="808080"/>
      </w:pBdr>
      <w:spacing w:before="120"/>
      <w:jc w:val="left"/>
    </w:pPr>
    <w:rPr>
      <w:caps/>
      <w:noProof/>
      <w:color w:val="002D86"/>
      <w:sz w:val="24"/>
    </w:rPr>
  </w:style>
  <w:style w:type="paragraph" w:customStyle="1" w:styleId="H3">
    <w:name w:val="H3"/>
    <w:basedOn w:val="Heading3"/>
    <w:next w:val="Normal"/>
    <w:rsid w:val="00204E88"/>
  </w:style>
  <w:style w:type="paragraph" w:customStyle="1" w:styleId="H4">
    <w:name w:val="H4"/>
    <w:basedOn w:val="Normal"/>
    <w:next w:val="Normal"/>
    <w:link w:val="H4Char"/>
    <w:rsid w:val="00204E88"/>
    <w:pPr>
      <w:spacing w:before="80"/>
      <w:jc w:val="left"/>
    </w:pPr>
    <w:rPr>
      <w:caps/>
      <w:color w:val="002291"/>
      <w:sz w:val="20"/>
    </w:rPr>
  </w:style>
  <w:style w:type="paragraph" w:customStyle="1" w:styleId="H5">
    <w:name w:val="H5"/>
    <w:basedOn w:val="Heading5"/>
    <w:next w:val="Normal"/>
    <w:rsid w:val="00204E88"/>
  </w:style>
  <w:style w:type="paragraph" w:customStyle="1" w:styleId="H6">
    <w:name w:val="H6"/>
    <w:rsid w:val="00204E88"/>
    <w:pPr>
      <w:spacing w:before="60" w:after="60"/>
    </w:pPr>
    <w:rPr>
      <w:rFonts w:ascii="AvantGarde" w:hAnsi="AvantGarde"/>
      <w:smallCaps/>
      <w:noProof/>
      <w:color w:val="000080"/>
      <w:sz w:val="24"/>
    </w:rPr>
  </w:style>
  <w:style w:type="paragraph" w:customStyle="1" w:styleId="H7">
    <w:name w:val="H7"/>
    <w:basedOn w:val="Normal"/>
    <w:rsid w:val="00204E88"/>
    <w:rPr>
      <w:sz w:val="16"/>
    </w:rPr>
  </w:style>
  <w:style w:type="paragraph" w:customStyle="1" w:styleId="ProgramHead">
    <w:name w:val="ProgramHead"/>
    <w:basedOn w:val="H2"/>
    <w:rsid w:val="00204E88"/>
    <w:pPr>
      <w:pBdr>
        <w:bottom w:val="single" w:sz="2" w:space="1" w:color="BFBFBF"/>
      </w:pBdr>
      <w:spacing w:after="0"/>
    </w:pPr>
  </w:style>
  <w:style w:type="paragraph" w:customStyle="1" w:styleId="H7B">
    <w:name w:val="H7B"/>
    <w:basedOn w:val="H7"/>
    <w:rsid w:val="00204E88"/>
    <w:pPr>
      <w:numPr>
        <w:numId w:val="13"/>
      </w:numPr>
      <w:tabs>
        <w:tab w:val="left" w:pos="144"/>
      </w:tabs>
    </w:pPr>
    <w:rPr>
      <w:b/>
      <w:sz w:val="18"/>
    </w:rPr>
  </w:style>
  <w:style w:type="paragraph" w:customStyle="1" w:styleId="NormalB">
    <w:name w:val="NormalB"/>
    <w:basedOn w:val="Normal"/>
    <w:rsid w:val="00204E88"/>
    <w:pPr>
      <w:numPr>
        <w:numId w:val="14"/>
      </w:numPr>
      <w:tabs>
        <w:tab w:val="left" w:pos="144"/>
      </w:tabs>
    </w:pPr>
  </w:style>
  <w:style w:type="character" w:customStyle="1" w:styleId="H1Char">
    <w:name w:val="H1 Char"/>
    <w:basedOn w:val="DefaultParagraphFont"/>
    <w:link w:val="H1"/>
    <w:rsid w:val="00913917"/>
    <w:rPr>
      <w:rFonts w:ascii="Calibri" w:hAnsi="Calibri"/>
      <w:caps/>
      <w:noProof/>
      <w:color w:val="002D86"/>
      <w:sz w:val="40"/>
      <w:lang w:val="en-US" w:eastAsia="en-US" w:bidi="ar-SA"/>
    </w:rPr>
  </w:style>
  <w:style w:type="character" w:customStyle="1" w:styleId="H2Char">
    <w:name w:val="H2 Char"/>
    <w:basedOn w:val="H1Char"/>
    <w:link w:val="H2"/>
    <w:rsid w:val="00913917"/>
    <w:rPr>
      <w:sz w:val="24"/>
    </w:rPr>
  </w:style>
  <w:style w:type="character" w:styleId="Hyperlink">
    <w:name w:val="Hyperlink"/>
    <w:basedOn w:val="DefaultParagraphFont"/>
    <w:rsid w:val="00204E88"/>
    <w:rPr>
      <w:rFonts w:ascii="Calibri" w:hAnsi="Calibri"/>
      <w:color w:val="17365D"/>
      <w:sz w:val="18"/>
      <w:u w:val="single"/>
    </w:rPr>
  </w:style>
  <w:style w:type="paragraph" w:customStyle="1" w:styleId="SubProgramHead">
    <w:name w:val="SubProgramHead"/>
    <w:basedOn w:val="ProgramHead"/>
    <w:rsid w:val="00204E88"/>
    <w:pPr>
      <w:jc w:val="center"/>
    </w:pPr>
  </w:style>
  <w:style w:type="paragraph" w:styleId="BalloonText">
    <w:name w:val="Balloon Text"/>
    <w:basedOn w:val="Normal"/>
    <w:semiHidden/>
    <w:rsid w:val="00204E88"/>
    <w:rPr>
      <w:rFonts w:ascii="Tahoma" w:hAnsi="Tahoma" w:cs="Tahoma"/>
      <w:szCs w:val="16"/>
    </w:rPr>
  </w:style>
  <w:style w:type="paragraph" w:styleId="BodyText">
    <w:name w:val="Body Text"/>
    <w:basedOn w:val="Normal"/>
    <w:rsid w:val="00204E88"/>
    <w:pPr>
      <w:ind w:right="-54"/>
    </w:pPr>
  </w:style>
  <w:style w:type="character" w:styleId="CommentReference">
    <w:name w:val="annotation reference"/>
    <w:basedOn w:val="DefaultParagraphFont"/>
    <w:semiHidden/>
    <w:rsid w:val="00204E88"/>
    <w:rPr>
      <w:sz w:val="16"/>
      <w:szCs w:val="16"/>
    </w:rPr>
  </w:style>
  <w:style w:type="paragraph" w:styleId="CommentText">
    <w:name w:val="annotation text"/>
    <w:basedOn w:val="Normal"/>
    <w:link w:val="CommentTextChar"/>
    <w:semiHidden/>
    <w:rsid w:val="00204E88"/>
    <w:rPr>
      <w:sz w:val="20"/>
    </w:rPr>
  </w:style>
  <w:style w:type="paragraph" w:customStyle="1" w:styleId="H2SubProgram">
    <w:name w:val="H2 SubProgram"/>
    <w:basedOn w:val="H2"/>
    <w:rsid w:val="00204E88"/>
    <w:pPr>
      <w:jc w:val="center"/>
    </w:pPr>
  </w:style>
  <w:style w:type="paragraph" w:customStyle="1" w:styleId="H7b0">
    <w:name w:val="H7b"/>
    <w:basedOn w:val="H7"/>
    <w:rsid w:val="00204E88"/>
    <w:pPr>
      <w:jc w:val="right"/>
      <w:outlineLvl w:val="0"/>
    </w:pPr>
    <w:rPr>
      <w:rFonts w:ascii="Arial" w:hAnsi="Arial"/>
    </w:rPr>
  </w:style>
  <w:style w:type="paragraph" w:customStyle="1" w:styleId="SubprogramHead0">
    <w:name w:val="SubprogramHead"/>
    <w:basedOn w:val="Heading2"/>
    <w:rsid w:val="00204E88"/>
    <w:pPr>
      <w:spacing w:before="40"/>
    </w:pPr>
  </w:style>
  <w:style w:type="table" w:styleId="TableGrid">
    <w:name w:val="Table Grid"/>
    <w:basedOn w:val="TableNormal"/>
    <w:rsid w:val="00204E88"/>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204E88"/>
    <w:rPr>
      <w:kern w:val="16"/>
      <w:sz w:val="16"/>
    </w:rPr>
  </w:style>
  <w:style w:type="paragraph" w:styleId="BodyTextIndent">
    <w:name w:val="Body Text Indent"/>
    <w:basedOn w:val="Normal"/>
    <w:rsid w:val="00204E88"/>
    <w:pPr>
      <w:ind w:left="720"/>
    </w:pPr>
  </w:style>
  <w:style w:type="paragraph" w:styleId="DocumentMap">
    <w:name w:val="Document Map"/>
    <w:basedOn w:val="Normal"/>
    <w:semiHidden/>
    <w:rsid w:val="00204E88"/>
    <w:pPr>
      <w:shd w:val="clear" w:color="auto" w:fill="000080"/>
    </w:pPr>
    <w:rPr>
      <w:rFonts w:ascii="Tahoma" w:hAnsi="Tahoma" w:cs="Tahoma"/>
    </w:rPr>
  </w:style>
  <w:style w:type="character" w:customStyle="1" w:styleId="H4Char">
    <w:name w:val="H4 Char"/>
    <w:basedOn w:val="DefaultParagraphFont"/>
    <w:link w:val="H4"/>
    <w:rsid w:val="00913917"/>
    <w:rPr>
      <w:rFonts w:ascii="Calibri" w:hAnsi="Calibri"/>
      <w:caps/>
      <w:color w:val="002291"/>
    </w:rPr>
  </w:style>
  <w:style w:type="character" w:customStyle="1" w:styleId="Heading3Char">
    <w:name w:val="Heading 3 Char"/>
    <w:basedOn w:val="DefaultParagraphFont"/>
    <w:link w:val="Heading3"/>
    <w:rsid w:val="00913917"/>
    <w:rPr>
      <w:rFonts w:ascii="Calibri" w:hAnsi="Calibri"/>
      <w:b/>
      <w:sz w:val="18"/>
    </w:rPr>
  </w:style>
  <w:style w:type="character" w:customStyle="1" w:styleId="Heading4Char">
    <w:name w:val="Heading 4 Char"/>
    <w:basedOn w:val="Heading3Char"/>
    <w:link w:val="Heading4"/>
    <w:rsid w:val="00913917"/>
    <w:rPr>
      <w:i/>
    </w:rPr>
  </w:style>
  <w:style w:type="paragraph" w:styleId="BodyText3">
    <w:name w:val="Body Text 3"/>
    <w:basedOn w:val="Normal"/>
    <w:link w:val="BodyText3Char"/>
    <w:rsid w:val="00204E88"/>
    <w:pPr>
      <w:spacing w:after="120"/>
    </w:pPr>
  </w:style>
  <w:style w:type="character" w:customStyle="1" w:styleId="BodyText3Char">
    <w:name w:val="Body Text 3 Char"/>
    <w:basedOn w:val="DefaultParagraphFont"/>
    <w:link w:val="BodyText3"/>
    <w:rsid w:val="00204E88"/>
    <w:rPr>
      <w:rFonts w:ascii="Calibri" w:hAnsi="Calibri"/>
      <w:sz w:val="18"/>
    </w:rPr>
  </w:style>
  <w:style w:type="paragraph" w:customStyle="1" w:styleId="Bullets">
    <w:name w:val="Bullets"/>
    <w:basedOn w:val="Normal"/>
    <w:rsid w:val="00204E88"/>
    <w:pPr>
      <w:spacing w:before="40"/>
      <w:jc w:val="left"/>
    </w:pPr>
    <w:rPr>
      <w:rFonts w:ascii="Times New Roman" w:hAnsi="Times New Roman"/>
      <w:sz w:val="22"/>
    </w:rPr>
  </w:style>
  <w:style w:type="character" w:styleId="FollowedHyperlink">
    <w:name w:val="FollowedHyperlink"/>
    <w:basedOn w:val="DefaultParagraphFont"/>
    <w:rsid w:val="00204E88"/>
    <w:rPr>
      <w:color w:val="800080"/>
      <w:u w:val="single"/>
    </w:rPr>
  </w:style>
  <w:style w:type="paragraph" w:customStyle="1" w:styleId="H4Blue">
    <w:name w:val="H4Blue"/>
    <w:basedOn w:val="H4"/>
    <w:qFormat/>
    <w:rsid w:val="00204E88"/>
    <w:rPr>
      <w:color w:val="002D86"/>
    </w:rPr>
  </w:style>
  <w:style w:type="paragraph" w:customStyle="1" w:styleId="Heading2Green">
    <w:name w:val="Heading2Green"/>
    <w:basedOn w:val="Heading2"/>
    <w:qFormat/>
    <w:rsid w:val="00204E88"/>
    <w:rPr>
      <w:b w:val="0"/>
      <w:color w:val="006600"/>
    </w:rPr>
  </w:style>
  <w:style w:type="character" w:styleId="IntenseEmphasis">
    <w:name w:val="Intense Emphasis"/>
    <w:basedOn w:val="DefaultParagraphFont"/>
    <w:uiPriority w:val="21"/>
    <w:qFormat/>
    <w:rsid w:val="00204E88"/>
    <w:rPr>
      <w:b/>
      <w:bCs/>
      <w:i/>
      <w:iCs/>
      <w:color w:val="4F81BD"/>
    </w:rPr>
  </w:style>
  <w:style w:type="paragraph" w:styleId="NormalWeb">
    <w:name w:val="Normal (Web)"/>
    <w:basedOn w:val="Normal"/>
    <w:rsid w:val="00204E88"/>
    <w:pPr>
      <w:spacing w:before="100" w:beforeAutospacing="1" w:after="100" w:afterAutospacing="1"/>
      <w:jc w:val="left"/>
    </w:pPr>
    <w:rPr>
      <w:rFonts w:ascii="Times New Roman" w:hAnsi="Times New Roman"/>
      <w:sz w:val="24"/>
      <w:szCs w:val="24"/>
    </w:rPr>
  </w:style>
  <w:style w:type="character" w:styleId="Strong">
    <w:name w:val="Strong"/>
    <w:basedOn w:val="DefaultParagraphFont"/>
    <w:qFormat/>
    <w:rsid w:val="00204E88"/>
    <w:rPr>
      <w:b/>
      <w:bCs/>
    </w:rPr>
  </w:style>
  <w:style w:type="paragraph" w:customStyle="1" w:styleId="StyleH1Left">
    <w:name w:val="Style H1 + Left"/>
    <w:basedOn w:val="H1"/>
    <w:rsid w:val="00204E88"/>
    <w:pPr>
      <w:jc w:val="left"/>
    </w:pPr>
    <w:rPr>
      <w:color w:val="005400"/>
    </w:rPr>
  </w:style>
  <w:style w:type="paragraph" w:customStyle="1" w:styleId="StyleHeading4">
    <w:name w:val="Style Heading 4 +"/>
    <w:basedOn w:val="Heading4"/>
    <w:rsid w:val="00204E88"/>
    <w:rPr>
      <w:bCs/>
    </w:rPr>
  </w:style>
  <w:style w:type="paragraph" w:styleId="TOC1">
    <w:name w:val="toc 1"/>
    <w:basedOn w:val="Normal"/>
    <w:next w:val="Normal"/>
    <w:autoRedefine/>
    <w:rsid w:val="00204E88"/>
    <w:rPr>
      <w:rFonts w:ascii="Verdana" w:hAnsi="Verdana"/>
    </w:rPr>
  </w:style>
  <w:style w:type="paragraph" w:styleId="ListParagraph">
    <w:name w:val="List Paragraph"/>
    <w:basedOn w:val="Normal"/>
    <w:uiPriority w:val="34"/>
    <w:qFormat/>
    <w:rsid w:val="0099258E"/>
    <w:pPr>
      <w:ind w:left="720"/>
      <w:contextualSpacing/>
    </w:pPr>
  </w:style>
  <w:style w:type="character" w:customStyle="1" w:styleId="Heading2Char">
    <w:name w:val="Heading 2 Char"/>
    <w:basedOn w:val="DefaultParagraphFont"/>
    <w:link w:val="Heading2"/>
    <w:rsid w:val="00BE595B"/>
    <w:rPr>
      <w:rFonts w:ascii="Calibri" w:hAnsi="Calibri"/>
      <w:b/>
      <w:i/>
      <w:color w:val="002D86"/>
    </w:rPr>
  </w:style>
  <w:style w:type="character" w:customStyle="1" w:styleId="HeaderChar">
    <w:name w:val="Header Char"/>
    <w:basedOn w:val="DefaultParagraphFont"/>
    <w:link w:val="Header"/>
    <w:uiPriority w:val="99"/>
    <w:rsid w:val="00BE595B"/>
    <w:rPr>
      <w:rFonts w:ascii="Calibri" w:hAnsi="Calibri"/>
      <w:sz w:val="18"/>
    </w:rPr>
  </w:style>
  <w:style w:type="character" w:customStyle="1" w:styleId="CommentTextChar">
    <w:name w:val="Comment Text Char"/>
    <w:basedOn w:val="DefaultParagraphFont"/>
    <w:link w:val="CommentText"/>
    <w:semiHidden/>
    <w:rsid w:val="00C45F63"/>
    <w:rPr>
      <w:rFonts w:ascii="Calibri" w:hAnsi="Calibri"/>
    </w:rPr>
  </w:style>
  <w:style w:type="character" w:customStyle="1" w:styleId="Heading1Char">
    <w:name w:val="Heading 1 Char"/>
    <w:basedOn w:val="DefaultParagraphFont"/>
    <w:link w:val="Heading1"/>
    <w:rsid w:val="0023604B"/>
    <w:rPr>
      <w:rFonts w:ascii="Calibri" w:hAnsi="Calibri"/>
      <w:caps/>
      <w:noProof/>
      <w:color w:val="002D86"/>
      <w:kern w:val="28"/>
      <w:sz w:val="40"/>
    </w:rPr>
  </w:style>
</w:styles>
</file>

<file path=word/webSettings.xml><?xml version="1.0" encoding="utf-8"?>
<w:webSettings xmlns:r="http://schemas.openxmlformats.org/officeDocument/2006/relationships" xmlns:w="http://schemas.openxmlformats.org/wordprocessingml/2006/main">
  <w:divs>
    <w:div w:id="49886854">
      <w:bodyDiv w:val="1"/>
      <w:marLeft w:val="0"/>
      <w:marRight w:val="0"/>
      <w:marTop w:val="0"/>
      <w:marBottom w:val="0"/>
      <w:divBdr>
        <w:top w:val="none" w:sz="0" w:space="0" w:color="auto"/>
        <w:left w:val="none" w:sz="0" w:space="0" w:color="auto"/>
        <w:bottom w:val="none" w:sz="0" w:space="0" w:color="auto"/>
        <w:right w:val="none" w:sz="0" w:space="0" w:color="auto"/>
      </w:divBdr>
    </w:div>
    <w:div w:id="68118179">
      <w:bodyDiv w:val="1"/>
      <w:marLeft w:val="0"/>
      <w:marRight w:val="0"/>
      <w:marTop w:val="0"/>
      <w:marBottom w:val="0"/>
      <w:divBdr>
        <w:top w:val="none" w:sz="0" w:space="0" w:color="auto"/>
        <w:left w:val="none" w:sz="0" w:space="0" w:color="auto"/>
        <w:bottom w:val="none" w:sz="0" w:space="0" w:color="auto"/>
        <w:right w:val="none" w:sz="0" w:space="0" w:color="auto"/>
      </w:divBdr>
    </w:div>
    <w:div w:id="175972127">
      <w:bodyDiv w:val="1"/>
      <w:marLeft w:val="0"/>
      <w:marRight w:val="0"/>
      <w:marTop w:val="0"/>
      <w:marBottom w:val="0"/>
      <w:divBdr>
        <w:top w:val="none" w:sz="0" w:space="0" w:color="auto"/>
        <w:left w:val="none" w:sz="0" w:space="0" w:color="auto"/>
        <w:bottom w:val="none" w:sz="0" w:space="0" w:color="auto"/>
        <w:right w:val="none" w:sz="0" w:space="0" w:color="auto"/>
      </w:divBdr>
    </w:div>
    <w:div w:id="284312339">
      <w:bodyDiv w:val="1"/>
      <w:marLeft w:val="0"/>
      <w:marRight w:val="0"/>
      <w:marTop w:val="0"/>
      <w:marBottom w:val="0"/>
      <w:divBdr>
        <w:top w:val="none" w:sz="0" w:space="0" w:color="auto"/>
        <w:left w:val="none" w:sz="0" w:space="0" w:color="auto"/>
        <w:bottom w:val="none" w:sz="0" w:space="0" w:color="auto"/>
        <w:right w:val="none" w:sz="0" w:space="0" w:color="auto"/>
      </w:divBdr>
    </w:div>
    <w:div w:id="329912783">
      <w:bodyDiv w:val="1"/>
      <w:marLeft w:val="0"/>
      <w:marRight w:val="0"/>
      <w:marTop w:val="0"/>
      <w:marBottom w:val="0"/>
      <w:divBdr>
        <w:top w:val="none" w:sz="0" w:space="0" w:color="auto"/>
        <w:left w:val="none" w:sz="0" w:space="0" w:color="auto"/>
        <w:bottom w:val="none" w:sz="0" w:space="0" w:color="auto"/>
        <w:right w:val="none" w:sz="0" w:space="0" w:color="auto"/>
      </w:divBdr>
    </w:div>
    <w:div w:id="351810808">
      <w:bodyDiv w:val="1"/>
      <w:marLeft w:val="0"/>
      <w:marRight w:val="0"/>
      <w:marTop w:val="0"/>
      <w:marBottom w:val="0"/>
      <w:divBdr>
        <w:top w:val="none" w:sz="0" w:space="0" w:color="auto"/>
        <w:left w:val="none" w:sz="0" w:space="0" w:color="auto"/>
        <w:bottom w:val="none" w:sz="0" w:space="0" w:color="auto"/>
        <w:right w:val="none" w:sz="0" w:space="0" w:color="auto"/>
      </w:divBdr>
    </w:div>
    <w:div w:id="392892988">
      <w:bodyDiv w:val="1"/>
      <w:marLeft w:val="0"/>
      <w:marRight w:val="0"/>
      <w:marTop w:val="0"/>
      <w:marBottom w:val="0"/>
      <w:divBdr>
        <w:top w:val="none" w:sz="0" w:space="0" w:color="auto"/>
        <w:left w:val="none" w:sz="0" w:space="0" w:color="auto"/>
        <w:bottom w:val="none" w:sz="0" w:space="0" w:color="auto"/>
        <w:right w:val="none" w:sz="0" w:space="0" w:color="auto"/>
      </w:divBdr>
    </w:div>
    <w:div w:id="398214552">
      <w:bodyDiv w:val="1"/>
      <w:marLeft w:val="0"/>
      <w:marRight w:val="0"/>
      <w:marTop w:val="0"/>
      <w:marBottom w:val="0"/>
      <w:divBdr>
        <w:top w:val="none" w:sz="0" w:space="0" w:color="auto"/>
        <w:left w:val="none" w:sz="0" w:space="0" w:color="auto"/>
        <w:bottom w:val="none" w:sz="0" w:space="0" w:color="auto"/>
        <w:right w:val="none" w:sz="0" w:space="0" w:color="auto"/>
      </w:divBdr>
    </w:div>
    <w:div w:id="428698465">
      <w:bodyDiv w:val="1"/>
      <w:marLeft w:val="0"/>
      <w:marRight w:val="0"/>
      <w:marTop w:val="0"/>
      <w:marBottom w:val="0"/>
      <w:divBdr>
        <w:top w:val="none" w:sz="0" w:space="0" w:color="auto"/>
        <w:left w:val="none" w:sz="0" w:space="0" w:color="auto"/>
        <w:bottom w:val="none" w:sz="0" w:space="0" w:color="auto"/>
        <w:right w:val="none" w:sz="0" w:space="0" w:color="auto"/>
      </w:divBdr>
    </w:div>
    <w:div w:id="516383321">
      <w:bodyDiv w:val="1"/>
      <w:marLeft w:val="0"/>
      <w:marRight w:val="0"/>
      <w:marTop w:val="0"/>
      <w:marBottom w:val="0"/>
      <w:divBdr>
        <w:top w:val="none" w:sz="0" w:space="0" w:color="auto"/>
        <w:left w:val="none" w:sz="0" w:space="0" w:color="auto"/>
        <w:bottom w:val="none" w:sz="0" w:space="0" w:color="auto"/>
        <w:right w:val="none" w:sz="0" w:space="0" w:color="auto"/>
      </w:divBdr>
    </w:div>
    <w:div w:id="583104637">
      <w:bodyDiv w:val="1"/>
      <w:marLeft w:val="0"/>
      <w:marRight w:val="0"/>
      <w:marTop w:val="0"/>
      <w:marBottom w:val="0"/>
      <w:divBdr>
        <w:top w:val="none" w:sz="0" w:space="0" w:color="auto"/>
        <w:left w:val="none" w:sz="0" w:space="0" w:color="auto"/>
        <w:bottom w:val="none" w:sz="0" w:space="0" w:color="auto"/>
        <w:right w:val="none" w:sz="0" w:space="0" w:color="auto"/>
      </w:divBdr>
    </w:div>
    <w:div w:id="620187708">
      <w:bodyDiv w:val="1"/>
      <w:marLeft w:val="0"/>
      <w:marRight w:val="0"/>
      <w:marTop w:val="0"/>
      <w:marBottom w:val="0"/>
      <w:divBdr>
        <w:top w:val="none" w:sz="0" w:space="0" w:color="auto"/>
        <w:left w:val="none" w:sz="0" w:space="0" w:color="auto"/>
        <w:bottom w:val="none" w:sz="0" w:space="0" w:color="auto"/>
        <w:right w:val="none" w:sz="0" w:space="0" w:color="auto"/>
      </w:divBdr>
    </w:div>
    <w:div w:id="636301528">
      <w:bodyDiv w:val="1"/>
      <w:marLeft w:val="0"/>
      <w:marRight w:val="0"/>
      <w:marTop w:val="0"/>
      <w:marBottom w:val="0"/>
      <w:divBdr>
        <w:top w:val="none" w:sz="0" w:space="0" w:color="auto"/>
        <w:left w:val="none" w:sz="0" w:space="0" w:color="auto"/>
        <w:bottom w:val="none" w:sz="0" w:space="0" w:color="auto"/>
        <w:right w:val="none" w:sz="0" w:space="0" w:color="auto"/>
      </w:divBdr>
    </w:div>
    <w:div w:id="636497413">
      <w:bodyDiv w:val="1"/>
      <w:marLeft w:val="0"/>
      <w:marRight w:val="0"/>
      <w:marTop w:val="0"/>
      <w:marBottom w:val="0"/>
      <w:divBdr>
        <w:top w:val="none" w:sz="0" w:space="0" w:color="auto"/>
        <w:left w:val="none" w:sz="0" w:space="0" w:color="auto"/>
        <w:bottom w:val="none" w:sz="0" w:space="0" w:color="auto"/>
        <w:right w:val="none" w:sz="0" w:space="0" w:color="auto"/>
      </w:divBdr>
    </w:div>
    <w:div w:id="655033361">
      <w:bodyDiv w:val="1"/>
      <w:marLeft w:val="0"/>
      <w:marRight w:val="0"/>
      <w:marTop w:val="0"/>
      <w:marBottom w:val="0"/>
      <w:divBdr>
        <w:top w:val="none" w:sz="0" w:space="0" w:color="auto"/>
        <w:left w:val="none" w:sz="0" w:space="0" w:color="auto"/>
        <w:bottom w:val="none" w:sz="0" w:space="0" w:color="auto"/>
        <w:right w:val="none" w:sz="0" w:space="0" w:color="auto"/>
      </w:divBdr>
    </w:div>
    <w:div w:id="688718748">
      <w:bodyDiv w:val="1"/>
      <w:marLeft w:val="0"/>
      <w:marRight w:val="0"/>
      <w:marTop w:val="0"/>
      <w:marBottom w:val="0"/>
      <w:divBdr>
        <w:top w:val="none" w:sz="0" w:space="0" w:color="auto"/>
        <w:left w:val="none" w:sz="0" w:space="0" w:color="auto"/>
        <w:bottom w:val="none" w:sz="0" w:space="0" w:color="auto"/>
        <w:right w:val="none" w:sz="0" w:space="0" w:color="auto"/>
      </w:divBdr>
    </w:div>
    <w:div w:id="815024623">
      <w:bodyDiv w:val="1"/>
      <w:marLeft w:val="0"/>
      <w:marRight w:val="0"/>
      <w:marTop w:val="0"/>
      <w:marBottom w:val="0"/>
      <w:divBdr>
        <w:top w:val="none" w:sz="0" w:space="0" w:color="auto"/>
        <w:left w:val="none" w:sz="0" w:space="0" w:color="auto"/>
        <w:bottom w:val="none" w:sz="0" w:space="0" w:color="auto"/>
        <w:right w:val="none" w:sz="0" w:space="0" w:color="auto"/>
      </w:divBdr>
    </w:div>
    <w:div w:id="826478614">
      <w:bodyDiv w:val="1"/>
      <w:marLeft w:val="0"/>
      <w:marRight w:val="0"/>
      <w:marTop w:val="0"/>
      <w:marBottom w:val="0"/>
      <w:divBdr>
        <w:top w:val="none" w:sz="0" w:space="0" w:color="auto"/>
        <w:left w:val="none" w:sz="0" w:space="0" w:color="auto"/>
        <w:bottom w:val="none" w:sz="0" w:space="0" w:color="auto"/>
        <w:right w:val="none" w:sz="0" w:space="0" w:color="auto"/>
      </w:divBdr>
    </w:div>
    <w:div w:id="830952738">
      <w:bodyDiv w:val="1"/>
      <w:marLeft w:val="0"/>
      <w:marRight w:val="0"/>
      <w:marTop w:val="0"/>
      <w:marBottom w:val="0"/>
      <w:divBdr>
        <w:top w:val="none" w:sz="0" w:space="0" w:color="auto"/>
        <w:left w:val="none" w:sz="0" w:space="0" w:color="auto"/>
        <w:bottom w:val="none" w:sz="0" w:space="0" w:color="auto"/>
        <w:right w:val="none" w:sz="0" w:space="0" w:color="auto"/>
      </w:divBdr>
    </w:div>
    <w:div w:id="866527654">
      <w:bodyDiv w:val="1"/>
      <w:marLeft w:val="0"/>
      <w:marRight w:val="0"/>
      <w:marTop w:val="0"/>
      <w:marBottom w:val="0"/>
      <w:divBdr>
        <w:top w:val="none" w:sz="0" w:space="0" w:color="auto"/>
        <w:left w:val="none" w:sz="0" w:space="0" w:color="auto"/>
        <w:bottom w:val="none" w:sz="0" w:space="0" w:color="auto"/>
        <w:right w:val="none" w:sz="0" w:space="0" w:color="auto"/>
      </w:divBdr>
    </w:div>
    <w:div w:id="890505171">
      <w:bodyDiv w:val="1"/>
      <w:marLeft w:val="0"/>
      <w:marRight w:val="0"/>
      <w:marTop w:val="0"/>
      <w:marBottom w:val="0"/>
      <w:divBdr>
        <w:top w:val="none" w:sz="0" w:space="0" w:color="auto"/>
        <w:left w:val="none" w:sz="0" w:space="0" w:color="auto"/>
        <w:bottom w:val="none" w:sz="0" w:space="0" w:color="auto"/>
        <w:right w:val="none" w:sz="0" w:space="0" w:color="auto"/>
      </w:divBdr>
    </w:div>
    <w:div w:id="904993913">
      <w:bodyDiv w:val="1"/>
      <w:marLeft w:val="0"/>
      <w:marRight w:val="0"/>
      <w:marTop w:val="0"/>
      <w:marBottom w:val="0"/>
      <w:divBdr>
        <w:top w:val="none" w:sz="0" w:space="0" w:color="auto"/>
        <w:left w:val="none" w:sz="0" w:space="0" w:color="auto"/>
        <w:bottom w:val="none" w:sz="0" w:space="0" w:color="auto"/>
        <w:right w:val="none" w:sz="0" w:space="0" w:color="auto"/>
      </w:divBdr>
    </w:div>
    <w:div w:id="933823777">
      <w:bodyDiv w:val="1"/>
      <w:marLeft w:val="0"/>
      <w:marRight w:val="0"/>
      <w:marTop w:val="0"/>
      <w:marBottom w:val="0"/>
      <w:divBdr>
        <w:top w:val="none" w:sz="0" w:space="0" w:color="auto"/>
        <w:left w:val="none" w:sz="0" w:space="0" w:color="auto"/>
        <w:bottom w:val="none" w:sz="0" w:space="0" w:color="auto"/>
        <w:right w:val="none" w:sz="0" w:space="0" w:color="auto"/>
      </w:divBdr>
    </w:div>
    <w:div w:id="968165434">
      <w:bodyDiv w:val="1"/>
      <w:marLeft w:val="0"/>
      <w:marRight w:val="0"/>
      <w:marTop w:val="0"/>
      <w:marBottom w:val="0"/>
      <w:divBdr>
        <w:top w:val="none" w:sz="0" w:space="0" w:color="auto"/>
        <w:left w:val="none" w:sz="0" w:space="0" w:color="auto"/>
        <w:bottom w:val="none" w:sz="0" w:space="0" w:color="auto"/>
        <w:right w:val="none" w:sz="0" w:space="0" w:color="auto"/>
      </w:divBdr>
    </w:div>
    <w:div w:id="1019352368">
      <w:bodyDiv w:val="1"/>
      <w:marLeft w:val="0"/>
      <w:marRight w:val="0"/>
      <w:marTop w:val="0"/>
      <w:marBottom w:val="0"/>
      <w:divBdr>
        <w:top w:val="none" w:sz="0" w:space="0" w:color="auto"/>
        <w:left w:val="none" w:sz="0" w:space="0" w:color="auto"/>
        <w:bottom w:val="none" w:sz="0" w:space="0" w:color="auto"/>
        <w:right w:val="none" w:sz="0" w:space="0" w:color="auto"/>
      </w:divBdr>
    </w:div>
    <w:div w:id="1054891281">
      <w:bodyDiv w:val="1"/>
      <w:marLeft w:val="0"/>
      <w:marRight w:val="0"/>
      <w:marTop w:val="0"/>
      <w:marBottom w:val="0"/>
      <w:divBdr>
        <w:top w:val="none" w:sz="0" w:space="0" w:color="auto"/>
        <w:left w:val="none" w:sz="0" w:space="0" w:color="auto"/>
        <w:bottom w:val="none" w:sz="0" w:space="0" w:color="auto"/>
        <w:right w:val="none" w:sz="0" w:space="0" w:color="auto"/>
      </w:divBdr>
    </w:div>
    <w:div w:id="1068189430">
      <w:bodyDiv w:val="1"/>
      <w:marLeft w:val="0"/>
      <w:marRight w:val="0"/>
      <w:marTop w:val="0"/>
      <w:marBottom w:val="0"/>
      <w:divBdr>
        <w:top w:val="none" w:sz="0" w:space="0" w:color="auto"/>
        <w:left w:val="none" w:sz="0" w:space="0" w:color="auto"/>
        <w:bottom w:val="none" w:sz="0" w:space="0" w:color="auto"/>
        <w:right w:val="none" w:sz="0" w:space="0" w:color="auto"/>
      </w:divBdr>
    </w:div>
    <w:div w:id="1071923241">
      <w:bodyDiv w:val="1"/>
      <w:marLeft w:val="0"/>
      <w:marRight w:val="0"/>
      <w:marTop w:val="0"/>
      <w:marBottom w:val="0"/>
      <w:divBdr>
        <w:top w:val="none" w:sz="0" w:space="0" w:color="auto"/>
        <w:left w:val="none" w:sz="0" w:space="0" w:color="auto"/>
        <w:bottom w:val="none" w:sz="0" w:space="0" w:color="auto"/>
        <w:right w:val="none" w:sz="0" w:space="0" w:color="auto"/>
      </w:divBdr>
    </w:div>
    <w:div w:id="1107237674">
      <w:bodyDiv w:val="1"/>
      <w:marLeft w:val="0"/>
      <w:marRight w:val="0"/>
      <w:marTop w:val="0"/>
      <w:marBottom w:val="0"/>
      <w:divBdr>
        <w:top w:val="none" w:sz="0" w:space="0" w:color="auto"/>
        <w:left w:val="none" w:sz="0" w:space="0" w:color="auto"/>
        <w:bottom w:val="none" w:sz="0" w:space="0" w:color="auto"/>
        <w:right w:val="none" w:sz="0" w:space="0" w:color="auto"/>
      </w:divBdr>
    </w:div>
    <w:div w:id="1136067565">
      <w:bodyDiv w:val="1"/>
      <w:marLeft w:val="0"/>
      <w:marRight w:val="0"/>
      <w:marTop w:val="0"/>
      <w:marBottom w:val="0"/>
      <w:divBdr>
        <w:top w:val="none" w:sz="0" w:space="0" w:color="auto"/>
        <w:left w:val="none" w:sz="0" w:space="0" w:color="auto"/>
        <w:bottom w:val="none" w:sz="0" w:space="0" w:color="auto"/>
        <w:right w:val="none" w:sz="0" w:space="0" w:color="auto"/>
      </w:divBdr>
    </w:div>
    <w:div w:id="1202086479">
      <w:bodyDiv w:val="1"/>
      <w:marLeft w:val="0"/>
      <w:marRight w:val="0"/>
      <w:marTop w:val="0"/>
      <w:marBottom w:val="0"/>
      <w:divBdr>
        <w:top w:val="none" w:sz="0" w:space="0" w:color="auto"/>
        <w:left w:val="none" w:sz="0" w:space="0" w:color="auto"/>
        <w:bottom w:val="none" w:sz="0" w:space="0" w:color="auto"/>
        <w:right w:val="none" w:sz="0" w:space="0" w:color="auto"/>
      </w:divBdr>
    </w:div>
    <w:div w:id="1216284001">
      <w:bodyDiv w:val="1"/>
      <w:marLeft w:val="0"/>
      <w:marRight w:val="0"/>
      <w:marTop w:val="0"/>
      <w:marBottom w:val="0"/>
      <w:divBdr>
        <w:top w:val="none" w:sz="0" w:space="0" w:color="auto"/>
        <w:left w:val="none" w:sz="0" w:space="0" w:color="auto"/>
        <w:bottom w:val="none" w:sz="0" w:space="0" w:color="auto"/>
        <w:right w:val="none" w:sz="0" w:space="0" w:color="auto"/>
      </w:divBdr>
    </w:div>
    <w:div w:id="1249071522">
      <w:bodyDiv w:val="1"/>
      <w:marLeft w:val="0"/>
      <w:marRight w:val="0"/>
      <w:marTop w:val="0"/>
      <w:marBottom w:val="0"/>
      <w:divBdr>
        <w:top w:val="none" w:sz="0" w:space="0" w:color="auto"/>
        <w:left w:val="none" w:sz="0" w:space="0" w:color="auto"/>
        <w:bottom w:val="none" w:sz="0" w:space="0" w:color="auto"/>
        <w:right w:val="none" w:sz="0" w:space="0" w:color="auto"/>
      </w:divBdr>
    </w:div>
    <w:div w:id="1415665680">
      <w:bodyDiv w:val="1"/>
      <w:marLeft w:val="0"/>
      <w:marRight w:val="0"/>
      <w:marTop w:val="0"/>
      <w:marBottom w:val="0"/>
      <w:divBdr>
        <w:top w:val="none" w:sz="0" w:space="0" w:color="auto"/>
        <w:left w:val="none" w:sz="0" w:space="0" w:color="auto"/>
        <w:bottom w:val="none" w:sz="0" w:space="0" w:color="auto"/>
        <w:right w:val="none" w:sz="0" w:space="0" w:color="auto"/>
      </w:divBdr>
    </w:div>
    <w:div w:id="154012740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707876014">
      <w:bodyDiv w:val="1"/>
      <w:marLeft w:val="0"/>
      <w:marRight w:val="0"/>
      <w:marTop w:val="0"/>
      <w:marBottom w:val="0"/>
      <w:divBdr>
        <w:top w:val="none" w:sz="0" w:space="0" w:color="auto"/>
        <w:left w:val="none" w:sz="0" w:space="0" w:color="auto"/>
        <w:bottom w:val="none" w:sz="0" w:space="0" w:color="auto"/>
        <w:right w:val="none" w:sz="0" w:space="0" w:color="auto"/>
      </w:divBdr>
    </w:div>
    <w:div w:id="1978757622">
      <w:bodyDiv w:val="1"/>
      <w:marLeft w:val="0"/>
      <w:marRight w:val="0"/>
      <w:marTop w:val="0"/>
      <w:marBottom w:val="0"/>
      <w:divBdr>
        <w:top w:val="none" w:sz="0" w:space="0" w:color="auto"/>
        <w:left w:val="none" w:sz="0" w:space="0" w:color="auto"/>
        <w:bottom w:val="none" w:sz="0" w:space="0" w:color="auto"/>
        <w:right w:val="none" w:sz="0" w:space="0" w:color="auto"/>
      </w:divBdr>
    </w:div>
    <w:div w:id="2067365805">
      <w:bodyDiv w:val="1"/>
      <w:marLeft w:val="0"/>
      <w:marRight w:val="0"/>
      <w:marTop w:val="0"/>
      <w:marBottom w:val="0"/>
      <w:divBdr>
        <w:top w:val="none" w:sz="0" w:space="0" w:color="auto"/>
        <w:left w:val="none" w:sz="0" w:space="0" w:color="auto"/>
        <w:bottom w:val="none" w:sz="0" w:space="0" w:color="auto"/>
        <w:right w:val="none" w:sz="0" w:space="0" w:color="auto"/>
      </w:divBdr>
    </w:div>
    <w:div w:id="21029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state.ct.us./foi/" TargetMode="External"/><Relationship Id="rId4" Type="http://schemas.openxmlformats.org/officeDocument/2006/relationships/webSettings" Target="webSettings.xml"/><Relationship Id="rId9" Type="http://schemas.openxmlformats.org/officeDocument/2006/relationships/hyperlink" Target="http://www.ct.gov/f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SEC0000X State Elections Enforcement Commission</vt:lpstr>
    </vt:vector>
  </TitlesOfParts>
  <Company>State of Connecticut</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SEC0000X State Elections Enforcement Commission</dc:title>
  <dc:creator>Mary Foran</dc:creator>
  <cp:lastModifiedBy>Linda Ecklund</cp:lastModifiedBy>
  <cp:revision>18</cp:revision>
  <cp:lastPrinted>2013-01-22T15:50:00Z</cp:lastPrinted>
  <dcterms:created xsi:type="dcterms:W3CDTF">2013-01-07T19:55:00Z</dcterms:created>
  <dcterms:modified xsi:type="dcterms:W3CDTF">2013-02-04T14:47:00Z</dcterms:modified>
</cp:coreProperties>
</file>