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12" w:rsidRPr="002D0B2C" w:rsidRDefault="00637412" w:rsidP="00661F00">
      <w:pPr>
        <w:pStyle w:val="H1"/>
        <w:rPr>
          <w:rFonts w:ascii="Calibri" w:hAnsi="Calibri"/>
        </w:rPr>
      </w:pPr>
      <w:r w:rsidRPr="002D0B2C">
        <w:rPr>
          <w:rFonts w:ascii="Calibri" w:hAnsi="Calibri"/>
        </w:rPr>
        <w:t>Department of Economic &amp; Community Development</w:t>
      </w:r>
    </w:p>
    <w:p w:rsidR="00637412" w:rsidRPr="002D0B2C" w:rsidRDefault="00637412" w:rsidP="00661F00">
      <w:pPr>
        <w:pStyle w:val="H1"/>
        <w:rPr>
          <w:rFonts w:ascii="Calibri" w:hAnsi="Calibri"/>
        </w:rPr>
        <w:sectPr w:rsidR="00637412" w:rsidRPr="002D0B2C" w:rsidSect="00F13BA6">
          <w:headerReference w:type="even" r:id="rId8"/>
          <w:headerReference w:type="default" r:id="rId9"/>
          <w:footerReference w:type="even" r:id="rId10"/>
          <w:footerReference w:type="default" r:id="rId11"/>
          <w:type w:val="continuous"/>
          <w:pgSz w:w="12240" w:h="15840" w:code="1"/>
          <w:pgMar w:top="864" w:right="720" w:bottom="1152" w:left="720" w:header="432" w:footer="288" w:gutter="216"/>
          <w:pgNumType w:start="317"/>
          <w:cols w:space="720"/>
          <w:noEndnote/>
        </w:sectPr>
      </w:pPr>
    </w:p>
    <w:p w:rsidR="00FD6353" w:rsidRPr="002D0B2C" w:rsidRDefault="0057571E" w:rsidP="00661F00">
      <w:pPr>
        <w:pStyle w:val="H2"/>
        <w:sectPr w:rsidR="00FD6353" w:rsidRPr="002D0B2C" w:rsidSect="00F13BA6">
          <w:type w:val="continuous"/>
          <w:pgSz w:w="12240" w:h="15840" w:code="1"/>
          <w:pgMar w:top="864" w:right="720" w:bottom="1152" w:left="720" w:header="432" w:footer="288" w:gutter="216"/>
          <w:cols w:space="720"/>
          <w:noEndnote/>
        </w:sectPr>
      </w:pPr>
      <w:r w:rsidRPr="002D0B2C">
        <w:lastRenderedPageBreak/>
        <w:fldChar w:fldCharType="begin"/>
      </w:r>
      <w:r w:rsidR="00637412" w:rsidRPr="002D0B2C">
        <w:instrText xml:space="preserve">XE "Economic and Community Development, Department of" </w:instrText>
      </w:r>
      <w:r w:rsidRPr="002D0B2C">
        <w:fldChar w:fldCharType="end"/>
      </w:r>
      <w:r w:rsidR="00637412" w:rsidRPr="002D0B2C">
        <w:t>Agency Description</w:t>
      </w:r>
    </w:p>
    <w:p w:rsidR="008F1305" w:rsidRPr="002D0B2C" w:rsidRDefault="00A64B63" w:rsidP="008A219F">
      <w:pPr>
        <w:spacing w:before="0" w:after="80"/>
      </w:pPr>
      <w:r w:rsidRPr="002D0B2C">
        <w:lastRenderedPageBreak/>
        <w:t xml:space="preserve">The Department of Economic and Community Development (DECD) </w:t>
      </w:r>
      <w:r w:rsidR="008F1305" w:rsidRPr="002D0B2C">
        <w:t xml:space="preserve">is </w:t>
      </w:r>
      <w:r w:rsidR="008F1305" w:rsidRPr="002D0B2C">
        <w:rPr>
          <w:color w:val="000000"/>
        </w:rPr>
        <w:t xml:space="preserve">the lead state agency responsible for </w:t>
      </w:r>
      <w:r w:rsidR="008F1305" w:rsidRPr="002D0B2C">
        <w:t>strengthening Connecticut’s competitive position in the new economy.  It does so by developing and implementing strategies to attract and retain businesses and jobs, preserving and promoting cultural and tourism assets, ensuring quality housing, and revitalizing neighborhoods and communities.</w:t>
      </w:r>
    </w:p>
    <w:p w:rsidR="00A64B63" w:rsidRPr="002D0B2C" w:rsidRDefault="00A64B63" w:rsidP="008A219F">
      <w:pPr>
        <w:spacing w:before="0" w:after="80"/>
      </w:pPr>
      <w:r w:rsidRPr="002D0B2C">
        <w:t xml:space="preserve">DECD administers programs and policies to promote business, housing, community development and brownfield redevelopment, and is the state agency responsible for promoting economic growth.  </w:t>
      </w:r>
    </w:p>
    <w:p w:rsidR="00A64B63" w:rsidRPr="002D0B2C" w:rsidRDefault="00A64B63" w:rsidP="008A219F">
      <w:pPr>
        <w:spacing w:before="0" w:after="80"/>
      </w:pPr>
      <w:r w:rsidRPr="002D0B2C">
        <w:t xml:space="preserve">DECD promotes in-state business and economic development, as well as out-of-state business recruitment, through use of tax credits, financing, technical assistance, and enterprise zones. The department’s international staff is dedicated to attracting foreign direct investment to Connecticut and helping Connecticut companies take advantage of export opportunities in the global marketplace.  </w:t>
      </w:r>
    </w:p>
    <w:p w:rsidR="00593F6D" w:rsidRPr="002D0B2C" w:rsidRDefault="00A64B63" w:rsidP="008A219F">
      <w:pPr>
        <w:spacing w:before="0" w:after="80"/>
      </w:pPr>
      <w:r w:rsidRPr="002D0B2C">
        <w:lastRenderedPageBreak/>
        <w:t xml:space="preserve">DECD provides engineering, architectural and construction management services, as well as project oversight for large-scale real estate development, including industrial site development and brownfield redevelopment.  </w:t>
      </w:r>
    </w:p>
    <w:p w:rsidR="0041555A" w:rsidRPr="002D0B2C" w:rsidRDefault="0041555A" w:rsidP="008A219F">
      <w:pPr>
        <w:spacing w:before="0" w:after="80"/>
      </w:pPr>
      <w:r w:rsidRPr="002D0B2C">
        <w:rPr>
          <w:rFonts w:cs="Arial"/>
        </w:rPr>
        <w:t>The agency undertakes research and strategic planning activities and provides guidance on all economic, housing and community development matters; develops and implements economic, community and housing development policy; and conducts program evaluation, performance tracking and monitoring.</w:t>
      </w:r>
    </w:p>
    <w:p w:rsidR="00CE0620" w:rsidRPr="002D0B2C" w:rsidRDefault="00A64B63" w:rsidP="008A219F">
      <w:pPr>
        <w:spacing w:before="0" w:after="80"/>
      </w:pPr>
      <w:r w:rsidRPr="002D0B2C">
        <w:t>Additionally, DECD maintains a special focus on building strong neig</w:t>
      </w:r>
      <w:r w:rsidR="003A43CD" w:rsidRPr="002D0B2C">
        <w:t xml:space="preserve">hborhoods and providing quality </w:t>
      </w:r>
      <w:r w:rsidRPr="002D0B2C">
        <w:t>housing services.  The department promotes housing development through strategic investment, professional consultation, and program and policy development as well as provides municipalities and non-profits with financial and technical assistance for c</w:t>
      </w:r>
      <w:r w:rsidR="00F13BA6" w:rsidRPr="002D0B2C">
        <w:t>ommunity development activities</w:t>
      </w:r>
      <w:r w:rsidR="000E369E" w:rsidRPr="002D0B2C">
        <w:t>.</w:t>
      </w:r>
      <w:r w:rsidR="00F756B8" w:rsidRPr="002D0B2C">
        <w:t xml:space="preserve"> </w:t>
      </w:r>
    </w:p>
    <w:p w:rsidR="00637412" w:rsidRPr="002D0B2C" w:rsidRDefault="00637412" w:rsidP="00F756B8">
      <w:pPr>
        <w:sectPr w:rsidR="00637412" w:rsidRPr="002D0B2C" w:rsidSect="00F13BA6">
          <w:type w:val="continuous"/>
          <w:pgSz w:w="12240" w:h="15840" w:code="1"/>
          <w:pgMar w:top="864" w:right="720" w:bottom="1152" w:left="720" w:header="432" w:footer="288" w:gutter="216"/>
          <w:cols w:num="2" w:space="432"/>
          <w:noEndnote/>
        </w:sectPr>
      </w:pPr>
    </w:p>
    <w:p w:rsidR="00B22A0D" w:rsidRDefault="00B22A0D" w:rsidP="00B22A0D"/>
    <w:p w:rsidR="00833C5C" w:rsidRDefault="00833C5C" w:rsidP="00B22A0D">
      <w:r>
        <w:rPr>
          <w:rFonts w:eastAsiaTheme="minorHAnsi" w:cs="Calibri-BoldItalic"/>
          <w:b/>
          <w:bCs/>
          <w:i/>
          <w:iCs/>
          <w:color w:val="002D87"/>
          <w:szCs w:val="18"/>
        </w:rPr>
        <w:t>The programs that support housing in Connecticut are recommended for transfer to and consolidation within the Department of Housing in the Governor’s budget as part of his proposal to restructure and transform state government.</w:t>
      </w:r>
    </w:p>
    <w:p w:rsidR="005053C7" w:rsidRDefault="005053C7" w:rsidP="005053C7"/>
    <w:p w:rsidR="00F756B8" w:rsidRPr="002D0B2C" w:rsidRDefault="0057571E" w:rsidP="003C4C38">
      <w:pPr>
        <w:pStyle w:val="ProgramHead"/>
      </w:pPr>
      <w:r w:rsidRPr="002D0B2C">
        <w:fldChar w:fldCharType="begin"/>
      </w:r>
      <w:r w:rsidR="00F756B8" w:rsidRPr="002D0B2C">
        <w:instrText>XE "Ecd46000 72001"</w:instrText>
      </w:r>
      <w:r w:rsidRPr="002D0B2C">
        <w:fldChar w:fldCharType="end"/>
      </w:r>
      <w:r w:rsidR="00F756B8" w:rsidRPr="002D0B2C">
        <w:t>ECONOMIC DEVELOPMENT</w:t>
      </w:r>
    </w:p>
    <w:p w:rsidR="00F756B8" w:rsidRPr="002D0B2C" w:rsidRDefault="00F756B8" w:rsidP="003C4C38">
      <w:pPr>
        <w:pStyle w:val="ProgramHead"/>
        <w:rPr>
          <w:rStyle w:val="ProgramHeadChar"/>
          <w:sz w:val="16"/>
          <w:szCs w:val="16"/>
        </w:rPr>
        <w:sectPr w:rsidR="00F756B8" w:rsidRPr="002D0B2C" w:rsidSect="00F13BA6">
          <w:type w:val="continuous"/>
          <w:pgSz w:w="12240" w:h="15840" w:code="1"/>
          <w:pgMar w:top="864" w:right="720" w:bottom="1152" w:left="720" w:header="432" w:footer="288" w:gutter="216"/>
          <w:cols w:space="720"/>
          <w:noEndnote/>
        </w:sectPr>
      </w:pPr>
    </w:p>
    <w:p w:rsidR="00F756B8" w:rsidRPr="002D0B2C" w:rsidRDefault="00F756B8" w:rsidP="00AC1C37">
      <w:pPr>
        <w:pStyle w:val="Heading2"/>
        <w:spacing w:before="80" w:after="0"/>
      </w:pPr>
      <w:r w:rsidRPr="002D0B2C">
        <w:lastRenderedPageBreak/>
        <w:t>Statutory Reference</w:t>
      </w:r>
    </w:p>
    <w:p w:rsidR="00F756B8" w:rsidRPr="002D0B2C" w:rsidRDefault="008A219F" w:rsidP="00AC1C37">
      <w:pPr>
        <w:spacing w:before="0" w:line="240" w:lineRule="auto"/>
      </w:pPr>
      <w:r>
        <w:t xml:space="preserve">C.G.S. </w:t>
      </w:r>
      <w:r w:rsidR="003D738C" w:rsidRPr="002D0B2C">
        <w:t>Chapter</w:t>
      </w:r>
      <w:r w:rsidR="00622ECF" w:rsidRPr="002D0B2C">
        <w:t>s 578 and</w:t>
      </w:r>
      <w:r w:rsidR="003D738C" w:rsidRPr="002D0B2C">
        <w:t xml:space="preserve"> </w:t>
      </w:r>
      <w:r w:rsidR="00622ECF" w:rsidRPr="002D0B2C">
        <w:t xml:space="preserve">588l, </w:t>
      </w:r>
      <w:r w:rsidR="00224BA6">
        <w:t xml:space="preserve">Sections </w:t>
      </w:r>
      <w:r w:rsidR="00F756B8" w:rsidRPr="002D0B2C">
        <w:t xml:space="preserve">4-66c, </w:t>
      </w:r>
      <w:r w:rsidR="00622ECF" w:rsidRPr="002D0B2C">
        <w:t xml:space="preserve">12-81, </w:t>
      </w:r>
      <w:r w:rsidR="00F756B8" w:rsidRPr="002D0B2C">
        <w:t xml:space="preserve">22a-1a, </w:t>
      </w:r>
      <w:r w:rsidR="00622ECF" w:rsidRPr="002D0B2C">
        <w:t>38a-88a</w:t>
      </w:r>
      <w:r w:rsidR="004F428D" w:rsidRPr="002D0B2C">
        <w:t>, 11-1</w:t>
      </w:r>
      <w:r w:rsidR="006073DF">
        <w:t>.</w:t>
      </w:r>
    </w:p>
    <w:p w:rsidR="00F756B8" w:rsidRPr="002D0B2C" w:rsidRDefault="00F756B8" w:rsidP="00AC1C37">
      <w:pPr>
        <w:pStyle w:val="Heading2"/>
        <w:spacing w:before="80" w:after="0" w:line="240" w:lineRule="auto"/>
      </w:pPr>
      <w:r w:rsidRPr="002D0B2C">
        <w:t>Statement of Need and Program Objectives</w:t>
      </w:r>
    </w:p>
    <w:p w:rsidR="00F756B8" w:rsidRPr="002D0B2C" w:rsidRDefault="00F756B8" w:rsidP="00AC1C37">
      <w:pPr>
        <w:spacing w:before="0" w:line="240" w:lineRule="auto"/>
      </w:pPr>
      <w:r w:rsidRPr="002D0B2C">
        <w:t>The Economic Development program aims to maximize economic opportunities through the creation and retention of jobs, workforce development, business expansion, recruitment and retention, export assistance and foreign investment and the development and implementation of comprehensive long-term e</w:t>
      </w:r>
      <w:r w:rsidR="00A11F0D">
        <w:t>conomic development strategies.</w:t>
      </w:r>
      <w:r w:rsidRPr="002D0B2C">
        <w:t xml:space="preserve"> </w:t>
      </w:r>
      <w:r w:rsidRPr="002D0B2C">
        <w:rPr>
          <w:snapToGrid w:val="0"/>
          <w:color w:val="000000"/>
        </w:rPr>
        <w:t xml:space="preserve">In short, the objective of DECD’s economic development program is to ensure that economic opportunities exist and to create them when they do not. </w:t>
      </w:r>
    </w:p>
    <w:p w:rsidR="00F756B8" w:rsidRPr="002D0B2C" w:rsidRDefault="00F756B8" w:rsidP="00AC1C37">
      <w:pPr>
        <w:pStyle w:val="Heading2"/>
        <w:spacing w:before="80" w:after="0" w:line="240" w:lineRule="auto"/>
      </w:pPr>
      <w:r w:rsidRPr="002D0B2C">
        <w:t>Program Description</w:t>
      </w:r>
    </w:p>
    <w:p w:rsidR="00F756B8" w:rsidRPr="002D0B2C" w:rsidRDefault="00F756B8" w:rsidP="00F756B8">
      <w:r w:rsidRPr="002D0B2C">
        <w:t xml:space="preserve">DECD </w:t>
      </w:r>
      <w:r w:rsidR="003A020A" w:rsidRPr="002D0B2C">
        <w:t xml:space="preserve">utilizes </w:t>
      </w:r>
      <w:r w:rsidRPr="002D0B2C">
        <w:t>numerous state and federally funded economic development programs and services to address economic, business and workforce development issues and create employment, training, business expansion and infrastructure improvement opportunities.  Some of these programs and services are as follows:</w:t>
      </w:r>
    </w:p>
    <w:p w:rsidR="001E1539" w:rsidRDefault="001E1539" w:rsidP="00F756B8">
      <w:pPr>
        <w:numPr>
          <w:ilvl w:val="0"/>
          <w:numId w:val="35"/>
        </w:numPr>
      </w:pPr>
      <w:r>
        <w:t>Urban &amp; industrial s</w:t>
      </w:r>
      <w:r w:rsidR="00F756B8" w:rsidRPr="002D0B2C">
        <w:t xml:space="preserve">ites </w:t>
      </w:r>
      <w:r>
        <w:t>r</w:t>
      </w:r>
      <w:r w:rsidR="00C02D92" w:rsidRPr="002D0B2C">
        <w:t>ei</w:t>
      </w:r>
      <w:r>
        <w:t xml:space="preserve">nvestment tax credits </w:t>
      </w:r>
    </w:p>
    <w:p w:rsidR="00F756B8" w:rsidRPr="001E1539" w:rsidRDefault="001E1539" w:rsidP="00F756B8">
      <w:pPr>
        <w:numPr>
          <w:ilvl w:val="0"/>
          <w:numId w:val="35"/>
        </w:numPr>
        <w:rPr>
          <w:rStyle w:val="Strong"/>
          <w:b w:val="0"/>
        </w:rPr>
      </w:pPr>
      <w:r w:rsidRPr="001E1539">
        <w:rPr>
          <w:rStyle w:val="Strong"/>
          <w:b w:val="0"/>
        </w:rPr>
        <w:t>E</w:t>
      </w:r>
      <w:r w:rsidR="006073DF" w:rsidRPr="001E1539">
        <w:rPr>
          <w:rStyle w:val="Strong"/>
          <w:b w:val="0"/>
        </w:rPr>
        <w:t>conomic development and manufacturing a</w:t>
      </w:r>
      <w:r w:rsidR="00F756B8" w:rsidRPr="001E1539">
        <w:rPr>
          <w:rStyle w:val="Strong"/>
          <w:b w:val="0"/>
        </w:rPr>
        <w:t>ssistance</w:t>
      </w:r>
    </w:p>
    <w:p w:rsidR="003A7736" w:rsidRPr="002D0B2C" w:rsidRDefault="001E1539" w:rsidP="00F756B8">
      <w:pPr>
        <w:numPr>
          <w:ilvl w:val="0"/>
          <w:numId w:val="35"/>
        </w:numPr>
        <w:rPr>
          <w:rStyle w:val="Strong"/>
          <w:b w:val="0"/>
        </w:rPr>
      </w:pPr>
      <w:r>
        <w:rPr>
          <w:rStyle w:val="Strong"/>
          <w:b w:val="0"/>
        </w:rPr>
        <w:t>Job creation tax credits</w:t>
      </w:r>
    </w:p>
    <w:p w:rsidR="00F756B8" w:rsidRPr="002D0B2C" w:rsidRDefault="007933E5" w:rsidP="00F756B8">
      <w:pPr>
        <w:numPr>
          <w:ilvl w:val="0"/>
          <w:numId w:val="35"/>
        </w:numPr>
      </w:pPr>
      <w:r>
        <w:rPr>
          <w:rStyle w:val="Strong"/>
          <w:b w:val="0"/>
          <w:color w:val="000000"/>
        </w:rPr>
        <w:t>Enterprise Z</w:t>
      </w:r>
      <w:r w:rsidR="001E1539">
        <w:rPr>
          <w:rStyle w:val="Strong"/>
          <w:b w:val="0"/>
          <w:color w:val="000000"/>
        </w:rPr>
        <w:t>one p</w:t>
      </w:r>
      <w:r w:rsidR="00F756B8" w:rsidRPr="002D0B2C">
        <w:rPr>
          <w:rStyle w:val="Strong"/>
          <w:b w:val="0"/>
          <w:color w:val="000000"/>
        </w:rPr>
        <w:t>rogram</w:t>
      </w:r>
    </w:p>
    <w:p w:rsidR="00F756B8" w:rsidRPr="002D0B2C" w:rsidRDefault="001E1539" w:rsidP="00F756B8">
      <w:pPr>
        <w:numPr>
          <w:ilvl w:val="0"/>
          <w:numId w:val="35"/>
        </w:numPr>
      </w:pPr>
      <w:r>
        <w:rPr>
          <w:rStyle w:val="Strong"/>
          <w:b w:val="0"/>
        </w:rPr>
        <w:t>Export a</w:t>
      </w:r>
      <w:r w:rsidR="00F756B8" w:rsidRPr="002D0B2C">
        <w:rPr>
          <w:rStyle w:val="Strong"/>
          <w:b w:val="0"/>
        </w:rPr>
        <w:t>ssistance</w:t>
      </w:r>
    </w:p>
    <w:p w:rsidR="00F756B8" w:rsidRPr="002D0B2C" w:rsidRDefault="00F756B8" w:rsidP="00F756B8">
      <w:pPr>
        <w:numPr>
          <w:ilvl w:val="0"/>
          <w:numId w:val="35"/>
        </w:numPr>
      </w:pPr>
      <w:r w:rsidRPr="002D0B2C">
        <w:rPr>
          <w:rStyle w:val="Strong"/>
          <w:b w:val="0"/>
        </w:rPr>
        <w:t xml:space="preserve">Industrial </w:t>
      </w:r>
      <w:r w:rsidR="001E1539">
        <w:rPr>
          <w:rStyle w:val="Strong"/>
          <w:b w:val="0"/>
        </w:rPr>
        <w:t>parks p</w:t>
      </w:r>
      <w:r w:rsidRPr="002D0B2C">
        <w:rPr>
          <w:rStyle w:val="Strong"/>
          <w:b w:val="0"/>
        </w:rPr>
        <w:t>rogram</w:t>
      </w:r>
    </w:p>
    <w:p w:rsidR="00F756B8" w:rsidRPr="002D0B2C" w:rsidRDefault="007933E5" w:rsidP="00F756B8">
      <w:pPr>
        <w:numPr>
          <w:ilvl w:val="0"/>
          <w:numId w:val="35"/>
        </w:numPr>
      </w:pPr>
      <w:r>
        <w:rPr>
          <w:rStyle w:val="Strong"/>
          <w:b w:val="0"/>
        </w:rPr>
        <w:t>Urban development a</w:t>
      </w:r>
      <w:r w:rsidR="006073DF">
        <w:rPr>
          <w:rStyle w:val="Strong"/>
          <w:b w:val="0"/>
        </w:rPr>
        <w:t>ction g</w:t>
      </w:r>
      <w:r w:rsidR="00F756B8" w:rsidRPr="002D0B2C">
        <w:rPr>
          <w:rStyle w:val="Strong"/>
          <w:b w:val="0"/>
        </w:rPr>
        <w:t>rants</w:t>
      </w:r>
    </w:p>
    <w:p w:rsidR="00F756B8" w:rsidRPr="002D0B2C" w:rsidRDefault="00F756B8" w:rsidP="00F756B8">
      <w:pPr>
        <w:numPr>
          <w:ilvl w:val="0"/>
          <w:numId w:val="35"/>
        </w:numPr>
        <w:rPr>
          <w:rStyle w:val="Strong"/>
          <w:b w:val="0"/>
        </w:rPr>
      </w:pPr>
      <w:r w:rsidRPr="002D0B2C">
        <w:rPr>
          <w:rStyle w:val="Strong"/>
          <w:b w:val="0"/>
        </w:rPr>
        <w:t xml:space="preserve">Small Cities </w:t>
      </w:r>
      <w:r w:rsidR="007933E5">
        <w:rPr>
          <w:rStyle w:val="Strong"/>
          <w:b w:val="0"/>
        </w:rPr>
        <w:t xml:space="preserve">Block Grant </w:t>
      </w:r>
      <w:r w:rsidR="001E1539">
        <w:rPr>
          <w:rStyle w:val="Strong"/>
          <w:b w:val="0"/>
        </w:rPr>
        <w:t>program</w:t>
      </w:r>
    </w:p>
    <w:p w:rsidR="00F756B8" w:rsidRPr="002D0B2C" w:rsidRDefault="001E1539" w:rsidP="00F756B8">
      <w:pPr>
        <w:numPr>
          <w:ilvl w:val="0"/>
          <w:numId w:val="35"/>
        </w:numPr>
        <w:rPr>
          <w:rStyle w:val="Strong"/>
          <w:b w:val="0"/>
        </w:rPr>
      </w:pPr>
      <w:r>
        <w:rPr>
          <w:rStyle w:val="Strong"/>
          <w:b w:val="0"/>
        </w:rPr>
        <w:t>Technical business assistance p</w:t>
      </w:r>
      <w:r w:rsidR="00F756B8" w:rsidRPr="002D0B2C">
        <w:rPr>
          <w:rStyle w:val="Strong"/>
          <w:b w:val="0"/>
        </w:rPr>
        <w:t>rograms</w:t>
      </w:r>
    </w:p>
    <w:p w:rsidR="00F756B8" w:rsidRPr="002D0B2C" w:rsidRDefault="00F756B8" w:rsidP="00F756B8">
      <w:pPr>
        <w:numPr>
          <w:ilvl w:val="0"/>
          <w:numId w:val="35"/>
        </w:numPr>
        <w:rPr>
          <w:rStyle w:val="Strong"/>
          <w:b w:val="0"/>
        </w:rPr>
      </w:pPr>
      <w:r w:rsidRPr="002D0B2C">
        <w:rPr>
          <w:rStyle w:val="Strong"/>
          <w:b w:val="0"/>
        </w:rPr>
        <w:t>Workforce Investment Act</w:t>
      </w:r>
    </w:p>
    <w:p w:rsidR="00F756B8" w:rsidRPr="002D0B2C" w:rsidRDefault="00F756B8" w:rsidP="00F756B8">
      <w:pPr>
        <w:numPr>
          <w:ilvl w:val="0"/>
          <w:numId w:val="35"/>
        </w:numPr>
        <w:rPr>
          <w:rStyle w:val="Strong"/>
          <w:b w:val="0"/>
        </w:rPr>
      </w:pPr>
      <w:r w:rsidRPr="002D0B2C">
        <w:rPr>
          <w:rStyle w:val="Strong"/>
          <w:b w:val="0"/>
          <w:color w:val="000000"/>
        </w:rPr>
        <w:lastRenderedPageBreak/>
        <w:t xml:space="preserve">Small Town Economic Assistance Program (STEAP) </w:t>
      </w:r>
    </w:p>
    <w:p w:rsidR="00F756B8" w:rsidRPr="002D0B2C" w:rsidRDefault="00F13BA6" w:rsidP="00F756B8">
      <w:pPr>
        <w:numPr>
          <w:ilvl w:val="0"/>
          <w:numId w:val="35"/>
        </w:numPr>
        <w:rPr>
          <w:rStyle w:val="Strong"/>
        </w:rPr>
      </w:pPr>
      <w:r w:rsidRPr="002D0B2C">
        <w:rPr>
          <w:rStyle w:val="Strong"/>
          <w:b w:val="0"/>
        </w:rPr>
        <w:t>First Five</w:t>
      </w:r>
      <w:r w:rsidR="007933E5">
        <w:rPr>
          <w:rStyle w:val="Strong"/>
          <w:b w:val="0"/>
        </w:rPr>
        <w:t xml:space="preserve"> program</w:t>
      </w:r>
    </w:p>
    <w:p w:rsidR="00F756B8" w:rsidRPr="002D0B2C" w:rsidRDefault="004F428D" w:rsidP="00F756B8">
      <w:pPr>
        <w:numPr>
          <w:ilvl w:val="0"/>
          <w:numId w:val="35"/>
        </w:numPr>
        <w:rPr>
          <w:rStyle w:val="Strong"/>
        </w:rPr>
      </w:pPr>
      <w:r w:rsidRPr="002D0B2C">
        <w:rPr>
          <w:rStyle w:val="Strong"/>
          <w:b w:val="0"/>
        </w:rPr>
        <w:t xml:space="preserve">Small Business Express </w:t>
      </w:r>
      <w:r w:rsidR="007933E5">
        <w:rPr>
          <w:rStyle w:val="Strong"/>
          <w:b w:val="0"/>
        </w:rPr>
        <w:t>p</w:t>
      </w:r>
      <w:r w:rsidRPr="002D0B2C">
        <w:rPr>
          <w:rStyle w:val="Strong"/>
          <w:b w:val="0"/>
        </w:rPr>
        <w:t>rogram</w:t>
      </w:r>
    </w:p>
    <w:p w:rsidR="00F756B8" w:rsidRPr="002D0B2C" w:rsidRDefault="00F756B8" w:rsidP="008A219F">
      <w:pPr>
        <w:spacing w:before="0" w:after="80"/>
        <w:rPr>
          <w:snapToGrid w:val="0"/>
        </w:rPr>
      </w:pPr>
      <w:r w:rsidRPr="002D0B2C">
        <w:rPr>
          <w:snapToGrid w:val="0"/>
        </w:rPr>
        <w:t xml:space="preserve">The ultimate goal of </w:t>
      </w:r>
      <w:r w:rsidR="008000AD" w:rsidRPr="002D0B2C">
        <w:rPr>
          <w:snapToGrid w:val="0"/>
        </w:rPr>
        <w:t xml:space="preserve">DECD’s long-term strategies </w:t>
      </w:r>
      <w:r w:rsidRPr="002D0B2C">
        <w:rPr>
          <w:snapToGrid w:val="0"/>
        </w:rPr>
        <w:t>i</w:t>
      </w:r>
      <w:r w:rsidR="008000AD" w:rsidRPr="002D0B2C">
        <w:rPr>
          <w:snapToGrid w:val="0"/>
        </w:rPr>
        <w:t xml:space="preserve">s </w:t>
      </w:r>
      <w:r w:rsidRPr="002D0B2C">
        <w:t>to increase the competitiveness of Connecticut's businesses, to identify and nurture</w:t>
      </w:r>
      <w:r w:rsidR="003A020A" w:rsidRPr="002D0B2C">
        <w:t xml:space="preserve"> emerging industries, </w:t>
      </w:r>
      <w:r w:rsidR="00F13BA6" w:rsidRPr="002D0B2C">
        <w:t xml:space="preserve">and </w:t>
      </w:r>
      <w:r w:rsidR="003A020A" w:rsidRPr="002D0B2C">
        <w:t>to maintain and expand</w:t>
      </w:r>
      <w:r w:rsidRPr="002D0B2C">
        <w:t xml:space="preserve"> </w:t>
      </w:r>
      <w:r w:rsidR="003A020A" w:rsidRPr="002D0B2C">
        <w:t>high-</w:t>
      </w:r>
      <w:r w:rsidR="008000AD" w:rsidRPr="002D0B2C">
        <w:t>growth and critical industries</w:t>
      </w:r>
      <w:r w:rsidR="00F13BA6" w:rsidRPr="002D0B2C">
        <w:t>.</w:t>
      </w:r>
      <w:r w:rsidRPr="002D0B2C">
        <w:t xml:space="preserve"> </w:t>
      </w:r>
      <w:r w:rsidR="00CF7531" w:rsidRPr="002D0B2C">
        <w:t xml:space="preserve">  </w:t>
      </w:r>
    </w:p>
    <w:p w:rsidR="00F756B8" w:rsidRPr="002D0B2C" w:rsidRDefault="00F756B8" w:rsidP="008A219F">
      <w:pPr>
        <w:spacing w:before="0" w:after="80"/>
      </w:pPr>
      <w:r w:rsidRPr="002D0B2C">
        <w:rPr>
          <w:rStyle w:val="Strong"/>
          <w:b w:val="0"/>
        </w:rPr>
        <w:t>DECD’s short-term strategy centers on servicing the needs of individual businesses on a project-by-project basis. The activities that occur under this effort include: recruitment of new businesses to the state; expansion and retention of existing Connecticut businesses; promotion of exports; targeting foreign direct investment in the state</w:t>
      </w:r>
      <w:r w:rsidR="003A43CD" w:rsidRPr="002D0B2C">
        <w:rPr>
          <w:rStyle w:val="Strong"/>
          <w:b w:val="0"/>
        </w:rPr>
        <w:t>;</w:t>
      </w:r>
      <w:r w:rsidRPr="002D0B2C">
        <w:rPr>
          <w:rStyle w:val="Strong"/>
          <w:b w:val="0"/>
        </w:rPr>
        <w:t xml:space="preserve"> and planning, regulation, coordination and implementation of complex real estate development projects and tax incentive programs</w:t>
      </w:r>
      <w:r w:rsidR="003A43CD" w:rsidRPr="002D0B2C">
        <w:rPr>
          <w:rStyle w:val="Strong"/>
          <w:b w:val="0"/>
        </w:rPr>
        <w:t xml:space="preserve">; and </w:t>
      </w:r>
      <w:r w:rsidR="00CF7531" w:rsidRPr="002D0B2C">
        <w:rPr>
          <w:rStyle w:val="Strong"/>
          <w:b w:val="0"/>
        </w:rPr>
        <w:t>workforce development and training assistance.</w:t>
      </w:r>
      <w:r w:rsidRPr="002D0B2C">
        <w:t xml:space="preserve"> </w:t>
      </w:r>
    </w:p>
    <w:p w:rsidR="00EA6C99" w:rsidRPr="002D0B2C" w:rsidRDefault="00EA6C99" w:rsidP="00F756B8"/>
    <w:tbl>
      <w:tblPr>
        <w:tblW w:w="0" w:type="auto"/>
        <w:tblInd w:w="29"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CellMar>
          <w:left w:w="58" w:type="dxa"/>
          <w:right w:w="58" w:type="dxa"/>
        </w:tblCellMar>
        <w:tblLook w:val="01E0"/>
      </w:tblPr>
      <w:tblGrid>
        <w:gridCol w:w="2196"/>
        <w:gridCol w:w="1347"/>
        <w:gridCol w:w="1476"/>
      </w:tblGrid>
      <w:tr w:rsidR="00F756B8" w:rsidRPr="002D0B2C" w:rsidTr="0081543D">
        <w:tc>
          <w:tcPr>
            <w:tcW w:w="5019" w:type="dxa"/>
            <w:gridSpan w:val="3"/>
            <w:shd w:val="clear" w:color="auto" w:fill="E5F5FF"/>
            <w:vAlign w:val="center"/>
          </w:tcPr>
          <w:p w:rsidR="00F756B8" w:rsidRPr="002D0B2C" w:rsidRDefault="00F756B8" w:rsidP="00661F00">
            <w:pPr>
              <w:pStyle w:val="Heading2"/>
            </w:pPr>
            <w:r w:rsidRPr="002D0B2C">
              <w:br w:type="column"/>
              <w:t>Outcome Measure</w:t>
            </w:r>
          </w:p>
        </w:tc>
      </w:tr>
      <w:tr w:rsidR="00F756B8" w:rsidRPr="002D0B2C" w:rsidTr="0081543D">
        <w:tc>
          <w:tcPr>
            <w:tcW w:w="5019" w:type="dxa"/>
            <w:gridSpan w:val="3"/>
            <w:vAlign w:val="center"/>
          </w:tcPr>
          <w:p w:rsidR="00F756B8" w:rsidRPr="002D0B2C" w:rsidRDefault="00F756B8" w:rsidP="0081543D">
            <w:pPr>
              <w:spacing w:before="120" w:after="120"/>
              <w:jc w:val="center"/>
              <w:rPr>
                <w:rFonts w:cs="Arial"/>
                <w:bCs/>
                <w:color w:val="000000"/>
              </w:rPr>
            </w:pPr>
            <w:r w:rsidRPr="002D0B2C">
              <w:rPr>
                <w:rFonts w:cs="Arial"/>
                <w:bCs/>
                <w:color w:val="000000"/>
              </w:rPr>
              <w:t>Business Assistance Portfolio Economic Impact</w:t>
            </w:r>
          </w:p>
        </w:tc>
      </w:tr>
      <w:tr w:rsidR="00812A0B" w:rsidRPr="002D0B2C" w:rsidTr="0081543D">
        <w:tc>
          <w:tcPr>
            <w:tcW w:w="3543" w:type="dxa"/>
            <w:gridSpan w:val="2"/>
            <w:vAlign w:val="bottom"/>
          </w:tcPr>
          <w:p w:rsidR="00F756B8" w:rsidRPr="002D0B2C" w:rsidRDefault="00F756B8" w:rsidP="0081543D">
            <w:pPr>
              <w:jc w:val="right"/>
              <w:rPr>
                <w:rFonts w:cs="Arial"/>
                <w:color w:val="000000"/>
                <w:sz w:val="16"/>
                <w:szCs w:val="16"/>
                <w:u w:val="single"/>
              </w:rPr>
            </w:pPr>
            <w:r w:rsidRPr="002D0B2C">
              <w:rPr>
                <w:rFonts w:cs="Arial"/>
                <w:bCs/>
                <w:color w:val="000000"/>
                <w:sz w:val="16"/>
                <w:szCs w:val="16"/>
                <w:u w:val="single"/>
              </w:rPr>
              <w:t>Portfolio Aggregate</w:t>
            </w:r>
          </w:p>
        </w:tc>
        <w:tc>
          <w:tcPr>
            <w:tcW w:w="1476" w:type="dxa"/>
            <w:vAlign w:val="bottom"/>
          </w:tcPr>
          <w:p w:rsidR="00F756B8" w:rsidRPr="002D0B2C" w:rsidRDefault="00F756B8" w:rsidP="00812A0B">
            <w:pPr>
              <w:jc w:val="right"/>
              <w:rPr>
                <w:rFonts w:cs="Arial"/>
                <w:color w:val="000000"/>
                <w:sz w:val="16"/>
                <w:szCs w:val="16"/>
                <w:u w:val="single"/>
              </w:rPr>
            </w:pPr>
            <w:r w:rsidRPr="002D0B2C">
              <w:rPr>
                <w:rFonts w:cs="Arial"/>
                <w:bCs/>
                <w:color w:val="000000"/>
                <w:sz w:val="16"/>
                <w:szCs w:val="16"/>
                <w:u w:val="single"/>
              </w:rPr>
              <w:t>FY</w:t>
            </w:r>
            <w:r w:rsidR="008A219F">
              <w:rPr>
                <w:rFonts w:cs="Arial"/>
                <w:bCs/>
                <w:color w:val="000000"/>
                <w:sz w:val="16"/>
                <w:szCs w:val="16"/>
                <w:u w:val="single"/>
              </w:rPr>
              <w:t xml:space="preserve"> </w:t>
            </w:r>
            <w:r w:rsidR="00577874" w:rsidRPr="002D0B2C">
              <w:rPr>
                <w:rFonts w:cs="Arial"/>
                <w:bCs/>
                <w:color w:val="000000"/>
                <w:sz w:val="16"/>
                <w:szCs w:val="16"/>
                <w:u w:val="single"/>
              </w:rPr>
              <w:t>20</w:t>
            </w:r>
            <w:r w:rsidR="00812A0B" w:rsidRPr="002D0B2C">
              <w:rPr>
                <w:rFonts w:cs="Arial"/>
                <w:bCs/>
                <w:color w:val="000000"/>
                <w:sz w:val="16"/>
                <w:szCs w:val="16"/>
                <w:u w:val="single"/>
              </w:rPr>
              <w:t>11</w:t>
            </w:r>
          </w:p>
        </w:tc>
      </w:tr>
      <w:tr w:rsidR="00812A0B" w:rsidRPr="002D0B2C" w:rsidTr="0081543D">
        <w:tc>
          <w:tcPr>
            <w:tcW w:w="2196" w:type="dxa"/>
            <w:vAlign w:val="bottom"/>
          </w:tcPr>
          <w:p w:rsidR="00F756B8" w:rsidRPr="002D0B2C" w:rsidRDefault="00F756B8" w:rsidP="0081543D">
            <w:pPr>
              <w:jc w:val="left"/>
              <w:rPr>
                <w:rFonts w:cs="Arial"/>
                <w:bCs/>
                <w:color w:val="000000"/>
                <w:sz w:val="16"/>
                <w:szCs w:val="16"/>
              </w:rPr>
            </w:pPr>
            <w:r w:rsidRPr="002D0B2C">
              <w:rPr>
                <w:rFonts w:cs="Arial"/>
                <w:bCs/>
                <w:color w:val="000000"/>
                <w:sz w:val="16"/>
                <w:szCs w:val="16"/>
              </w:rPr>
              <w:t xml:space="preserve">Gross Regional Product </w:t>
            </w:r>
          </w:p>
        </w:tc>
        <w:tc>
          <w:tcPr>
            <w:tcW w:w="1347" w:type="dxa"/>
            <w:vAlign w:val="bottom"/>
          </w:tcPr>
          <w:p w:rsidR="00F756B8" w:rsidRPr="002D0B2C" w:rsidRDefault="00BA5E80" w:rsidP="00812A0B">
            <w:pPr>
              <w:jc w:val="right"/>
              <w:rPr>
                <w:rFonts w:cs="Arial"/>
                <w:color w:val="000000"/>
                <w:sz w:val="16"/>
                <w:szCs w:val="16"/>
              </w:rPr>
            </w:pPr>
            <w:r w:rsidRPr="002D0B2C">
              <w:rPr>
                <w:rFonts w:cs="Arial"/>
                <w:color w:val="000000"/>
                <w:sz w:val="16"/>
                <w:szCs w:val="16"/>
              </w:rPr>
              <w:t>$</w:t>
            </w:r>
            <w:r w:rsidR="00812A0B" w:rsidRPr="002D0B2C">
              <w:rPr>
                <w:rFonts w:cs="Arial"/>
                <w:color w:val="000000"/>
                <w:sz w:val="16"/>
                <w:szCs w:val="16"/>
              </w:rPr>
              <w:t>1,350,573,325</w:t>
            </w:r>
          </w:p>
        </w:tc>
        <w:tc>
          <w:tcPr>
            <w:tcW w:w="1476" w:type="dxa"/>
            <w:vAlign w:val="bottom"/>
          </w:tcPr>
          <w:p w:rsidR="00F756B8" w:rsidRPr="002D0B2C" w:rsidRDefault="00BA5E80" w:rsidP="00812A0B">
            <w:pPr>
              <w:jc w:val="right"/>
              <w:rPr>
                <w:rFonts w:cs="Arial"/>
                <w:color w:val="000000"/>
                <w:sz w:val="16"/>
                <w:szCs w:val="16"/>
              </w:rPr>
            </w:pPr>
            <w:r w:rsidRPr="002D0B2C">
              <w:rPr>
                <w:rFonts w:cs="Arial"/>
                <w:color w:val="000000"/>
                <w:sz w:val="16"/>
                <w:szCs w:val="16"/>
              </w:rPr>
              <w:t>$</w:t>
            </w:r>
            <w:r w:rsidR="00812A0B" w:rsidRPr="002D0B2C">
              <w:rPr>
                <w:rFonts w:cs="Arial"/>
                <w:color w:val="000000"/>
                <w:sz w:val="16"/>
                <w:szCs w:val="16"/>
              </w:rPr>
              <w:t>61,887,253</w:t>
            </w:r>
          </w:p>
        </w:tc>
      </w:tr>
      <w:tr w:rsidR="00812A0B" w:rsidRPr="002D0B2C" w:rsidTr="0081543D">
        <w:tc>
          <w:tcPr>
            <w:tcW w:w="2196" w:type="dxa"/>
            <w:vAlign w:val="bottom"/>
          </w:tcPr>
          <w:p w:rsidR="00F756B8" w:rsidRPr="002D0B2C" w:rsidRDefault="00F756B8" w:rsidP="0081543D">
            <w:pPr>
              <w:jc w:val="left"/>
              <w:rPr>
                <w:rFonts w:cs="Arial"/>
                <w:bCs/>
                <w:color w:val="000000"/>
                <w:sz w:val="16"/>
                <w:szCs w:val="16"/>
              </w:rPr>
            </w:pPr>
            <w:r w:rsidRPr="002D0B2C">
              <w:rPr>
                <w:rFonts w:cs="Arial"/>
                <w:bCs/>
                <w:color w:val="000000"/>
                <w:sz w:val="16"/>
                <w:szCs w:val="16"/>
              </w:rPr>
              <w:t>Personal Income</w:t>
            </w:r>
          </w:p>
        </w:tc>
        <w:tc>
          <w:tcPr>
            <w:tcW w:w="1347" w:type="dxa"/>
            <w:vAlign w:val="bottom"/>
          </w:tcPr>
          <w:p w:rsidR="00F756B8" w:rsidRPr="002D0B2C" w:rsidRDefault="00BA5E80" w:rsidP="00812A0B">
            <w:pPr>
              <w:jc w:val="right"/>
              <w:rPr>
                <w:rFonts w:cs="Arial"/>
                <w:color w:val="000000"/>
                <w:sz w:val="16"/>
                <w:szCs w:val="16"/>
              </w:rPr>
            </w:pPr>
            <w:r w:rsidRPr="002D0B2C">
              <w:rPr>
                <w:rFonts w:cs="Arial"/>
                <w:color w:val="000000"/>
                <w:sz w:val="16"/>
                <w:szCs w:val="16"/>
              </w:rPr>
              <w:t>$</w:t>
            </w:r>
            <w:r w:rsidR="00812A0B" w:rsidRPr="002D0B2C">
              <w:rPr>
                <w:rFonts w:cs="Arial"/>
                <w:color w:val="000000"/>
                <w:sz w:val="16"/>
                <w:szCs w:val="16"/>
              </w:rPr>
              <w:t>1,940,889,765</w:t>
            </w:r>
          </w:p>
        </w:tc>
        <w:tc>
          <w:tcPr>
            <w:tcW w:w="1476" w:type="dxa"/>
            <w:vAlign w:val="bottom"/>
          </w:tcPr>
          <w:p w:rsidR="00F756B8" w:rsidRPr="002D0B2C" w:rsidRDefault="00BA5E80" w:rsidP="00812A0B">
            <w:pPr>
              <w:jc w:val="right"/>
              <w:rPr>
                <w:rFonts w:cs="Arial"/>
                <w:color w:val="000000"/>
                <w:sz w:val="16"/>
                <w:szCs w:val="16"/>
              </w:rPr>
            </w:pPr>
            <w:r w:rsidRPr="002D0B2C">
              <w:rPr>
                <w:rFonts w:cs="Arial"/>
                <w:color w:val="000000"/>
                <w:sz w:val="16"/>
                <w:szCs w:val="16"/>
              </w:rPr>
              <w:t>$</w:t>
            </w:r>
            <w:r w:rsidR="00812A0B" w:rsidRPr="002D0B2C">
              <w:rPr>
                <w:rFonts w:cs="Arial"/>
                <w:color w:val="000000"/>
                <w:sz w:val="16"/>
                <w:szCs w:val="16"/>
              </w:rPr>
              <w:t>103,455,000</w:t>
            </w:r>
          </w:p>
        </w:tc>
      </w:tr>
      <w:tr w:rsidR="00812A0B" w:rsidRPr="002D0B2C" w:rsidTr="0081543D">
        <w:tc>
          <w:tcPr>
            <w:tcW w:w="2196" w:type="dxa"/>
            <w:vAlign w:val="bottom"/>
          </w:tcPr>
          <w:p w:rsidR="00F756B8" w:rsidRPr="002D0B2C" w:rsidRDefault="00F756B8" w:rsidP="0081543D">
            <w:pPr>
              <w:jc w:val="left"/>
              <w:rPr>
                <w:rFonts w:cs="Arial"/>
                <w:bCs/>
                <w:color w:val="000000"/>
                <w:sz w:val="16"/>
                <w:szCs w:val="16"/>
              </w:rPr>
            </w:pPr>
            <w:r w:rsidRPr="002D0B2C">
              <w:rPr>
                <w:rFonts w:cs="Arial"/>
                <w:bCs/>
                <w:color w:val="000000"/>
                <w:sz w:val="16"/>
                <w:szCs w:val="16"/>
              </w:rPr>
              <w:t>State Net Rev.</w:t>
            </w:r>
          </w:p>
        </w:tc>
        <w:tc>
          <w:tcPr>
            <w:tcW w:w="1347" w:type="dxa"/>
            <w:vAlign w:val="bottom"/>
          </w:tcPr>
          <w:p w:rsidR="00F756B8" w:rsidRPr="002D0B2C" w:rsidRDefault="00BA5E80" w:rsidP="00812A0B">
            <w:pPr>
              <w:jc w:val="right"/>
              <w:rPr>
                <w:rFonts w:cs="Arial"/>
                <w:color w:val="000000"/>
                <w:sz w:val="16"/>
                <w:szCs w:val="16"/>
              </w:rPr>
            </w:pPr>
            <w:r w:rsidRPr="002D0B2C">
              <w:rPr>
                <w:rFonts w:cs="Arial"/>
                <w:color w:val="000000"/>
                <w:sz w:val="16"/>
                <w:szCs w:val="16"/>
              </w:rPr>
              <w:t>$</w:t>
            </w:r>
            <w:r w:rsidR="00812A0B" w:rsidRPr="002D0B2C">
              <w:rPr>
                <w:rFonts w:cs="Arial"/>
                <w:color w:val="000000"/>
                <w:sz w:val="16"/>
                <w:szCs w:val="16"/>
              </w:rPr>
              <w:t>172,737,200</w:t>
            </w:r>
          </w:p>
        </w:tc>
        <w:tc>
          <w:tcPr>
            <w:tcW w:w="1476" w:type="dxa"/>
            <w:vAlign w:val="bottom"/>
          </w:tcPr>
          <w:p w:rsidR="00F756B8" w:rsidRPr="002D0B2C" w:rsidRDefault="00BA5E80" w:rsidP="00812A0B">
            <w:pPr>
              <w:jc w:val="right"/>
              <w:rPr>
                <w:rFonts w:cs="Arial"/>
                <w:color w:val="000000"/>
                <w:sz w:val="16"/>
                <w:szCs w:val="16"/>
              </w:rPr>
            </w:pPr>
            <w:r w:rsidRPr="002D0B2C">
              <w:rPr>
                <w:rFonts w:cs="Arial"/>
                <w:color w:val="000000"/>
                <w:sz w:val="16"/>
                <w:szCs w:val="16"/>
              </w:rPr>
              <w:t>$3</w:t>
            </w:r>
            <w:r w:rsidR="00812A0B" w:rsidRPr="002D0B2C">
              <w:rPr>
                <w:rFonts w:cs="Arial"/>
                <w:color w:val="000000"/>
                <w:sz w:val="16"/>
                <w:szCs w:val="16"/>
              </w:rPr>
              <w:t>6,251,200</w:t>
            </w:r>
          </w:p>
        </w:tc>
      </w:tr>
      <w:tr w:rsidR="00812A0B" w:rsidRPr="002D0B2C" w:rsidTr="0081543D">
        <w:tc>
          <w:tcPr>
            <w:tcW w:w="2196" w:type="dxa"/>
            <w:vAlign w:val="bottom"/>
          </w:tcPr>
          <w:p w:rsidR="00F756B8" w:rsidRPr="002D0B2C" w:rsidRDefault="00F756B8" w:rsidP="0081543D">
            <w:pPr>
              <w:spacing w:after="120"/>
              <w:jc w:val="left"/>
              <w:rPr>
                <w:rFonts w:cs="Arial"/>
                <w:bCs/>
                <w:color w:val="000000"/>
                <w:sz w:val="16"/>
                <w:szCs w:val="16"/>
              </w:rPr>
            </w:pPr>
            <w:r w:rsidRPr="002D0B2C">
              <w:rPr>
                <w:rFonts w:cs="Arial"/>
                <w:bCs/>
                <w:color w:val="000000"/>
                <w:sz w:val="16"/>
                <w:szCs w:val="16"/>
              </w:rPr>
              <w:t>Portfolio Leveraging Ratio</w:t>
            </w:r>
          </w:p>
        </w:tc>
        <w:tc>
          <w:tcPr>
            <w:tcW w:w="1347" w:type="dxa"/>
            <w:vAlign w:val="bottom"/>
          </w:tcPr>
          <w:p w:rsidR="00F756B8" w:rsidRPr="002D0B2C" w:rsidRDefault="00BA5E80" w:rsidP="00DC7507">
            <w:pPr>
              <w:spacing w:after="120"/>
              <w:jc w:val="right"/>
              <w:rPr>
                <w:rFonts w:cs="Arial"/>
                <w:color w:val="000000"/>
                <w:sz w:val="16"/>
                <w:szCs w:val="16"/>
              </w:rPr>
            </w:pPr>
            <w:r w:rsidRPr="002D0B2C">
              <w:rPr>
                <w:rFonts w:cs="Arial"/>
                <w:color w:val="000000"/>
                <w:sz w:val="16"/>
                <w:szCs w:val="16"/>
              </w:rPr>
              <w:t>6.</w:t>
            </w:r>
            <w:r w:rsidR="00DC7507" w:rsidRPr="002D0B2C">
              <w:rPr>
                <w:rFonts w:cs="Arial"/>
                <w:color w:val="000000"/>
                <w:sz w:val="16"/>
                <w:szCs w:val="16"/>
              </w:rPr>
              <w:t>36</w:t>
            </w:r>
          </w:p>
        </w:tc>
        <w:tc>
          <w:tcPr>
            <w:tcW w:w="1476" w:type="dxa"/>
            <w:vAlign w:val="bottom"/>
          </w:tcPr>
          <w:p w:rsidR="00F756B8" w:rsidRPr="002D0B2C" w:rsidRDefault="00F756B8" w:rsidP="0081543D">
            <w:pPr>
              <w:spacing w:after="120"/>
              <w:jc w:val="right"/>
              <w:rPr>
                <w:rFonts w:cs="Arial"/>
                <w:color w:val="000000"/>
                <w:sz w:val="16"/>
                <w:szCs w:val="16"/>
              </w:rPr>
            </w:pPr>
          </w:p>
        </w:tc>
      </w:tr>
    </w:tbl>
    <w:p w:rsidR="00F756B8" w:rsidRPr="002D0B2C" w:rsidRDefault="00F756B8" w:rsidP="005F7583">
      <w:pPr>
        <w:rPr>
          <w:rStyle w:val="ProgramHeadChar"/>
          <w:sz w:val="16"/>
          <w:szCs w:val="16"/>
        </w:rPr>
      </w:pPr>
    </w:p>
    <w:p w:rsidR="00744BD3" w:rsidRPr="002D0B2C" w:rsidRDefault="00744BD3" w:rsidP="005F7583">
      <w:pPr>
        <w:rPr>
          <w:rStyle w:val="ProgramHeadChar"/>
          <w:sz w:val="16"/>
          <w:szCs w:val="16"/>
        </w:rPr>
        <w:sectPr w:rsidR="00744BD3" w:rsidRPr="002D0B2C" w:rsidSect="00F13BA6">
          <w:type w:val="continuous"/>
          <w:pgSz w:w="12240" w:h="15840" w:code="1"/>
          <w:pgMar w:top="864" w:right="720" w:bottom="1152" w:left="720" w:header="432" w:footer="288" w:gutter="216"/>
          <w:cols w:num="2" w:space="720" w:equalWidth="0">
            <w:col w:w="4932" w:space="720"/>
            <w:col w:w="4932"/>
          </w:cols>
          <w:noEndnote/>
        </w:sectPr>
      </w:pPr>
    </w:p>
    <w:p w:rsidR="001C5CEB" w:rsidRDefault="001C5CEB" w:rsidP="0072680A">
      <w:pPr>
        <w:pStyle w:val="ProgramHead"/>
        <w:rPr>
          <w:caps w:val="0"/>
          <w:noProof w:val="0"/>
          <w:sz w:val="18"/>
        </w:rPr>
      </w:pPr>
    </w:p>
    <w:p w:rsidR="001C5CEB" w:rsidRDefault="001C5CEB" w:rsidP="0072680A">
      <w:pPr>
        <w:pStyle w:val="ProgramHead"/>
        <w:rPr>
          <w:caps w:val="0"/>
          <w:noProof w:val="0"/>
          <w:sz w:val="18"/>
        </w:rPr>
      </w:pPr>
    </w:p>
    <w:p w:rsidR="0072680A" w:rsidRPr="002D0B2C" w:rsidRDefault="0057571E" w:rsidP="0072680A">
      <w:pPr>
        <w:pStyle w:val="ProgramHead"/>
        <w:sectPr w:rsidR="0072680A" w:rsidRPr="002D0B2C" w:rsidSect="00562A8B">
          <w:type w:val="continuous"/>
          <w:pgSz w:w="12240" w:h="15840" w:code="1"/>
          <w:pgMar w:top="864" w:right="720" w:bottom="1152" w:left="720" w:header="432" w:footer="288" w:gutter="216"/>
          <w:cols w:space="432"/>
          <w:noEndnote/>
        </w:sectPr>
      </w:pPr>
      <w:r w:rsidRPr="002D0B2C">
        <w:fldChar w:fldCharType="begin"/>
      </w:r>
      <w:r w:rsidR="00B22A0D" w:rsidRPr="002D0B2C">
        <w:instrText xml:space="preserve">XE "Ecd46000 </w:instrText>
      </w:r>
      <w:r w:rsidR="00B22A0D">
        <w:instrText>51005</w:instrText>
      </w:r>
      <w:r w:rsidR="00B22A0D" w:rsidRPr="002D0B2C">
        <w:instrText>"</w:instrText>
      </w:r>
      <w:r w:rsidRPr="002D0B2C">
        <w:fldChar w:fldCharType="end"/>
      </w:r>
      <w:r w:rsidR="0072680A" w:rsidRPr="002D0B2C">
        <w:t>Housing DEVELOPMENT</w:t>
      </w:r>
    </w:p>
    <w:p w:rsidR="0072680A" w:rsidRPr="002D0B2C" w:rsidRDefault="0072680A" w:rsidP="0072680A">
      <w:pPr>
        <w:pStyle w:val="Heading2"/>
      </w:pPr>
      <w:r w:rsidRPr="002D0B2C">
        <w:lastRenderedPageBreak/>
        <w:t>Statutory Reference</w:t>
      </w:r>
    </w:p>
    <w:p w:rsidR="0072680A" w:rsidRPr="002D0B2C" w:rsidRDefault="008A219F" w:rsidP="0072680A">
      <w:proofErr w:type="gramStart"/>
      <w:r>
        <w:t xml:space="preserve">C.G.S. </w:t>
      </w:r>
      <w:r w:rsidR="0072680A" w:rsidRPr="002D0B2C">
        <w:t>Chapters 127b, 127c, 128, 133, 135, 137e,</w:t>
      </w:r>
      <w:r>
        <w:t xml:space="preserve"> 138b, 138i, 138j and 578, and S</w:t>
      </w:r>
      <w:r w:rsidR="0072680A" w:rsidRPr="002D0B2C">
        <w:t>ections, 16a-40a, 17b-106, 17b-337, 17b-347e</w:t>
      </w:r>
      <w:r w:rsidR="006073DF">
        <w:t>.</w:t>
      </w:r>
      <w:proofErr w:type="gramEnd"/>
      <w:r w:rsidR="0072680A" w:rsidRPr="002D0B2C">
        <w:t xml:space="preserve"> </w:t>
      </w:r>
    </w:p>
    <w:p w:rsidR="0072680A" w:rsidRPr="002D0B2C" w:rsidRDefault="0072680A" w:rsidP="00AC1C37">
      <w:pPr>
        <w:pStyle w:val="Heading2"/>
        <w:spacing w:before="80" w:after="0" w:line="240" w:lineRule="auto"/>
      </w:pPr>
      <w:r w:rsidRPr="002D0B2C">
        <w:t>Statement of Need and Program Objectives</w:t>
      </w:r>
    </w:p>
    <w:p w:rsidR="0072680A" w:rsidRPr="002D0B2C" w:rsidRDefault="0072680A" w:rsidP="0072680A">
      <w:r w:rsidRPr="002D0B2C">
        <w:t xml:space="preserve">DECD is the lead agency for all matters relating to housing development in Connecticut. DECD monitors and analyzes the Connecticut housing </w:t>
      </w:r>
      <w:r w:rsidRPr="007933E5">
        <w:t xml:space="preserve">development environment by undertaking several strategic planning efforts including the </w:t>
      </w:r>
      <w:hyperlink r:id="rId12" w:history="1">
        <w:r w:rsidRPr="007933E5">
          <w:rPr>
            <w:rStyle w:val="Hyperlink"/>
            <w:rFonts w:ascii="Calibri" w:hAnsi="Calibri"/>
            <w:i/>
            <w:sz w:val="18"/>
            <w:szCs w:val="18"/>
            <w:u w:val="none"/>
          </w:rPr>
          <w:t>State of Connecticut Long Range Housing Plan</w:t>
        </w:r>
      </w:hyperlink>
      <w:r w:rsidRPr="007933E5">
        <w:rPr>
          <w:szCs w:val="18"/>
        </w:rPr>
        <w:t xml:space="preserve">, and the </w:t>
      </w:r>
      <w:hyperlink r:id="rId13" w:history="1">
        <w:r w:rsidRPr="007933E5">
          <w:rPr>
            <w:rStyle w:val="Hyperlink"/>
            <w:rFonts w:ascii="Calibri" w:hAnsi="Calibri"/>
            <w:i/>
            <w:sz w:val="18"/>
            <w:szCs w:val="18"/>
            <w:u w:val="none"/>
          </w:rPr>
          <w:t>Connecticut Consolidated Plan for Housing and Community Development</w:t>
        </w:r>
      </w:hyperlink>
      <w:r w:rsidRPr="007933E5">
        <w:rPr>
          <w:szCs w:val="18"/>
        </w:rPr>
        <w:t>. The agency also perform</w:t>
      </w:r>
      <w:r w:rsidRPr="007933E5">
        <w:t>s certain strategy and policy functions related</w:t>
      </w:r>
      <w:r w:rsidRPr="002D0B2C">
        <w:t xml:space="preserve"> to housing development.</w:t>
      </w:r>
    </w:p>
    <w:p w:rsidR="0072680A" w:rsidRPr="00AC1C37" w:rsidRDefault="0072680A" w:rsidP="00AC1C37">
      <w:pPr>
        <w:spacing w:before="0" w:line="240" w:lineRule="auto"/>
        <w:rPr>
          <w:snapToGrid w:val="0"/>
        </w:rPr>
      </w:pPr>
      <w:r w:rsidRPr="002D0B2C">
        <w:rPr>
          <w:snapToGrid w:val="0"/>
        </w:rPr>
        <w:t xml:space="preserve">Housing development activities create the environment necessary for sustainable economic growth and stable neighborhoods. Housing development activities address the “quality of life” issues that create and reinforce the foundation that effective economic and housing development depends upon for success.  </w:t>
      </w:r>
    </w:p>
    <w:p w:rsidR="0072680A" w:rsidRPr="002D0B2C" w:rsidRDefault="0072680A" w:rsidP="00AC1C37">
      <w:pPr>
        <w:pStyle w:val="Heading2"/>
        <w:spacing w:before="80" w:after="0" w:line="240" w:lineRule="auto"/>
      </w:pPr>
      <w:r w:rsidRPr="002D0B2C">
        <w:t>Program Description</w:t>
      </w:r>
    </w:p>
    <w:p w:rsidR="001C5CEB" w:rsidRDefault="0072680A" w:rsidP="001C5CEB">
      <w:pPr>
        <w:spacing w:before="0" w:after="80" w:line="240" w:lineRule="auto"/>
      </w:pPr>
      <w:r w:rsidRPr="002D0B2C">
        <w:t xml:space="preserve">Based on the affordable housing needs present in Connecticut, the DECD utilizes numerous state and federally funded housing and support programs to create economic opportunities.  </w:t>
      </w:r>
    </w:p>
    <w:p w:rsidR="0072680A" w:rsidRPr="001C5CEB" w:rsidRDefault="0072680A" w:rsidP="001C5CEB">
      <w:r w:rsidRPr="002D0B2C">
        <w:t xml:space="preserve">DECD also provides technical and financial assistance to non-profit and for-profit sponsors, and municipalities for preservation, rehabilitation and development of affordable housing and associated housing support programs and services. The agency also administers </w:t>
      </w:r>
      <w:r w:rsidRPr="002D0B2C">
        <w:lastRenderedPageBreak/>
        <w:t xml:space="preserve">rental subsidy and tax- related assistance designed to promote </w:t>
      </w:r>
      <w:r w:rsidRPr="007933E5">
        <w:rPr>
          <w:szCs w:val="18"/>
        </w:rPr>
        <w:t>housing affordability. Some of these programs and services are as follows:</w:t>
      </w:r>
    </w:p>
    <w:p w:rsidR="0072680A" w:rsidRPr="007933E5" w:rsidRDefault="0057571E" w:rsidP="0072680A">
      <w:pPr>
        <w:numPr>
          <w:ilvl w:val="0"/>
          <w:numId w:val="36"/>
        </w:numPr>
        <w:rPr>
          <w:szCs w:val="18"/>
        </w:rPr>
      </w:pPr>
      <w:hyperlink r:id="rId14" w:anchor="AHP" w:history="1">
        <w:r w:rsidR="0072680A" w:rsidRPr="007933E5">
          <w:rPr>
            <w:rStyle w:val="Hyperlink"/>
            <w:rFonts w:ascii="Calibri" w:hAnsi="Calibri"/>
            <w:sz w:val="18"/>
            <w:szCs w:val="18"/>
            <w:u w:val="none"/>
          </w:rPr>
          <w:t>Affordable Housing Program</w:t>
        </w:r>
      </w:hyperlink>
      <w:r w:rsidR="0072680A" w:rsidRPr="007933E5">
        <w:rPr>
          <w:szCs w:val="18"/>
        </w:rPr>
        <w:t xml:space="preserve"> (Flex)</w:t>
      </w:r>
    </w:p>
    <w:p w:rsidR="0072680A" w:rsidRPr="007933E5" w:rsidRDefault="0057571E" w:rsidP="0072680A">
      <w:pPr>
        <w:numPr>
          <w:ilvl w:val="0"/>
          <w:numId w:val="36"/>
        </w:numPr>
        <w:rPr>
          <w:szCs w:val="18"/>
        </w:rPr>
      </w:pPr>
      <w:hyperlink r:id="rId15" w:anchor="HTF" w:history="1">
        <w:r w:rsidR="0072680A" w:rsidRPr="007933E5">
          <w:rPr>
            <w:rStyle w:val="Hyperlink"/>
            <w:rFonts w:ascii="Calibri" w:hAnsi="Calibri"/>
            <w:sz w:val="18"/>
            <w:szCs w:val="18"/>
            <w:u w:val="none"/>
          </w:rPr>
          <w:t>Housing Trust Fund</w:t>
        </w:r>
      </w:hyperlink>
      <w:r w:rsidR="0072680A" w:rsidRPr="007933E5">
        <w:rPr>
          <w:szCs w:val="18"/>
        </w:rPr>
        <w:t xml:space="preserve"> (HTF)</w:t>
      </w:r>
    </w:p>
    <w:p w:rsidR="0072680A" w:rsidRPr="007933E5" w:rsidRDefault="0072680A" w:rsidP="0072680A">
      <w:pPr>
        <w:numPr>
          <w:ilvl w:val="0"/>
          <w:numId w:val="36"/>
        </w:numPr>
        <w:rPr>
          <w:szCs w:val="18"/>
        </w:rPr>
      </w:pPr>
      <w:r w:rsidRPr="007933E5">
        <w:rPr>
          <w:szCs w:val="18"/>
        </w:rPr>
        <w:t>Elderly Congregate Ren</w:t>
      </w:r>
      <w:r w:rsidR="007933E5">
        <w:rPr>
          <w:szCs w:val="18"/>
        </w:rPr>
        <w:t>tal Assistance P</w:t>
      </w:r>
      <w:r w:rsidRPr="007933E5">
        <w:rPr>
          <w:szCs w:val="18"/>
        </w:rPr>
        <w:t>rogram</w:t>
      </w:r>
    </w:p>
    <w:p w:rsidR="0072680A" w:rsidRPr="007933E5" w:rsidRDefault="0072680A" w:rsidP="0072680A">
      <w:pPr>
        <w:numPr>
          <w:ilvl w:val="0"/>
          <w:numId w:val="36"/>
        </w:numPr>
        <w:rPr>
          <w:szCs w:val="18"/>
        </w:rPr>
      </w:pPr>
      <w:r w:rsidRPr="007933E5">
        <w:rPr>
          <w:szCs w:val="18"/>
        </w:rPr>
        <w:t>Energy Conservation Loan Program</w:t>
      </w:r>
    </w:p>
    <w:p w:rsidR="0072680A" w:rsidRPr="00AC1C37" w:rsidRDefault="0057571E" w:rsidP="0072680A">
      <w:pPr>
        <w:numPr>
          <w:ilvl w:val="0"/>
          <w:numId w:val="36"/>
        </w:numPr>
        <w:rPr>
          <w:szCs w:val="18"/>
        </w:rPr>
      </w:pPr>
      <w:hyperlink r:id="rId16" w:anchor="HOME" w:history="1">
        <w:r w:rsidR="0072680A" w:rsidRPr="007933E5">
          <w:rPr>
            <w:rStyle w:val="Hyperlink"/>
            <w:rFonts w:ascii="Calibri" w:hAnsi="Calibri"/>
            <w:sz w:val="18"/>
            <w:szCs w:val="18"/>
            <w:u w:val="none"/>
          </w:rPr>
          <w:t>HOME Investment Partnerships Program</w:t>
        </w:r>
      </w:hyperlink>
      <w:r w:rsidR="0072680A" w:rsidRPr="007933E5">
        <w:rPr>
          <w:szCs w:val="18"/>
        </w:rPr>
        <w:t xml:space="preserve"> (HOME)</w:t>
      </w:r>
    </w:p>
    <w:tbl>
      <w:tblPr>
        <w:tblpPr w:leftFromText="180" w:rightFromText="180" w:vertAnchor="text" w:horzAnchor="margin" w:tblpXSpec="right" w:tblpY="135"/>
        <w:tblW w:w="5177"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8" w:type="dxa"/>
          <w:left w:w="58" w:type="dxa"/>
          <w:bottom w:w="58" w:type="dxa"/>
          <w:right w:w="72" w:type="dxa"/>
        </w:tblCellMar>
        <w:tblLook w:val="01E0"/>
      </w:tblPr>
      <w:tblGrid>
        <w:gridCol w:w="1678"/>
        <w:gridCol w:w="1800"/>
        <w:gridCol w:w="1699"/>
      </w:tblGrid>
      <w:tr w:rsidR="001C5CEB" w:rsidRPr="002D0B2C" w:rsidTr="001C5CEB">
        <w:tc>
          <w:tcPr>
            <w:tcW w:w="5177" w:type="dxa"/>
            <w:gridSpan w:val="3"/>
            <w:shd w:val="clear" w:color="auto" w:fill="E5F5FF"/>
            <w:vAlign w:val="center"/>
          </w:tcPr>
          <w:p w:rsidR="001C5CEB" w:rsidRPr="002D0B2C" w:rsidRDefault="001C5CEB" w:rsidP="001C5CEB">
            <w:pPr>
              <w:pStyle w:val="Heading2"/>
            </w:pPr>
            <w:r w:rsidRPr="002D0B2C">
              <w:t xml:space="preserve">Outcome </w:t>
            </w:r>
            <w:proofErr w:type="gramStart"/>
            <w:r w:rsidRPr="002D0B2C">
              <w:t xml:space="preserve">Measure </w:t>
            </w:r>
            <w:r w:rsidRPr="002D0B2C">
              <w:rPr>
                <w:sz w:val="16"/>
                <w:szCs w:val="16"/>
              </w:rPr>
              <w:t xml:space="preserve"> Housing</w:t>
            </w:r>
            <w:proofErr w:type="gramEnd"/>
            <w:r w:rsidRPr="002D0B2C">
              <w:rPr>
                <w:sz w:val="16"/>
                <w:szCs w:val="16"/>
              </w:rPr>
              <w:t xml:space="preserve"> Development – Economic Impact Change</w:t>
            </w:r>
          </w:p>
        </w:tc>
      </w:tr>
      <w:tr w:rsidR="001C5CEB" w:rsidRPr="002D0B2C" w:rsidTr="001C5CEB">
        <w:trPr>
          <w:trHeight w:val="216"/>
        </w:trPr>
        <w:tc>
          <w:tcPr>
            <w:tcW w:w="1678" w:type="dxa"/>
            <w:vAlign w:val="bottom"/>
          </w:tcPr>
          <w:p w:rsidR="001C5CEB" w:rsidRPr="002D0B2C" w:rsidRDefault="001C5CEB" w:rsidP="001C5CEB">
            <w:pPr>
              <w:spacing w:before="0" w:after="0"/>
              <w:rPr>
                <w:sz w:val="16"/>
                <w:szCs w:val="16"/>
              </w:rPr>
            </w:pPr>
          </w:p>
        </w:tc>
        <w:tc>
          <w:tcPr>
            <w:tcW w:w="1800" w:type="dxa"/>
            <w:vAlign w:val="bottom"/>
          </w:tcPr>
          <w:p w:rsidR="001C5CEB" w:rsidRPr="002D0B2C" w:rsidRDefault="001C5CEB" w:rsidP="001C5CEB">
            <w:pPr>
              <w:spacing w:before="0" w:after="0"/>
              <w:jc w:val="center"/>
              <w:rPr>
                <w:sz w:val="16"/>
                <w:szCs w:val="16"/>
                <w:u w:val="single"/>
              </w:rPr>
            </w:pPr>
            <w:r w:rsidRPr="002D0B2C">
              <w:rPr>
                <w:sz w:val="16"/>
                <w:szCs w:val="16"/>
                <w:u w:val="single"/>
              </w:rPr>
              <w:t>Portfolio Aggregate</w:t>
            </w:r>
          </w:p>
        </w:tc>
        <w:tc>
          <w:tcPr>
            <w:tcW w:w="1699" w:type="dxa"/>
            <w:vAlign w:val="bottom"/>
          </w:tcPr>
          <w:p w:rsidR="001C5CEB" w:rsidRPr="002D0B2C" w:rsidRDefault="001C5CEB" w:rsidP="001C5CEB">
            <w:pPr>
              <w:spacing w:before="0" w:after="0"/>
              <w:jc w:val="center"/>
              <w:rPr>
                <w:sz w:val="16"/>
                <w:szCs w:val="16"/>
                <w:u w:val="single"/>
              </w:rPr>
            </w:pPr>
            <w:r>
              <w:rPr>
                <w:sz w:val="16"/>
                <w:szCs w:val="16"/>
                <w:u w:val="single"/>
              </w:rPr>
              <w:t>FY 2011</w:t>
            </w:r>
          </w:p>
        </w:tc>
      </w:tr>
      <w:tr w:rsidR="001C5CEB" w:rsidRPr="002D0B2C" w:rsidTr="001C5CEB">
        <w:trPr>
          <w:trHeight w:val="216"/>
        </w:trPr>
        <w:tc>
          <w:tcPr>
            <w:tcW w:w="1678" w:type="dxa"/>
            <w:vAlign w:val="center"/>
          </w:tcPr>
          <w:p w:rsidR="001C5CEB" w:rsidRPr="002D0B2C" w:rsidRDefault="001C5CEB" w:rsidP="001C5CEB">
            <w:pPr>
              <w:spacing w:before="0" w:after="0"/>
              <w:jc w:val="left"/>
              <w:rPr>
                <w:sz w:val="16"/>
                <w:szCs w:val="16"/>
              </w:rPr>
            </w:pPr>
            <w:r w:rsidRPr="002D0B2C">
              <w:rPr>
                <w:sz w:val="16"/>
                <w:szCs w:val="16"/>
              </w:rPr>
              <w:t>Gross State Product</w:t>
            </w:r>
          </w:p>
        </w:tc>
        <w:tc>
          <w:tcPr>
            <w:tcW w:w="1800" w:type="dxa"/>
            <w:vAlign w:val="center"/>
          </w:tcPr>
          <w:p w:rsidR="001C5CEB" w:rsidRPr="002D0B2C" w:rsidRDefault="001C5CEB" w:rsidP="001C5CEB">
            <w:pPr>
              <w:spacing w:before="0" w:after="0"/>
              <w:jc w:val="center"/>
              <w:rPr>
                <w:sz w:val="16"/>
                <w:szCs w:val="16"/>
              </w:rPr>
            </w:pPr>
            <w:r w:rsidRPr="002D0B2C">
              <w:rPr>
                <w:sz w:val="16"/>
                <w:szCs w:val="16"/>
              </w:rPr>
              <w:t>$923,391,822</w:t>
            </w:r>
          </w:p>
        </w:tc>
        <w:tc>
          <w:tcPr>
            <w:tcW w:w="1699" w:type="dxa"/>
            <w:vAlign w:val="center"/>
          </w:tcPr>
          <w:p w:rsidR="001C5CEB" w:rsidRPr="002D0B2C" w:rsidRDefault="001C5CEB" w:rsidP="001C5CEB">
            <w:pPr>
              <w:spacing w:before="0" w:after="0"/>
              <w:jc w:val="center"/>
              <w:rPr>
                <w:sz w:val="16"/>
                <w:szCs w:val="16"/>
              </w:rPr>
            </w:pPr>
            <w:r w:rsidRPr="002D0B2C">
              <w:rPr>
                <w:sz w:val="16"/>
                <w:szCs w:val="16"/>
              </w:rPr>
              <w:t>$34,446,626</w:t>
            </w:r>
          </w:p>
        </w:tc>
      </w:tr>
      <w:tr w:rsidR="001C5CEB" w:rsidRPr="002D0B2C" w:rsidTr="001C5CEB">
        <w:trPr>
          <w:trHeight w:val="216"/>
        </w:trPr>
        <w:tc>
          <w:tcPr>
            <w:tcW w:w="1678" w:type="dxa"/>
            <w:vAlign w:val="center"/>
          </w:tcPr>
          <w:p w:rsidR="001C5CEB" w:rsidRPr="002D0B2C" w:rsidRDefault="001C5CEB" w:rsidP="001C5CEB">
            <w:pPr>
              <w:spacing w:before="0" w:after="0"/>
              <w:jc w:val="left"/>
              <w:rPr>
                <w:sz w:val="16"/>
                <w:szCs w:val="16"/>
              </w:rPr>
            </w:pPr>
            <w:r w:rsidRPr="002D0B2C">
              <w:rPr>
                <w:sz w:val="16"/>
                <w:szCs w:val="16"/>
              </w:rPr>
              <w:t>Personal Income</w:t>
            </w:r>
          </w:p>
        </w:tc>
        <w:tc>
          <w:tcPr>
            <w:tcW w:w="1800" w:type="dxa"/>
            <w:vAlign w:val="center"/>
          </w:tcPr>
          <w:p w:rsidR="001C5CEB" w:rsidRPr="002D0B2C" w:rsidRDefault="001C5CEB" w:rsidP="001C5CEB">
            <w:pPr>
              <w:spacing w:before="0" w:after="0"/>
              <w:jc w:val="center"/>
              <w:rPr>
                <w:sz w:val="16"/>
                <w:szCs w:val="16"/>
              </w:rPr>
            </w:pPr>
            <w:r w:rsidRPr="002D0B2C">
              <w:rPr>
                <w:sz w:val="16"/>
                <w:szCs w:val="16"/>
              </w:rPr>
              <w:t>$1,078,085,878</w:t>
            </w:r>
          </w:p>
        </w:tc>
        <w:tc>
          <w:tcPr>
            <w:tcW w:w="1699" w:type="dxa"/>
            <w:vAlign w:val="center"/>
          </w:tcPr>
          <w:p w:rsidR="001C5CEB" w:rsidRPr="002D0B2C" w:rsidRDefault="001C5CEB" w:rsidP="001C5CEB">
            <w:pPr>
              <w:spacing w:before="0" w:after="0"/>
              <w:jc w:val="center"/>
              <w:rPr>
                <w:sz w:val="16"/>
                <w:szCs w:val="16"/>
              </w:rPr>
            </w:pPr>
            <w:r w:rsidRPr="002D0B2C">
              <w:rPr>
                <w:sz w:val="16"/>
                <w:szCs w:val="16"/>
              </w:rPr>
              <w:t>$42,000,000</w:t>
            </w:r>
          </w:p>
        </w:tc>
      </w:tr>
      <w:tr w:rsidR="001C5CEB" w:rsidRPr="002D0B2C" w:rsidTr="001C5CEB">
        <w:trPr>
          <w:trHeight w:val="216"/>
        </w:trPr>
        <w:tc>
          <w:tcPr>
            <w:tcW w:w="1678" w:type="dxa"/>
            <w:vAlign w:val="center"/>
          </w:tcPr>
          <w:p w:rsidR="001C5CEB" w:rsidRPr="002D0B2C" w:rsidRDefault="001C5CEB" w:rsidP="001C5CEB">
            <w:pPr>
              <w:spacing w:before="0" w:after="0"/>
              <w:jc w:val="left"/>
              <w:rPr>
                <w:sz w:val="16"/>
                <w:szCs w:val="16"/>
              </w:rPr>
            </w:pPr>
            <w:r w:rsidRPr="002D0B2C">
              <w:rPr>
                <w:sz w:val="16"/>
                <w:szCs w:val="16"/>
              </w:rPr>
              <w:t>State Net Revenue</w:t>
            </w:r>
          </w:p>
        </w:tc>
        <w:tc>
          <w:tcPr>
            <w:tcW w:w="1800" w:type="dxa"/>
            <w:vAlign w:val="center"/>
          </w:tcPr>
          <w:p w:rsidR="001C5CEB" w:rsidRPr="002D0B2C" w:rsidRDefault="001C5CEB" w:rsidP="001C5CEB">
            <w:pPr>
              <w:spacing w:before="0" w:after="0"/>
              <w:jc w:val="center"/>
              <w:rPr>
                <w:sz w:val="16"/>
                <w:szCs w:val="16"/>
              </w:rPr>
            </w:pPr>
            <w:r w:rsidRPr="002D0B2C">
              <w:rPr>
                <w:sz w:val="16"/>
                <w:szCs w:val="16"/>
              </w:rPr>
              <w:t>$8,315,596</w:t>
            </w:r>
          </w:p>
        </w:tc>
        <w:tc>
          <w:tcPr>
            <w:tcW w:w="1699" w:type="dxa"/>
            <w:vAlign w:val="center"/>
          </w:tcPr>
          <w:p w:rsidR="001C5CEB" w:rsidRPr="002D0B2C" w:rsidRDefault="001C5CEB" w:rsidP="001C5CEB">
            <w:pPr>
              <w:spacing w:before="0" w:after="0"/>
              <w:jc w:val="center"/>
              <w:rPr>
                <w:sz w:val="16"/>
                <w:szCs w:val="16"/>
              </w:rPr>
            </w:pPr>
            <w:r w:rsidRPr="002D0B2C">
              <w:rPr>
                <w:sz w:val="16"/>
                <w:szCs w:val="16"/>
              </w:rPr>
              <w:t>-$227,406</w:t>
            </w:r>
          </w:p>
        </w:tc>
      </w:tr>
    </w:tbl>
    <w:p w:rsidR="001C5CEB" w:rsidRDefault="0072680A" w:rsidP="001C5CEB">
      <w:pPr>
        <w:spacing w:before="120" w:line="240" w:lineRule="auto"/>
      </w:pPr>
      <w:r w:rsidRPr="002D0B2C">
        <w:t>DECD’s short-term housing strategies are governed by the immediate housing needs of Connecticut’s communities and by t</w:t>
      </w:r>
      <w:r w:rsidR="00A418F2">
        <w:t>he objectives set forth in the s</w:t>
      </w:r>
      <w:r w:rsidRPr="002D0B2C">
        <w:t xml:space="preserve">tate’s Annual Action Plan for Housing and Community Development. The agency’s short-term strategies are achieved through the initiation and completion of individual housing projects. </w:t>
      </w:r>
    </w:p>
    <w:p w:rsidR="0072680A" w:rsidRPr="002D0B2C" w:rsidRDefault="0072680A" w:rsidP="0072680A">
      <w:r w:rsidRPr="002D0B2C">
        <w:t xml:space="preserve"> </w:t>
      </w:r>
    </w:p>
    <w:p w:rsidR="0072680A" w:rsidRPr="002D0B2C" w:rsidRDefault="0072680A" w:rsidP="00C84117">
      <w:pPr>
        <w:pStyle w:val="ProgramHead"/>
        <w:sectPr w:rsidR="0072680A" w:rsidRPr="002D0B2C" w:rsidSect="0072680A">
          <w:type w:val="continuous"/>
          <w:pgSz w:w="12240" w:h="15840" w:code="1"/>
          <w:pgMar w:top="864" w:right="720" w:bottom="1152" w:left="720" w:header="432" w:footer="288" w:gutter="216"/>
          <w:cols w:num="2" w:space="432"/>
          <w:noEndnote/>
        </w:sectPr>
      </w:pPr>
    </w:p>
    <w:p w:rsidR="006A63B4" w:rsidRPr="002D0B2C" w:rsidRDefault="006A63B4" w:rsidP="00277400"/>
    <w:p w:rsidR="0072680A" w:rsidRPr="002D0B2C" w:rsidRDefault="0057571E" w:rsidP="003C4C38">
      <w:pPr>
        <w:pStyle w:val="ProgramHead"/>
      </w:pPr>
      <w:r w:rsidRPr="002D0B2C">
        <w:fldChar w:fldCharType="begin"/>
      </w:r>
      <w:r w:rsidR="00B22A0D" w:rsidRPr="002D0B2C">
        <w:instrText>XE "Ecd46000 7</w:instrText>
      </w:r>
      <w:r w:rsidR="00B22A0D">
        <w:instrText>4002</w:instrText>
      </w:r>
      <w:r w:rsidR="00B22A0D" w:rsidRPr="002D0B2C">
        <w:instrText>"</w:instrText>
      </w:r>
      <w:r w:rsidRPr="002D0B2C">
        <w:fldChar w:fldCharType="end"/>
      </w:r>
      <w:r w:rsidR="0072680A" w:rsidRPr="002D0B2C">
        <w:t xml:space="preserve">COMMUNITY DEVELOPMENT and SPECIAL PROJECTS </w:t>
      </w:r>
    </w:p>
    <w:p w:rsidR="0072680A" w:rsidRPr="002D0B2C" w:rsidRDefault="0072680A" w:rsidP="003C4C38">
      <w:pPr>
        <w:pStyle w:val="ProgramHead"/>
        <w:rPr>
          <w:snapToGrid w:val="0"/>
        </w:rPr>
        <w:sectPr w:rsidR="0072680A" w:rsidRPr="002D0B2C" w:rsidSect="00F13BA6">
          <w:type w:val="continuous"/>
          <w:pgSz w:w="12240" w:h="15840" w:code="1"/>
          <w:pgMar w:top="864" w:right="720" w:bottom="1152" w:left="720" w:header="432" w:footer="288" w:gutter="216"/>
          <w:cols w:space="432"/>
          <w:noEndnote/>
        </w:sectPr>
      </w:pPr>
    </w:p>
    <w:p w:rsidR="0072680A" w:rsidRPr="002D0B2C" w:rsidRDefault="0072680A" w:rsidP="0072680A">
      <w:pPr>
        <w:pStyle w:val="Heading2"/>
        <w:rPr>
          <w:bCs/>
          <w:iCs/>
          <w:snapToGrid w:val="0"/>
        </w:rPr>
      </w:pPr>
      <w:r w:rsidRPr="002D0B2C">
        <w:rPr>
          <w:snapToGrid w:val="0"/>
        </w:rPr>
        <w:lastRenderedPageBreak/>
        <w:t>Statutory Reference</w:t>
      </w:r>
      <w:r w:rsidRPr="002D0B2C">
        <w:rPr>
          <w:bCs/>
          <w:iCs/>
          <w:snapToGrid w:val="0"/>
        </w:rPr>
        <w:t xml:space="preserve"> </w:t>
      </w:r>
    </w:p>
    <w:p w:rsidR="0072680A" w:rsidRPr="002D0B2C" w:rsidRDefault="008A219F" w:rsidP="0072680A">
      <w:r>
        <w:t xml:space="preserve">C.G.S. </w:t>
      </w:r>
      <w:r w:rsidR="00B27BBC">
        <w:t xml:space="preserve">Sections </w:t>
      </w:r>
      <w:r w:rsidR="0072680A" w:rsidRPr="002D0B2C">
        <w:t>4-66c</w:t>
      </w:r>
      <w:proofErr w:type="gramStart"/>
      <w:r w:rsidR="0072680A" w:rsidRPr="002D0B2C">
        <w:t>,4</w:t>
      </w:r>
      <w:proofErr w:type="gramEnd"/>
      <w:r w:rsidR="0072680A" w:rsidRPr="002D0B2C">
        <w:t>-66g, 22a-1a,32-220, 32-9t, 32-9cc, Chapters 578</w:t>
      </w:r>
      <w:r w:rsidR="006073DF">
        <w:t>.</w:t>
      </w:r>
    </w:p>
    <w:p w:rsidR="0072680A" w:rsidRPr="002D0B2C" w:rsidRDefault="0072680A" w:rsidP="00AC1C37">
      <w:pPr>
        <w:pStyle w:val="Heading2"/>
        <w:spacing w:before="80" w:after="0" w:line="240" w:lineRule="auto"/>
        <w:rPr>
          <w:snapToGrid w:val="0"/>
          <w:color w:val="000000"/>
        </w:rPr>
      </w:pPr>
      <w:r w:rsidRPr="002D0B2C">
        <w:rPr>
          <w:snapToGrid w:val="0"/>
        </w:rPr>
        <w:t>Statement of Need and Program Objectives</w:t>
      </w:r>
    </w:p>
    <w:p w:rsidR="0072680A" w:rsidRPr="002D0B2C" w:rsidRDefault="0072680A" w:rsidP="00AC1C37">
      <w:pPr>
        <w:spacing w:before="0" w:after="80"/>
        <w:rPr>
          <w:snapToGrid w:val="0"/>
        </w:rPr>
      </w:pPr>
      <w:r w:rsidRPr="002D0B2C">
        <w:rPr>
          <w:snapToGrid w:val="0"/>
        </w:rPr>
        <w:t xml:space="preserve">Community development activities create the environment necessary for sustainable economic growth, stable neighborhoods and healthy communities. Community development activities address the “quality of life” issues that create and reinforce the foundation that effective economic and housing development depends upon for success.  </w:t>
      </w:r>
    </w:p>
    <w:p w:rsidR="0072680A" w:rsidRPr="002D0B2C" w:rsidRDefault="0072680A" w:rsidP="00AC1C37">
      <w:pPr>
        <w:spacing w:before="0" w:line="240" w:lineRule="auto"/>
        <w:rPr>
          <w:snapToGrid w:val="0"/>
        </w:rPr>
      </w:pPr>
      <w:r w:rsidRPr="002D0B2C">
        <w:rPr>
          <w:snapToGrid w:val="0"/>
        </w:rPr>
        <w:t>Community Development includes economic, social and environmental development that incorporates land use and resources in ways that enhance the long-term quality of life for Connecticut’s current and future generations.  This supports a vibrant and resilient economy, preserves the state’s natural resources and maximizes previous investments in existing infrastructure while preserving distinctive landscapes, historic structures, landmarks, and villages.</w:t>
      </w:r>
    </w:p>
    <w:p w:rsidR="0072680A" w:rsidRPr="002D0B2C" w:rsidRDefault="0072680A" w:rsidP="00AC1C37">
      <w:pPr>
        <w:pStyle w:val="Heading2"/>
        <w:spacing w:before="80" w:after="0" w:line="240" w:lineRule="auto"/>
        <w:rPr>
          <w:snapToGrid w:val="0"/>
        </w:rPr>
      </w:pPr>
      <w:r w:rsidRPr="002D0B2C">
        <w:rPr>
          <w:snapToGrid w:val="0"/>
        </w:rPr>
        <w:t>Program Description</w:t>
      </w:r>
    </w:p>
    <w:p w:rsidR="0072680A" w:rsidRPr="002D0B2C" w:rsidRDefault="0072680A" w:rsidP="0072680A">
      <w:pPr>
        <w:rPr>
          <w:snapToGrid w:val="0"/>
        </w:rPr>
      </w:pPr>
      <w:r w:rsidRPr="002D0B2C">
        <w:rPr>
          <w:snapToGrid w:val="0"/>
        </w:rPr>
        <w:t xml:space="preserve">DECD utilizes a number of programs, services and strategies to improve the quality of life in Connecticut’s communities.   </w:t>
      </w:r>
    </w:p>
    <w:p w:rsidR="0072680A" w:rsidRPr="002D0B2C" w:rsidRDefault="0072680A" w:rsidP="0072680A">
      <w:pPr>
        <w:rPr>
          <w:snapToGrid w:val="0"/>
        </w:rPr>
      </w:pPr>
      <w:r w:rsidRPr="002D0B2C">
        <w:rPr>
          <w:snapToGrid w:val="0"/>
        </w:rPr>
        <w:t xml:space="preserve">DECD also employs numerous state and federally funded community development programs and services, as well as state bond funds, to improve the quality of life in </w:t>
      </w:r>
      <w:smartTag w:uri="urn:schemas-microsoft-com:office:smarttags" w:element="place">
        <w:smartTag w:uri="urn:schemas-microsoft-com:office:smarttags" w:element="State">
          <w:r w:rsidRPr="002D0B2C">
            <w:rPr>
              <w:snapToGrid w:val="0"/>
            </w:rPr>
            <w:t>Connecticut</w:t>
          </w:r>
        </w:smartTag>
      </w:smartTag>
      <w:r w:rsidRPr="002D0B2C">
        <w:rPr>
          <w:snapToGrid w:val="0"/>
        </w:rPr>
        <w:t>’s cities and towns and provide infrastructure improvement opportunities.  Some of these programs and services are as follows:</w:t>
      </w:r>
    </w:p>
    <w:p w:rsidR="0072680A" w:rsidRPr="002D0B2C" w:rsidRDefault="0072680A" w:rsidP="0072680A">
      <w:pPr>
        <w:numPr>
          <w:ilvl w:val="0"/>
          <w:numId w:val="34"/>
        </w:numPr>
        <w:rPr>
          <w:snapToGrid w:val="0"/>
        </w:rPr>
      </w:pPr>
      <w:r w:rsidRPr="002D0B2C">
        <w:rPr>
          <w:snapToGrid w:val="0"/>
        </w:rPr>
        <w:lastRenderedPageBreak/>
        <w:t>Urban Action Grants</w:t>
      </w:r>
    </w:p>
    <w:p w:rsidR="008A219F" w:rsidRPr="008A219F" w:rsidRDefault="0072680A" w:rsidP="008A219F">
      <w:pPr>
        <w:numPr>
          <w:ilvl w:val="0"/>
          <w:numId w:val="34"/>
        </w:numPr>
      </w:pPr>
      <w:r w:rsidRPr="002D0B2C">
        <w:rPr>
          <w:snapToGrid w:val="0"/>
        </w:rPr>
        <w:t>Small Cities Community Development Block Grant Program (SC-CDBG)</w:t>
      </w:r>
      <w:r w:rsidR="008A219F" w:rsidRPr="008A219F">
        <w:rPr>
          <w:snapToGrid w:val="0"/>
        </w:rPr>
        <w:t xml:space="preserve"> </w:t>
      </w:r>
    </w:p>
    <w:p w:rsidR="008A219F" w:rsidRPr="002D0B2C" w:rsidRDefault="008A219F" w:rsidP="008A219F">
      <w:pPr>
        <w:numPr>
          <w:ilvl w:val="0"/>
          <w:numId w:val="34"/>
        </w:numPr>
      </w:pPr>
      <w:r w:rsidRPr="002D0B2C">
        <w:rPr>
          <w:snapToGrid w:val="0"/>
        </w:rPr>
        <w:t>Small Town Economic Assistance Program (STEAP)</w:t>
      </w:r>
    </w:p>
    <w:p w:rsidR="0072680A" w:rsidRPr="008A219F" w:rsidRDefault="008A219F" w:rsidP="008A219F">
      <w:pPr>
        <w:numPr>
          <w:ilvl w:val="0"/>
          <w:numId w:val="34"/>
        </w:numPr>
      </w:pPr>
      <w:r w:rsidRPr="002D0B2C">
        <w:rPr>
          <w:snapToGrid w:val="0"/>
        </w:rPr>
        <w:t>Brownfield Programs</w:t>
      </w:r>
    </w:p>
    <w:tbl>
      <w:tblPr>
        <w:tblpPr w:leftFromText="180" w:rightFromText="180" w:vertAnchor="text" w:horzAnchor="margin" w:tblpXSpec="right" w:tblpY="125"/>
        <w:tblW w:w="5177"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CellMar>
          <w:top w:w="58" w:type="dxa"/>
          <w:left w:w="58" w:type="dxa"/>
          <w:bottom w:w="58" w:type="dxa"/>
          <w:right w:w="72" w:type="dxa"/>
        </w:tblCellMar>
        <w:tblLook w:val="01E0"/>
      </w:tblPr>
      <w:tblGrid>
        <w:gridCol w:w="1678"/>
        <w:gridCol w:w="1710"/>
        <w:gridCol w:w="1789"/>
      </w:tblGrid>
      <w:tr w:rsidR="0072680A" w:rsidRPr="002D0B2C" w:rsidTr="0072680A">
        <w:tc>
          <w:tcPr>
            <w:tcW w:w="5177" w:type="dxa"/>
            <w:gridSpan w:val="3"/>
            <w:shd w:val="clear" w:color="auto" w:fill="E5F5FF"/>
            <w:vAlign w:val="center"/>
          </w:tcPr>
          <w:p w:rsidR="0072680A" w:rsidRPr="002D0B2C" w:rsidRDefault="0072680A" w:rsidP="0072680A">
            <w:pPr>
              <w:pStyle w:val="Heading2"/>
            </w:pPr>
            <w:r w:rsidRPr="002D0B2C">
              <w:t>Outcome Measure – Community Development Activities</w:t>
            </w:r>
          </w:p>
        </w:tc>
      </w:tr>
      <w:tr w:rsidR="0072680A" w:rsidRPr="002D0B2C" w:rsidTr="0072680A">
        <w:tc>
          <w:tcPr>
            <w:tcW w:w="5177" w:type="dxa"/>
            <w:gridSpan w:val="3"/>
            <w:shd w:val="clear" w:color="auto" w:fill="auto"/>
            <w:vAlign w:val="center"/>
          </w:tcPr>
          <w:p w:rsidR="0072680A" w:rsidRPr="002D0B2C" w:rsidRDefault="00A418F2" w:rsidP="0072680A">
            <w:pPr>
              <w:jc w:val="center"/>
              <w:rPr>
                <w:sz w:val="16"/>
                <w:szCs w:val="16"/>
              </w:rPr>
            </w:pPr>
            <w:r>
              <w:rPr>
                <w:sz w:val="16"/>
                <w:szCs w:val="16"/>
              </w:rPr>
              <w:t>Projects/Activities FY 20</w:t>
            </w:r>
            <w:r w:rsidR="0072680A" w:rsidRPr="002D0B2C">
              <w:rPr>
                <w:sz w:val="16"/>
                <w:szCs w:val="16"/>
              </w:rPr>
              <w:t>12</w:t>
            </w:r>
          </w:p>
        </w:tc>
      </w:tr>
      <w:tr w:rsidR="0072680A" w:rsidRPr="002D0B2C" w:rsidTr="004A1724">
        <w:trPr>
          <w:trHeight w:val="216"/>
        </w:trPr>
        <w:tc>
          <w:tcPr>
            <w:tcW w:w="1678" w:type="dxa"/>
            <w:vAlign w:val="bottom"/>
          </w:tcPr>
          <w:p w:rsidR="0072680A" w:rsidRPr="002D0B2C" w:rsidRDefault="0072680A" w:rsidP="0072680A">
            <w:pPr>
              <w:spacing w:before="0" w:after="0"/>
              <w:rPr>
                <w:sz w:val="16"/>
                <w:szCs w:val="16"/>
              </w:rPr>
            </w:pPr>
          </w:p>
        </w:tc>
        <w:tc>
          <w:tcPr>
            <w:tcW w:w="1710" w:type="dxa"/>
            <w:vAlign w:val="bottom"/>
          </w:tcPr>
          <w:p w:rsidR="0072680A" w:rsidRPr="002D0B2C" w:rsidRDefault="0072680A" w:rsidP="0072680A">
            <w:pPr>
              <w:spacing w:before="0" w:after="0"/>
              <w:jc w:val="right"/>
              <w:rPr>
                <w:sz w:val="16"/>
                <w:szCs w:val="16"/>
                <w:u w:val="single"/>
              </w:rPr>
            </w:pPr>
            <w:r w:rsidRPr="002D0B2C">
              <w:rPr>
                <w:sz w:val="16"/>
                <w:szCs w:val="16"/>
                <w:u w:val="single"/>
              </w:rPr>
              <w:t>Communities Assisted</w:t>
            </w:r>
          </w:p>
        </w:tc>
        <w:tc>
          <w:tcPr>
            <w:tcW w:w="1789" w:type="dxa"/>
            <w:vAlign w:val="bottom"/>
          </w:tcPr>
          <w:p w:rsidR="0072680A" w:rsidRPr="002D0B2C" w:rsidRDefault="0072680A" w:rsidP="0072680A">
            <w:pPr>
              <w:spacing w:before="0" w:after="0"/>
              <w:jc w:val="center"/>
              <w:rPr>
                <w:sz w:val="16"/>
                <w:szCs w:val="16"/>
                <w:u w:val="single"/>
              </w:rPr>
            </w:pPr>
            <w:r w:rsidRPr="002D0B2C">
              <w:rPr>
                <w:sz w:val="16"/>
                <w:szCs w:val="16"/>
                <w:u w:val="single"/>
              </w:rPr>
              <w:t>Investment</w:t>
            </w:r>
          </w:p>
        </w:tc>
      </w:tr>
      <w:tr w:rsidR="0072680A" w:rsidRPr="002D0B2C" w:rsidTr="004A1724">
        <w:trPr>
          <w:trHeight w:val="216"/>
        </w:trPr>
        <w:tc>
          <w:tcPr>
            <w:tcW w:w="1678" w:type="dxa"/>
            <w:vAlign w:val="center"/>
          </w:tcPr>
          <w:p w:rsidR="0072680A" w:rsidRPr="002D0B2C" w:rsidRDefault="0072680A" w:rsidP="0072680A">
            <w:pPr>
              <w:spacing w:before="0" w:after="0"/>
              <w:jc w:val="left"/>
              <w:rPr>
                <w:sz w:val="16"/>
                <w:szCs w:val="16"/>
              </w:rPr>
            </w:pPr>
            <w:r w:rsidRPr="002D0B2C">
              <w:rPr>
                <w:sz w:val="16"/>
                <w:szCs w:val="16"/>
              </w:rPr>
              <w:t>SC- CDBG</w:t>
            </w:r>
          </w:p>
        </w:tc>
        <w:tc>
          <w:tcPr>
            <w:tcW w:w="1710" w:type="dxa"/>
            <w:vAlign w:val="center"/>
          </w:tcPr>
          <w:p w:rsidR="0072680A" w:rsidRPr="002D0B2C" w:rsidRDefault="0072680A" w:rsidP="0072680A">
            <w:pPr>
              <w:spacing w:before="0" w:after="0"/>
              <w:jc w:val="center"/>
              <w:rPr>
                <w:sz w:val="16"/>
                <w:szCs w:val="16"/>
              </w:rPr>
            </w:pPr>
            <w:r w:rsidRPr="002D0B2C">
              <w:rPr>
                <w:sz w:val="16"/>
                <w:szCs w:val="16"/>
              </w:rPr>
              <w:t>33</w:t>
            </w:r>
          </w:p>
        </w:tc>
        <w:tc>
          <w:tcPr>
            <w:tcW w:w="1789" w:type="dxa"/>
            <w:vAlign w:val="center"/>
          </w:tcPr>
          <w:p w:rsidR="0072680A" w:rsidRPr="002D0B2C" w:rsidRDefault="0072680A" w:rsidP="0072680A">
            <w:pPr>
              <w:spacing w:before="0" w:after="0"/>
              <w:jc w:val="center"/>
              <w:rPr>
                <w:sz w:val="16"/>
                <w:szCs w:val="16"/>
              </w:rPr>
            </w:pPr>
            <w:r w:rsidRPr="002D0B2C">
              <w:rPr>
                <w:sz w:val="16"/>
                <w:szCs w:val="16"/>
              </w:rPr>
              <w:t>$17,035,000</w:t>
            </w:r>
          </w:p>
        </w:tc>
      </w:tr>
    </w:tbl>
    <w:p w:rsidR="0072680A" w:rsidRPr="002D0B2C" w:rsidRDefault="0072680A" w:rsidP="001C5CEB">
      <w:pPr>
        <w:spacing w:before="80" w:after="0" w:line="240" w:lineRule="auto"/>
        <w:rPr>
          <w:bCs/>
          <w:iCs/>
          <w:snapToGrid w:val="0"/>
        </w:rPr>
      </w:pPr>
      <w:r w:rsidRPr="002D0B2C">
        <w:rPr>
          <w:bCs/>
          <w:iCs/>
          <w:snapToGrid w:val="0"/>
        </w:rPr>
        <w:t xml:space="preserve">DECD’s community development mission is supported by long-term and short-term strategies. </w:t>
      </w:r>
    </w:p>
    <w:p w:rsidR="0072680A" w:rsidRPr="002D0B2C" w:rsidRDefault="0072680A" w:rsidP="0072680A">
      <w:pPr>
        <w:rPr>
          <w:snapToGrid w:val="0"/>
        </w:rPr>
      </w:pPr>
      <w:r w:rsidRPr="002D0B2C">
        <w:rPr>
          <w:bCs/>
          <w:iCs/>
          <w:snapToGrid w:val="0"/>
        </w:rPr>
        <w:t xml:space="preserve">The short-term community development strategy centers on servicing the immediate infrastructure needs of </w:t>
      </w:r>
      <w:smartTag w:uri="urn:schemas-microsoft-com:office:smarttags" w:element="place">
        <w:smartTag w:uri="urn:schemas-microsoft-com:office:smarttags" w:element="State">
          <w:r w:rsidRPr="002D0B2C">
            <w:rPr>
              <w:bCs/>
              <w:iCs/>
              <w:snapToGrid w:val="0"/>
            </w:rPr>
            <w:t>Connecticut</w:t>
          </w:r>
        </w:smartTag>
      </w:smartTag>
      <w:r w:rsidRPr="002D0B2C">
        <w:rPr>
          <w:bCs/>
          <w:iCs/>
          <w:snapToGrid w:val="0"/>
        </w:rPr>
        <w:t xml:space="preserve">’s communities through individual development projects that result in a broad social impact upon the various constituencies within a community.  DECD’s long-term strategy is governed by </w:t>
      </w:r>
      <w:r w:rsidRPr="002D0B2C">
        <w:t xml:space="preserve">the goals and objectives set forth in </w:t>
      </w:r>
      <w:smartTag w:uri="urn:schemas-microsoft-com:office:smarttags" w:element="State">
        <w:smartTag w:uri="urn:schemas-microsoft-com:office:smarttags" w:element="place">
          <w:r w:rsidRPr="002D0B2C">
            <w:t>Connecticut</w:t>
          </w:r>
        </w:smartTag>
      </w:smartTag>
      <w:r w:rsidRPr="002D0B2C">
        <w:t>’s Consolidated Plan for Housing and Community Development. This plan focuses on the building of broad community foundations that enhance quality of life and support further economic expansion and the development of safe and affordable housing.</w:t>
      </w:r>
      <w:r w:rsidRPr="002D0B2C">
        <w:rPr>
          <w:snapToGrid w:val="0"/>
        </w:rPr>
        <w:t xml:space="preserve"> DECD’s Brownfield Remediation and Development office provides a “one-stop” state resource for </w:t>
      </w:r>
      <w:r w:rsidRPr="002D0B2C">
        <w:rPr>
          <w:snapToGrid w:val="0"/>
        </w:rPr>
        <w:lastRenderedPageBreak/>
        <w:t>information on the programs and services available for brownfield redevelopment in Connecticut.</w:t>
      </w:r>
    </w:p>
    <w:p w:rsidR="0072680A" w:rsidRPr="002D0B2C" w:rsidRDefault="0072680A" w:rsidP="00C84117">
      <w:pPr>
        <w:pStyle w:val="ProgramHead"/>
        <w:sectPr w:rsidR="0072680A" w:rsidRPr="002D0B2C" w:rsidSect="0072680A">
          <w:type w:val="continuous"/>
          <w:pgSz w:w="12240" w:h="15840" w:code="1"/>
          <w:pgMar w:top="864" w:right="720" w:bottom="1152" w:left="720" w:header="432" w:footer="288" w:gutter="216"/>
          <w:cols w:num="2" w:space="432"/>
          <w:noEndnote/>
        </w:sectPr>
      </w:pPr>
    </w:p>
    <w:p w:rsidR="00B37803" w:rsidRPr="002D0B2C" w:rsidRDefault="00B37803" w:rsidP="00744BD3"/>
    <w:p w:rsidR="001D561B" w:rsidRPr="002D0B2C" w:rsidRDefault="0057571E" w:rsidP="003C4C38">
      <w:pPr>
        <w:pStyle w:val="ProgramHead"/>
        <w:sectPr w:rsidR="001D561B" w:rsidRPr="002D0B2C" w:rsidSect="00F13BA6">
          <w:type w:val="continuous"/>
          <w:pgSz w:w="12240" w:h="15840" w:code="1"/>
          <w:pgMar w:top="864" w:right="720" w:bottom="1152" w:left="720" w:header="432" w:footer="288" w:gutter="216"/>
          <w:cols w:space="720"/>
          <w:noEndnote/>
        </w:sectPr>
      </w:pPr>
      <w:r w:rsidRPr="002D0B2C">
        <w:fldChar w:fldCharType="begin"/>
      </w:r>
      <w:r w:rsidR="00B22A0D" w:rsidRPr="002D0B2C">
        <w:instrText>XE "Ecd46000 7</w:instrText>
      </w:r>
      <w:r w:rsidR="00B22A0D">
        <w:instrText>5001</w:instrText>
      </w:r>
      <w:r w:rsidR="00B22A0D" w:rsidRPr="002D0B2C">
        <w:instrText>"</w:instrText>
      </w:r>
      <w:r w:rsidRPr="002D0B2C">
        <w:fldChar w:fldCharType="end"/>
      </w:r>
      <w:r w:rsidR="001D561B" w:rsidRPr="002D0B2C">
        <w:t xml:space="preserve">TOURISM &amp; </w:t>
      </w:r>
      <w:r w:rsidR="006073DF">
        <w:t>branD</w:t>
      </w:r>
    </w:p>
    <w:p w:rsidR="001D561B" w:rsidRPr="002D0B2C" w:rsidRDefault="001D561B" w:rsidP="001D561B">
      <w:pPr>
        <w:pStyle w:val="Heading2"/>
      </w:pPr>
      <w:r w:rsidRPr="002D0B2C">
        <w:t xml:space="preserve">Statutory Reference </w:t>
      </w:r>
    </w:p>
    <w:p w:rsidR="001D561B" w:rsidRPr="002D0B2C" w:rsidRDefault="008A219F" w:rsidP="001D561B">
      <w:pPr>
        <w:pStyle w:val="NoSpacing"/>
        <w:rPr>
          <w:rFonts w:cs="Arial"/>
          <w:sz w:val="18"/>
          <w:szCs w:val="18"/>
        </w:rPr>
      </w:pPr>
      <w:r>
        <w:rPr>
          <w:rFonts w:cs="Arial"/>
          <w:sz w:val="18"/>
          <w:szCs w:val="18"/>
        </w:rPr>
        <w:t>C.G.S. Chapter 184b, Sections 10-392 through</w:t>
      </w:r>
      <w:r w:rsidR="00AC1C37">
        <w:rPr>
          <w:rFonts w:cs="Arial"/>
          <w:sz w:val="18"/>
          <w:szCs w:val="18"/>
        </w:rPr>
        <w:t xml:space="preserve"> 10-</w:t>
      </w:r>
      <w:r w:rsidR="001D561B" w:rsidRPr="002D0B2C">
        <w:rPr>
          <w:rFonts w:cs="Arial"/>
          <w:sz w:val="18"/>
          <w:szCs w:val="18"/>
        </w:rPr>
        <w:t>399</w:t>
      </w:r>
      <w:r w:rsidR="006073DF">
        <w:rPr>
          <w:rFonts w:cs="Arial"/>
          <w:sz w:val="18"/>
          <w:szCs w:val="18"/>
        </w:rPr>
        <w:t>.</w:t>
      </w:r>
    </w:p>
    <w:p w:rsidR="001D561B" w:rsidRPr="002D0B2C" w:rsidRDefault="001D561B" w:rsidP="00AC1C37">
      <w:pPr>
        <w:pStyle w:val="Heading2"/>
        <w:spacing w:before="80" w:after="0" w:line="240" w:lineRule="auto"/>
      </w:pPr>
      <w:r w:rsidRPr="002D0B2C">
        <w:t>Statement of Need and Program Objectives</w:t>
      </w:r>
    </w:p>
    <w:p w:rsidR="001D561B" w:rsidRPr="002D0B2C" w:rsidRDefault="001D561B" w:rsidP="00AC1C37">
      <w:pPr>
        <w:spacing w:before="0" w:line="240" w:lineRule="auto"/>
        <w:rPr>
          <w:rFonts w:cs="Arial"/>
          <w:szCs w:val="18"/>
        </w:rPr>
      </w:pPr>
      <w:r w:rsidRPr="002D0B2C">
        <w:rPr>
          <w:rFonts w:cs="Arial"/>
          <w:szCs w:val="18"/>
        </w:rPr>
        <w:t>DECD is the lead agency for branding and marketing the state for tourism development.  Tourism’s unique mission brings visitors to Connecticut creating jobs to employ Connecticut residents and support their families, and generating state and local taxes to support public services essential to Connecticut tax payers.  It also motivates Connecticut residents to embody the pride and spirit of an engaging destination excited to support business growth and welcome tourists and visiting friends and families.   The objectives are to build a market research based brand position, craft comprehensive and cost-effective marketing strategies, and execute marketing campaigns to promote Connecticut as a year-round travel and cultural destination that dramatically improves the attractiveness of the state as a place to visit, to live and work, and to grow a business.</w:t>
      </w:r>
      <w:r w:rsidRPr="002D0B2C">
        <w:rPr>
          <w:rFonts w:cs="Arial"/>
        </w:rPr>
        <w:t xml:space="preserve"> </w:t>
      </w:r>
    </w:p>
    <w:p w:rsidR="001D561B" w:rsidRPr="002D0B2C" w:rsidRDefault="001D561B" w:rsidP="00AC1C37">
      <w:pPr>
        <w:pStyle w:val="Heading2"/>
        <w:spacing w:before="80" w:after="0" w:line="240" w:lineRule="auto"/>
      </w:pPr>
      <w:r w:rsidRPr="002D0B2C">
        <w:t>Program Description</w:t>
      </w:r>
    </w:p>
    <w:p w:rsidR="001D561B" w:rsidRPr="002D0B2C" w:rsidRDefault="001D561B" w:rsidP="008A219F">
      <w:pPr>
        <w:pStyle w:val="NoSpacing"/>
        <w:jc w:val="both"/>
        <w:rPr>
          <w:rFonts w:cs="Arial"/>
          <w:sz w:val="18"/>
          <w:szCs w:val="18"/>
        </w:rPr>
      </w:pPr>
      <w:r w:rsidRPr="002D0B2C">
        <w:rPr>
          <w:rFonts w:cs="Arial"/>
          <w:sz w:val="18"/>
          <w:szCs w:val="18"/>
        </w:rPr>
        <w:t>The role of DECD’s Office of Tourism is unique in the state of Connecticut:</w:t>
      </w:r>
    </w:p>
    <w:p w:rsidR="001D561B" w:rsidRPr="002D0B2C" w:rsidRDefault="001D561B" w:rsidP="008A219F">
      <w:pPr>
        <w:pStyle w:val="NoSpacing"/>
        <w:numPr>
          <w:ilvl w:val="0"/>
          <w:numId w:val="45"/>
        </w:numPr>
        <w:jc w:val="both"/>
        <w:rPr>
          <w:rFonts w:cs="Arial"/>
          <w:sz w:val="18"/>
          <w:szCs w:val="18"/>
        </w:rPr>
      </w:pPr>
      <w:r w:rsidRPr="002D0B2C">
        <w:rPr>
          <w:rFonts w:cs="Arial"/>
          <w:sz w:val="18"/>
          <w:szCs w:val="18"/>
        </w:rPr>
        <w:t>Develops the Connecticut brand and strategic marketing plan including message, creative and in-state, out-of-state and international media strategies;</w:t>
      </w:r>
    </w:p>
    <w:p w:rsidR="001D561B" w:rsidRPr="002D0B2C" w:rsidRDefault="001D561B" w:rsidP="008A219F">
      <w:pPr>
        <w:pStyle w:val="NoSpacing"/>
        <w:numPr>
          <w:ilvl w:val="0"/>
          <w:numId w:val="45"/>
        </w:numPr>
        <w:jc w:val="both"/>
        <w:rPr>
          <w:rFonts w:cs="Arial"/>
          <w:sz w:val="18"/>
          <w:szCs w:val="18"/>
        </w:rPr>
      </w:pPr>
      <w:r w:rsidRPr="002D0B2C">
        <w:rPr>
          <w:rFonts w:cs="Arial"/>
          <w:sz w:val="18"/>
          <w:szCs w:val="18"/>
        </w:rPr>
        <w:t>Conducts research to guide public and private marketing efforts and measure performance;</w:t>
      </w:r>
    </w:p>
    <w:p w:rsidR="001D561B" w:rsidRPr="002D0B2C" w:rsidRDefault="001D561B" w:rsidP="008A219F">
      <w:pPr>
        <w:pStyle w:val="NoSpacing"/>
        <w:numPr>
          <w:ilvl w:val="0"/>
          <w:numId w:val="45"/>
        </w:numPr>
        <w:jc w:val="both"/>
        <w:rPr>
          <w:rFonts w:cs="Arial"/>
          <w:sz w:val="18"/>
          <w:szCs w:val="18"/>
        </w:rPr>
      </w:pPr>
      <w:r w:rsidRPr="002D0B2C">
        <w:rPr>
          <w:rFonts w:cs="Arial"/>
          <w:sz w:val="18"/>
          <w:szCs w:val="18"/>
        </w:rPr>
        <w:t>Executes integrated campaigns including, but not limited to, online and traditional advertising, promotions, public relations and direct sales;</w:t>
      </w:r>
    </w:p>
    <w:p w:rsidR="001D561B" w:rsidRPr="002D0B2C" w:rsidRDefault="000C7B00" w:rsidP="008A219F">
      <w:pPr>
        <w:pStyle w:val="NoSpacing"/>
        <w:numPr>
          <w:ilvl w:val="0"/>
          <w:numId w:val="45"/>
        </w:numPr>
        <w:jc w:val="both"/>
        <w:rPr>
          <w:rFonts w:cs="Arial"/>
          <w:sz w:val="18"/>
          <w:szCs w:val="18"/>
        </w:rPr>
      </w:pPr>
      <w:r>
        <w:rPr>
          <w:rFonts w:cs="Arial"/>
          <w:sz w:val="18"/>
          <w:szCs w:val="18"/>
        </w:rPr>
        <w:t>Acts as C</w:t>
      </w:r>
      <w:r w:rsidR="001D561B" w:rsidRPr="002D0B2C">
        <w:rPr>
          <w:rFonts w:cs="Arial"/>
          <w:sz w:val="18"/>
          <w:szCs w:val="18"/>
        </w:rPr>
        <w:t xml:space="preserve">onnecticut’s primary source for state </w:t>
      </w:r>
      <w:r>
        <w:rPr>
          <w:rFonts w:cs="Arial"/>
          <w:sz w:val="18"/>
          <w:szCs w:val="18"/>
        </w:rPr>
        <w:t xml:space="preserve">tourism destination information ,including the </w:t>
      </w:r>
      <w:r w:rsidR="001D561B" w:rsidRPr="000C7B00">
        <w:rPr>
          <w:rFonts w:cs="Arial"/>
          <w:sz w:val="18"/>
          <w:szCs w:val="18"/>
        </w:rPr>
        <w:t>Connecticut Visitors Guide</w:t>
      </w:r>
      <w:r>
        <w:rPr>
          <w:rFonts w:cs="Arial"/>
          <w:sz w:val="18"/>
          <w:szCs w:val="18"/>
        </w:rPr>
        <w:t>,</w:t>
      </w:r>
      <w:r w:rsidR="00A418F2">
        <w:rPr>
          <w:rFonts w:cs="Arial"/>
          <w:sz w:val="18"/>
          <w:szCs w:val="18"/>
        </w:rPr>
        <w:t xml:space="preserve"> </w:t>
      </w:r>
      <w:r w:rsidR="001D561B" w:rsidRPr="002D0B2C">
        <w:rPr>
          <w:rFonts w:cs="Arial"/>
          <w:sz w:val="18"/>
          <w:szCs w:val="18"/>
        </w:rPr>
        <w:t xml:space="preserve">tourism maps, and </w:t>
      </w:r>
      <w:r>
        <w:rPr>
          <w:rFonts w:cs="Arial"/>
          <w:sz w:val="18"/>
          <w:szCs w:val="18"/>
        </w:rPr>
        <w:t xml:space="preserve">the </w:t>
      </w:r>
      <w:r w:rsidR="001D561B" w:rsidRPr="002D0B2C">
        <w:rPr>
          <w:rFonts w:cs="Arial"/>
          <w:sz w:val="18"/>
          <w:szCs w:val="18"/>
        </w:rPr>
        <w:t xml:space="preserve">official state tourism website </w:t>
      </w:r>
      <w:hyperlink r:id="rId17" w:history="1">
        <w:r w:rsidR="001D561B" w:rsidRPr="002D0B2C">
          <w:rPr>
            <w:rStyle w:val="Hyperlink"/>
            <w:rFonts w:ascii="Calibri" w:hAnsi="Calibri" w:cs="Arial"/>
            <w:sz w:val="18"/>
            <w:szCs w:val="18"/>
          </w:rPr>
          <w:t>www.CTvisit.com</w:t>
        </w:r>
      </w:hyperlink>
      <w:r w:rsidR="001D561B" w:rsidRPr="002D0B2C">
        <w:rPr>
          <w:rFonts w:cs="Arial"/>
          <w:sz w:val="18"/>
          <w:szCs w:val="18"/>
        </w:rPr>
        <w:t xml:space="preserve"> </w:t>
      </w:r>
    </w:p>
    <w:p w:rsidR="008E471D" w:rsidRPr="002D0B2C" w:rsidRDefault="000C7B00" w:rsidP="008A219F">
      <w:pPr>
        <w:pStyle w:val="NoSpacing"/>
        <w:numPr>
          <w:ilvl w:val="0"/>
          <w:numId w:val="45"/>
        </w:numPr>
        <w:jc w:val="both"/>
        <w:rPr>
          <w:rFonts w:cs="Arial"/>
          <w:sz w:val="18"/>
          <w:szCs w:val="18"/>
        </w:rPr>
      </w:pPr>
      <w:r>
        <w:rPr>
          <w:rFonts w:cs="Arial"/>
          <w:sz w:val="18"/>
          <w:szCs w:val="18"/>
        </w:rPr>
        <w:t>Provides c</w:t>
      </w:r>
      <w:r w:rsidR="001D561B" w:rsidRPr="002D0B2C">
        <w:rPr>
          <w:rFonts w:cs="Arial"/>
          <w:sz w:val="18"/>
          <w:szCs w:val="18"/>
        </w:rPr>
        <w:t>ustomer services including toll free information lines and official State Welcome Centers;</w:t>
      </w:r>
      <w:r w:rsidR="008E471D" w:rsidRPr="002D0B2C">
        <w:rPr>
          <w:rFonts w:cs="Arial"/>
          <w:sz w:val="18"/>
          <w:szCs w:val="18"/>
        </w:rPr>
        <w:t xml:space="preserve"> and</w:t>
      </w:r>
    </w:p>
    <w:p w:rsidR="001D561B" w:rsidRPr="002D0B2C" w:rsidRDefault="001D561B" w:rsidP="001C5CEB">
      <w:pPr>
        <w:pStyle w:val="NoSpacing"/>
        <w:numPr>
          <w:ilvl w:val="0"/>
          <w:numId w:val="45"/>
        </w:numPr>
        <w:spacing w:after="80"/>
        <w:jc w:val="both"/>
        <w:rPr>
          <w:rFonts w:cs="Arial"/>
          <w:sz w:val="18"/>
          <w:szCs w:val="18"/>
        </w:rPr>
      </w:pPr>
      <w:r w:rsidRPr="002D0B2C">
        <w:rPr>
          <w:rFonts w:cs="Arial"/>
          <w:sz w:val="18"/>
          <w:szCs w:val="18"/>
        </w:rPr>
        <w:t>Creates partnerships, cooperating marketing opportunities</w:t>
      </w:r>
      <w:r w:rsidR="008E471D" w:rsidRPr="002D0B2C">
        <w:rPr>
          <w:rFonts w:cs="Arial"/>
          <w:sz w:val="18"/>
          <w:szCs w:val="18"/>
        </w:rPr>
        <w:t xml:space="preserve"> </w:t>
      </w:r>
      <w:r w:rsidRPr="002D0B2C">
        <w:rPr>
          <w:rFonts w:cs="Arial"/>
          <w:sz w:val="18"/>
          <w:szCs w:val="18"/>
        </w:rPr>
        <w:t>including grants and education opportunities for Connecticut businesses.</w:t>
      </w:r>
    </w:p>
    <w:p w:rsidR="008E471D" w:rsidRPr="002D0B2C" w:rsidRDefault="008E471D" w:rsidP="001C5CEB">
      <w:pPr>
        <w:pStyle w:val="NoSpacing"/>
        <w:spacing w:after="80"/>
        <w:jc w:val="both"/>
        <w:rPr>
          <w:rFonts w:cs="Arial"/>
          <w:sz w:val="18"/>
          <w:szCs w:val="18"/>
        </w:rPr>
      </w:pPr>
      <w:r w:rsidRPr="002D0B2C">
        <w:rPr>
          <w:rFonts w:cs="Arial"/>
          <w:sz w:val="18"/>
          <w:szCs w:val="18"/>
        </w:rPr>
        <w:t>DECD’s immediate strategy focuses on changing perceptions and ultimately behavior of potential visitors, in-state residents and businesses.  The strategy evolves to leveraging popular perceptions and expanding marketing to other areas to build greater integration and strengthen business development efforts. This scenario allows immediate marketing efforts focusing on tourism to increase tax revenues thereby providing a source for funding further tourism and business marketing efforts.</w:t>
      </w:r>
    </w:p>
    <w:p w:rsidR="001D561B" w:rsidRDefault="008E471D" w:rsidP="00F13BA6">
      <w:pPr>
        <w:pStyle w:val="NoSpacing"/>
        <w:jc w:val="both"/>
        <w:rPr>
          <w:rFonts w:cs="Arial"/>
          <w:szCs w:val="18"/>
        </w:rPr>
      </w:pPr>
      <w:r w:rsidRPr="002D0B2C">
        <w:rPr>
          <w:rFonts w:cs="Arial"/>
          <w:sz w:val="18"/>
          <w:szCs w:val="18"/>
        </w:rPr>
        <w:t xml:space="preserve">Program performance is measured on an ongoing campaign basis as well as benchmark tracking.  </w:t>
      </w:r>
      <w:r w:rsidR="000C7B00">
        <w:rPr>
          <w:rFonts w:cs="Arial"/>
          <w:sz w:val="18"/>
          <w:szCs w:val="18"/>
        </w:rPr>
        <w:t xml:space="preserve">The </w:t>
      </w:r>
      <w:r w:rsidRPr="002D0B2C">
        <w:rPr>
          <w:rFonts w:cs="Arial"/>
          <w:sz w:val="18"/>
          <w:szCs w:val="18"/>
        </w:rPr>
        <w:t>Office of Tourism provided travel assistance to 29% more potential visitors during FY 2012 via traditional inquiries, web traffic and counseling in State welcome centers (FY 2012:  3,044,601 vs. FY 2011:  2,351,375).  Awareness of Connecticut as a place to visit increased 10 points (54% to 64%).  Visitation to major attractions increased 5.7% between FY 2012 and FY 2011 bolstered by significant increases once the new brand campaign launched in late spring</w:t>
      </w:r>
      <w:r w:rsidR="00A418F2">
        <w:rPr>
          <w:rFonts w:cs="Arial"/>
          <w:sz w:val="18"/>
          <w:szCs w:val="18"/>
        </w:rPr>
        <w:t>.</w:t>
      </w:r>
    </w:p>
    <w:p w:rsidR="00A418F2" w:rsidRPr="00A418F2" w:rsidRDefault="00A418F2" w:rsidP="00F13BA6">
      <w:pPr>
        <w:pStyle w:val="NoSpacing"/>
        <w:jc w:val="both"/>
        <w:rPr>
          <w:rFonts w:cs="Arial"/>
          <w:szCs w:val="18"/>
        </w:rPr>
      </w:pPr>
    </w:p>
    <w:p w:rsidR="001D561B" w:rsidRPr="002D0B2C" w:rsidRDefault="001D561B" w:rsidP="001D561B">
      <w:pPr>
        <w:sectPr w:rsidR="001D561B" w:rsidRPr="002D0B2C" w:rsidSect="00F13BA6">
          <w:type w:val="continuous"/>
          <w:pgSz w:w="12240" w:h="15840" w:code="1"/>
          <w:pgMar w:top="864" w:right="720" w:bottom="1152" w:left="720" w:header="432" w:footer="288" w:gutter="216"/>
          <w:cols w:num="2" w:space="432"/>
          <w:noEndnote/>
        </w:sectPr>
      </w:pPr>
    </w:p>
    <w:p w:rsidR="001D561B" w:rsidRPr="002D0B2C" w:rsidRDefault="001D561B" w:rsidP="00B22A0D"/>
    <w:p w:rsidR="00D333DD" w:rsidRPr="002D0B2C" w:rsidRDefault="0057571E" w:rsidP="003C4C38">
      <w:pPr>
        <w:pStyle w:val="ProgramHead"/>
      </w:pPr>
      <w:r w:rsidRPr="002D0B2C">
        <w:fldChar w:fldCharType="begin"/>
      </w:r>
      <w:r w:rsidR="00B22A0D" w:rsidRPr="002D0B2C">
        <w:instrText>XE "Ecd46000 7</w:instrText>
      </w:r>
      <w:r w:rsidR="00B22A0D">
        <w:instrText>3003</w:instrText>
      </w:r>
      <w:r w:rsidR="00B22A0D" w:rsidRPr="002D0B2C">
        <w:instrText>"</w:instrText>
      </w:r>
      <w:r w:rsidRPr="002D0B2C">
        <w:fldChar w:fldCharType="end"/>
      </w:r>
      <w:r w:rsidR="00D333DD" w:rsidRPr="002D0B2C">
        <w:t>Arts &amp; Historic Preservation</w:t>
      </w:r>
    </w:p>
    <w:p w:rsidR="00562A8B" w:rsidRPr="002D0B2C" w:rsidRDefault="00562A8B" w:rsidP="003C4C38">
      <w:pPr>
        <w:pStyle w:val="ProgramHead"/>
        <w:sectPr w:rsidR="00562A8B" w:rsidRPr="002D0B2C" w:rsidSect="00562A8B">
          <w:type w:val="continuous"/>
          <w:pgSz w:w="12240" w:h="15840" w:code="1"/>
          <w:pgMar w:top="864" w:right="720" w:bottom="1152" w:left="720" w:header="432" w:footer="288" w:gutter="216"/>
          <w:cols w:space="432"/>
          <w:noEndnote/>
        </w:sectPr>
      </w:pPr>
    </w:p>
    <w:p w:rsidR="00D333DD" w:rsidRPr="002D0B2C" w:rsidRDefault="00D333DD" w:rsidP="00D333DD">
      <w:pPr>
        <w:pStyle w:val="Heading2"/>
      </w:pPr>
      <w:r w:rsidRPr="002D0B2C">
        <w:t>Statutory Reference</w:t>
      </w:r>
    </w:p>
    <w:p w:rsidR="00D333DD" w:rsidRPr="002D0B2C" w:rsidRDefault="00D333DD" w:rsidP="00D333DD">
      <w:pPr>
        <w:pStyle w:val="PlainText"/>
        <w:rPr>
          <w:rFonts w:ascii="Calibri" w:hAnsi="Calibri"/>
          <w:sz w:val="18"/>
          <w:szCs w:val="18"/>
        </w:rPr>
      </w:pPr>
      <w:r w:rsidRPr="002D0B2C">
        <w:rPr>
          <w:rFonts w:ascii="Calibri" w:hAnsi="Calibri"/>
          <w:sz w:val="18"/>
          <w:szCs w:val="18"/>
        </w:rPr>
        <w:t>C.G.S. Chapter 184b, Sections 10-392, 10-395, 10-400 through 10-416b</w:t>
      </w:r>
      <w:r w:rsidR="006073DF">
        <w:rPr>
          <w:rFonts w:ascii="Calibri" w:hAnsi="Calibri"/>
          <w:sz w:val="18"/>
          <w:szCs w:val="18"/>
        </w:rPr>
        <w:t>.</w:t>
      </w:r>
    </w:p>
    <w:p w:rsidR="00D333DD" w:rsidRPr="002D0B2C" w:rsidRDefault="00D333DD" w:rsidP="00AC1C37">
      <w:pPr>
        <w:pStyle w:val="Heading2"/>
        <w:spacing w:before="80" w:after="0" w:line="240" w:lineRule="auto"/>
      </w:pPr>
      <w:r w:rsidRPr="002D0B2C">
        <w:t>Statement of Need and Program Objectives</w:t>
      </w:r>
    </w:p>
    <w:p w:rsidR="00D333DD" w:rsidRPr="002D0B2C" w:rsidRDefault="00D333DD" w:rsidP="00AC1C37">
      <w:pPr>
        <w:spacing w:before="0" w:line="240" w:lineRule="auto"/>
      </w:pPr>
      <w:proofErr w:type="gramStart"/>
      <w:r w:rsidRPr="002D0B2C">
        <w:t>To take advantage of the opportunities for collaboration, coordination and growth in the cult</w:t>
      </w:r>
      <w:r w:rsidR="000C7B00">
        <w:t xml:space="preserve">ural community through funding, </w:t>
      </w:r>
      <w:r w:rsidRPr="002D0B2C">
        <w:t>technical assistance and promotion.</w:t>
      </w:r>
      <w:proofErr w:type="gramEnd"/>
    </w:p>
    <w:p w:rsidR="00D333DD" w:rsidRPr="002D0B2C" w:rsidRDefault="00D333DD" w:rsidP="00AC1C37">
      <w:pPr>
        <w:pStyle w:val="Heading2"/>
        <w:spacing w:before="80" w:after="0" w:line="240" w:lineRule="auto"/>
      </w:pPr>
      <w:r w:rsidRPr="002D0B2C">
        <w:t>Program Description</w:t>
      </w:r>
    </w:p>
    <w:p w:rsidR="00D333DD" w:rsidRPr="002D0B2C" w:rsidRDefault="00D333DD" w:rsidP="00D333DD">
      <w:pPr>
        <w:rPr>
          <w:szCs w:val="18"/>
        </w:rPr>
      </w:pPr>
      <w:r w:rsidRPr="00A418F2">
        <w:rPr>
          <w:rStyle w:val="Heading4Char"/>
          <w:rFonts w:ascii="Calibri" w:hAnsi="Calibri"/>
          <w:b w:val="0"/>
        </w:rPr>
        <w:t>The Arts Division</w:t>
      </w:r>
      <w:r w:rsidRPr="002D0B2C">
        <w:rPr>
          <w:szCs w:val="16"/>
        </w:rPr>
        <w:t xml:space="preserve"> </w:t>
      </w:r>
      <w:r w:rsidRPr="002D0B2C">
        <w:rPr>
          <w:szCs w:val="18"/>
        </w:rPr>
        <w:t>develops and strengthens the arts in Connecticut and makes artistic experiences widely available to residents and visitors. The Arts Division receives, coordinates and disburses federal, state and private funds through competitive, matching grant programs based on objective measures that ensure organizational health, programmatic excellence, and accountability.</w:t>
      </w:r>
    </w:p>
    <w:p w:rsidR="00D333DD" w:rsidRPr="002D0B2C" w:rsidRDefault="00D333DD" w:rsidP="001C5CEB">
      <w:pPr>
        <w:numPr>
          <w:ilvl w:val="0"/>
          <w:numId w:val="46"/>
        </w:numPr>
        <w:spacing w:before="0" w:after="80" w:line="240" w:lineRule="auto"/>
        <w:rPr>
          <w:szCs w:val="18"/>
        </w:rPr>
      </w:pPr>
      <w:r w:rsidRPr="002D0B2C">
        <w:rPr>
          <w:szCs w:val="18"/>
        </w:rPr>
        <w:t xml:space="preserve">The arts are now an essential component of DECD’s mission to “develop and implement strategies to increase CT’s economic competitiveness.”  In January 2012, COA released its New Directions Statement with an aggressive timeline </w:t>
      </w:r>
      <w:r w:rsidRPr="002D0B2C">
        <w:rPr>
          <w:rFonts w:eastAsia="MS Mincho"/>
          <w:szCs w:val="18"/>
        </w:rPr>
        <w:t xml:space="preserve">to strategically integrate current grant programs into one comprehensive resource.  More than 20 public sessions around the state and leading-edge evaluation work with the firm of </w:t>
      </w:r>
      <w:proofErr w:type="spellStart"/>
      <w:r w:rsidRPr="002D0B2C">
        <w:rPr>
          <w:rFonts w:eastAsia="MS Mincho"/>
          <w:szCs w:val="18"/>
        </w:rPr>
        <w:t>WolfBrown</w:t>
      </w:r>
      <w:proofErr w:type="spellEnd"/>
      <w:r w:rsidRPr="002D0B2C">
        <w:rPr>
          <w:rFonts w:eastAsia="MS Mincho"/>
          <w:szCs w:val="18"/>
        </w:rPr>
        <w:t xml:space="preserve"> led to the creation of the Arts Catalyze </w:t>
      </w:r>
      <w:proofErr w:type="spellStart"/>
      <w:r w:rsidRPr="002D0B2C">
        <w:rPr>
          <w:rFonts w:eastAsia="MS Mincho"/>
          <w:szCs w:val="18"/>
        </w:rPr>
        <w:t>Placemaking</w:t>
      </w:r>
      <w:proofErr w:type="spellEnd"/>
      <w:r w:rsidRPr="002D0B2C">
        <w:rPr>
          <w:rFonts w:eastAsia="MS Mincho"/>
          <w:szCs w:val="18"/>
        </w:rPr>
        <w:t xml:space="preserve"> (ACP) program, designed to give constituents additional practical and creative grant support options</w:t>
      </w:r>
      <w:r w:rsidRPr="002D0B2C">
        <w:rPr>
          <w:szCs w:val="18"/>
        </w:rPr>
        <w:t xml:space="preserve">, </w:t>
      </w:r>
      <w:r w:rsidRPr="002D0B2C">
        <w:rPr>
          <w:rFonts w:eastAsia="MS Mincho"/>
          <w:szCs w:val="18"/>
        </w:rPr>
        <w:t xml:space="preserve">strengthen the impact of arts and cultural organizations, artists and emerging groups, and to focus on innovative partnerships that create jobs and revitalize communities.  </w:t>
      </w:r>
      <w:r w:rsidRPr="002D0B2C">
        <w:rPr>
          <w:rFonts w:eastAsia="MS Mincho"/>
          <w:szCs w:val="18"/>
          <w:lang w:eastAsia="ja-JP"/>
        </w:rPr>
        <w:t xml:space="preserve">ACP invests $2.274 million in grants to 136 organizations per year of state and federal funds in arts-based cultural activities and infrastructure in ways that will advance the attractiveness and competitiveness of Connecticut cities, towns, and villages as meaningful communities in which to live, work, learn and play.  </w:t>
      </w:r>
      <w:r w:rsidRPr="002D0B2C">
        <w:rPr>
          <w:rFonts w:eastAsia="MS Mincho"/>
          <w:szCs w:val="18"/>
        </w:rPr>
        <w:t xml:space="preserve">ACP maintains existing standards of artistic merit, while helping artists and arts organizations increase the relevance of their product and the size of their audience through a focus on </w:t>
      </w:r>
      <w:proofErr w:type="spellStart"/>
      <w:r w:rsidRPr="002D0B2C">
        <w:rPr>
          <w:rFonts w:eastAsia="MS Mincho"/>
          <w:szCs w:val="18"/>
        </w:rPr>
        <w:t>placemaking</w:t>
      </w:r>
      <w:proofErr w:type="spellEnd"/>
      <w:r w:rsidRPr="002D0B2C">
        <w:rPr>
          <w:rFonts w:eastAsia="MS Mincho"/>
          <w:szCs w:val="18"/>
        </w:rPr>
        <w:t>.</w:t>
      </w:r>
    </w:p>
    <w:p w:rsidR="00D333DD" w:rsidRPr="002D0B2C" w:rsidRDefault="00D333DD" w:rsidP="00D333DD">
      <w:pPr>
        <w:rPr>
          <w:szCs w:val="18"/>
        </w:rPr>
      </w:pPr>
      <w:r w:rsidRPr="00A418F2">
        <w:rPr>
          <w:rStyle w:val="Heading4Char"/>
          <w:rFonts w:ascii="Calibri" w:hAnsi="Calibri"/>
          <w:b w:val="0"/>
        </w:rPr>
        <w:t>The Historic Preservation &amp; Museum Division</w:t>
      </w:r>
      <w:r w:rsidRPr="002D0B2C">
        <w:t xml:space="preserve"> </w:t>
      </w:r>
      <w:r w:rsidRPr="002D0B2C">
        <w:rPr>
          <w:szCs w:val="18"/>
        </w:rPr>
        <w:t xml:space="preserve">functions under state and federal law as Connecticut's State Historic Preservation Office. The division administers a broad range of federal and state programs that identify, register and protect the buildings, sites, structures, districts and objects that comprise Connecticut's cultural heritage. The division operates five historic properties: Old New-Gate Prison and Copper Mine, Henry Whitfield State Museum, Sloane-Stanley Museum, Prudence Crandall Museum, and </w:t>
      </w:r>
      <w:proofErr w:type="spellStart"/>
      <w:r w:rsidRPr="002D0B2C">
        <w:rPr>
          <w:szCs w:val="18"/>
        </w:rPr>
        <w:t>Viets</w:t>
      </w:r>
      <w:proofErr w:type="spellEnd"/>
      <w:r w:rsidRPr="002D0B2C">
        <w:rPr>
          <w:szCs w:val="18"/>
        </w:rPr>
        <w:t xml:space="preserve"> Tavern.</w:t>
      </w:r>
    </w:p>
    <w:p w:rsidR="00D333DD" w:rsidRPr="002D0B2C" w:rsidRDefault="00D333DD" w:rsidP="0034329C">
      <w:pPr>
        <w:pStyle w:val="ListParagraph"/>
        <w:numPr>
          <w:ilvl w:val="0"/>
          <w:numId w:val="46"/>
        </w:numPr>
        <w:jc w:val="both"/>
        <w:rPr>
          <w:rFonts w:ascii="Calibri" w:hAnsi="Calibri"/>
          <w:sz w:val="18"/>
          <w:szCs w:val="18"/>
        </w:rPr>
      </w:pPr>
      <w:r w:rsidRPr="002D0B2C">
        <w:rPr>
          <w:rFonts w:ascii="Calibri" w:hAnsi="Calibri"/>
          <w:sz w:val="18"/>
          <w:szCs w:val="18"/>
        </w:rPr>
        <w:t>Funded by the Community Investment Act, awarded over $2.5 million per year in grants to restore, rehabilitate and plan for the reuse and preservation of historic buildings owned by municipalities and non-profit organizations.  Reserved over $11 million in tax credit reservations with an estimated private investment of over $87,000,000.  Communities served include, but are not limited to Hartford, New Haven, Norwalk, Norwich and Waterbury.</w:t>
      </w:r>
    </w:p>
    <w:p w:rsidR="00562A8B" w:rsidRPr="002D0B2C" w:rsidRDefault="00562A8B" w:rsidP="0034329C">
      <w:pPr>
        <w:pStyle w:val="ListParagraph"/>
        <w:ind w:left="288"/>
        <w:jc w:val="both"/>
        <w:rPr>
          <w:rFonts w:ascii="Calibri" w:hAnsi="Calibri"/>
          <w:sz w:val="18"/>
          <w:szCs w:val="18"/>
        </w:rPr>
        <w:sectPr w:rsidR="00562A8B" w:rsidRPr="002D0B2C" w:rsidSect="00562A8B">
          <w:type w:val="continuous"/>
          <w:pgSz w:w="12240" w:h="15840" w:code="1"/>
          <w:pgMar w:top="864" w:right="720" w:bottom="1152" w:left="720" w:header="432" w:footer="288" w:gutter="216"/>
          <w:cols w:num="2" w:space="432"/>
          <w:noEndnote/>
        </w:sectPr>
      </w:pPr>
    </w:p>
    <w:p w:rsidR="00D333DD" w:rsidRPr="002D0B2C" w:rsidRDefault="00D333DD" w:rsidP="0034329C"/>
    <w:p w:rsidR="00A9097F" w:rsidRPr="002D0B2C" w:rsidRDefault="0057571E" w:rsidP="003C4C38">
      <w:pPr>
        <w:pStyle w:val="ProgramHead"/>
      </w:pPr>
      <w:r w:rsidRPr="002D0B2C">
        <w:fldChar w:fldCharType="begin"/>
      </w:r>
      <w:r w:rsidR="00B22A0D" w:rsidRPr="002D0B2C">
        <w:instrText xml:space="preserve">XE "Ecd46000 </w:instrText>
      </w:r>
      <w:r w:rsidR="00B22A0D">
        <w:instrText>14000</w:instrText>
      </w:r>
      <w:r w:rsidR="00B22A0D" w:rsidRPr="002D0B2C">
        <w:instrText>"</w:instrText>
      </w:r>
      <w:r w:rsidRPr="002D0B2C">
        <w:fldChar w:fldCharType="end"/>
      </w:r>
      <w:r w:rsidR="003C4C38">
        <w:t>ADMINISTRATION</w:t>
      </w:r>
    </w:p>
    <w:p w:rsidR="00562A8B" w:rsidRPr="002D0B2C" w:rsidRDefault="00562A8B" w:rsidP="003C4C38">
      <w:pPr>
        <w:pStyle w:val="ProgramHead"/>
        <w:sectPr w:rsidR="00562A8B" w:rsidRPr="002D0B2C" w:rsidSect="00562A8B">
          <w:type w:val="continuous"/>
          <w:pgSz w:w="12240" w:h="15840" w:code="1"/>
          <w:pgMar w:top="864" w:right="720" w:bottom="1152" w:left="720" w:header="432" w:footer="288" w:gutter="216"/>
          <w:cols w:space="432"/>
          <w:noEndnote/>
        </w:sectPr>
      </w:pPr>
    </w:p>
    <w:p w:rsidR="00A9097F" w:rsidRPr="00A418F2" w:rsidRDefault="00A9097F" w:rsidP="00A9097F">
      <w:pPr>
        <w:pStyle w:val="Heading2"/>
        <w:rPr>
          <w:sz w:val="18"/>
          <w:szCs w:val="18"/>
        </w:rPr>
      </w:pPr>
      <w:r w:rsidRPr="00A418F2">
        <w:rPr>
          <w:sz w:val="18"/>
          <w:szCs w:val="18"/>
        </w:rPr>
        <w:t xml:space="preserve">Statutory Reference </w:t>
      </w:r>
    </w:p>
    <w:p w:rsidR="00A9097F" w:rsidRPr="002D0B2C" w:rsidRDefault="00544FB9" w:rsidP="00A9097F">
      <w:proofErr w:type="gramStart"/>
      <w:r>
        <w:t xml:space="preserve">C.G.S. </w:t>
      </w:r>
      <w:r w:rsidR="00A9097F" w:rsidRPr="002D0B2C">
        <w:t>Chapters 127b, 127c, 128, 184b 578, 588l, and Sections 22a-1a, 10-392 et seq.</w:t>
      </w:r>
      <w:proofErr w:type="gramEnd"/>
    </w:p>
    <w:p w:rsidR="00A9097F" w:rsidRPr="00A418F2" w:rsidRDefault="00A9097F" w:rsidP="00AC1C37">
      <w:pPr>
        <w:pStyle w:val="Heading2"/>
        <w:spacing w:before="80" w:after="0" w:line="240" w:lineRule="auto"/>
        <w:rPr>
          <w:sz w:val="18"/>
          <w:szCs w:val="18"/>
        </w:rPr>
      </w:pPr>
      <w:r w:rsidRPr="00A418F2">
        <w:rPr>
          <w:sz w:val="18"/>
          <w:szCs w:val="18"/>
        </w:rPr>
        <w:t>Statement of Need and Program Objectives</w:t>
      </w:r>
    </w:p>
    <w:p w:rsidR="00A9097F" w:rsidRPr="00A418F2" w:rsidRDefault="00A9097F" w:rsidP="00AC1C37">
      <w:pPr>
        <w:spacing w:before="0" w:line="240" w:lineRule="auto"/>
        <w:rPr>
          <w:szCs w:val="18"/>
        </w:rPr>
      </w:pPr>
      <w:r w:rsidRPr="00A418F2">
        <w:rPr>
          <w:szCs w:val="18"/>
        </w:rPr>
        <w:t>The administrative functions of the agency provide direct and indirect support and/or managerial oversight to the operations of the department.  Administrative functions include accounts payable/receivable, loan management, human resources, payroll, marketing and communications, budgetary planning, fiscal support, portfolio management, financial reviews, engineering, architectural and construction services, management information systems, facilities management, compliance and monitoring services, audit functions, records maintenance and legal and legislative services.</w:t>
      </w:r>
    </w:p>
    <w:p w:rsidR="00A9097F" w:rsidRPr="00A418F2" w:rsidRDefault="00A9097F" w:rsidP="00AC1C37">
      <w:pPr>
        <w:pStyle w:val="Heading2"/>
        <w:spacing w:before="80" w:after="0" w:line="240" w:lineRule="auto"/>
        <w:rPr>
          <w:sz w:val="18"/>
          <w:szCs w:val="18"/>
        </w:rPr>
      </w:pPr>
      <w:r w:rsidRPr="00A418F2">
        <w:rPr>
          <w:sz w:val="18"/>
          <w:szCs w:val="18"/>
        </w:rPr>
        <w:t>Program Description</w:t>
      </w:r>
    </w:p>
    <w:p w:rsidR="00A9097F" w:rsidRPr="00A418F2" w:rsidRDefault="00A9097F" w:rsidP="00A9097F">
      <w:pPr>
        <w:rPr>
          <w:szCs w:val="18"/>
        </w:rPr>
      </w:pPr>
      <w:r w:rsidRPr="00A418F2">
        <w:rPr>
          <w:szCs w:val="18"/>
        </w:rPr>
        <w:t>The administrative functions develop and implement policy; provide administrative guidance on economic, housing, community development, tourism, arts and historic preservation matters; provide operational fiscal management and budget control and planning; provide human resource and staff development assistance; conduct audit functions, program evaluation, performance tracking an</w:t>
      </w:r>
      <w:r w:rsidR="00544FB9">
        <w:rPr>
          <w:szCs w:val="18"/>
        </w:rPr>
        <w:t>d monitoring.   A</w:t>
      </w:r>
      <w:r w:rsidRPr="00A418F2">
        <w:rPr>
          <w:szCs w:val="18"/>
        </w:rPr>
        <w:t xml:space="preserve">dministrative services also include the development and management of the agency’s information technology systems; coordinate and review proposed bond allocations, and management of the agency’s portfolio system which monitors compliance on housing, economic and community development projects. </w:t>
      </w:r>
    </w:p>
    <w:p w:rsidR="00562A8B" w:rsidRPr="002D0B2C" w:rsidRDefault="00562A8B" w:rsidP="007229C3">
      <w:pPr>
        <w:sectPr w:rsidR="00562A8B" w:rsidRPr="002D0B2C" w:rsidSect="00562A8B">
          <w:type w:val="continuous"/>
          <w:pgSz w:w="12240" w:h="15840" w:code="1"/>
          <w:pgMar w:top="864" w:right="720" w:bottom="1152" w:left="720" w:header="432" w:footer="288" w:gutter="216"/>
          <w:cols w:num="2" w:space="432"/>
          <w:noEndnote/>
        </w:sectPr>
      </w:pPr>
    </w:p>
    <w:p w:rsidR="0072680A" w:rsidRDefault="0072680A" w:rsidP="003C4C38"/>
    <w:p w:rsidR="00B22A0D" w:rsidRPr="002D0B2C" w:rsidRDefault="00B22A0D" w:rsidP="003C4C38"/>
    <w:sectPr w:rsidR="00B22A0D" w:rsidRPr="002D0B2C" w:rsidSect="00F13BA6">
      <w:type w:val="continuous"/>
      <w:pgSz w:w="12240" w:h="15840" w:code="1"/>
      <w:pgMar w:top="864" w:right="720" w:bottom="1152" w:left="720" w:header="432" w:footer="288" w:gutter="216"/>
      <w:cols w:space="43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CEB" w:rsidRDefault="001C5CEB">
      <w:r>
        <w:separator/>
      </w:r>
    </w:p>
  </w:endnote>
  <w:endnote w:type="continuationSeparator" w:id="0">
    <w:p w:rsidR="001C5CEB" w:rsidRDefault="001C5C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Calibri-BoldItalic">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EB" w:rsidRDefault="0057571E" w:rsidP="008D2C41">
    <w:pPr>
      <w:pStyle w:val="Footer"/>
      <w:framePr w:wrap="around" w:vAnchor="text" w:hAnchor="margin" w:xAlign="center" w:y="1"/>
      <w:rPr>
        <w:rStyle w:val="PageNumber"/>
      </w:rPr>
    </w:pPr>
    <w:r>
      <w:rPr>
        <w:rStyle w:val="PageNumber"/>
      </w:rPr>
      <w:fldChar w:fldCharType="begin"/>
    </w:r>
    <w:r w:rsidR="001C5CEB">
      <w:rPr>
        <w:rStyle w:val="PageNumber"/>
      </w:rPr>
      <w:instrText xml:space="preserve">PAGE  </w:instrText>
    </w:r>
    <w:r>
      <w:rPr>
        <w:rStyle w:val="PageNumber"/>
      </w:rPr>
      <w:fldChar w:fldCharType="separate"/>
    </w:r>
    <w:r w:rsidR="005053C7">
      <w:rPr>
        <w:rStyle w:val="PageNumber"/>
        <w:noProof/>
      </w:rPr>
      <w:t>320</w:t>
    </w:r>
    <w:r>
      <w:rPr>
        <w:rStyle w:val="PageNumber"/>
      </w:rPr>
      <w:fldChar w:fldCharType="end"/>
    </w:r>
  </w:p>
  <w:tbl>
    <w:tblPr>
      <w:tblW w:w="0" w:type="auto"/>
      <w:tblCellMar>
        <w:left w:w="0" w:type="dxa"/>
        <w:right w:w="0" w:type="dxa"/>
      </w:tblCellMar>
      <w:tblLook w:val="01E0"/>
    </w:tblPr>
    <w:tblGrid>
      <w:gridCol w:w="3536"/>
      <w:gridCol w:w="3512"/>
      <w:gridCol w:w="3536"/>
    </w:tblGrid>
    <w:tr w:rsidR="001C5CEB" w:rsidTr="0081543D">
      <w:tc>
        <w:tcPr>
          <w:tcW w:w="3600" w:type="dxa"/>
          <w:shd w:val="clear" w:color="auto" w:fill="auto"/>
          <w:vAlign w:val="center"/>
        </w:tcPr>
        <w:p w:rsidR="001C5CEB" w:rsidRDefault="001C5CEB" w:rsidP="0081543D">
          <w:pPr>
            <w:pStyle w:val="Footer"/>
            <w:jc w:val="left"/>
          </w:pPr>
          <w:r>
            <w:t>Conservation and Development</w:t>
          </w:r>
        </w:p>
      </w:tc>
      <w:tc>
        <w:tcPr>
          <w:tcW w:w="3600" w:type="dxa"/>
          <w:shd w:val="clear" w:color="auto" w:fill="auto"/>
          <w:vAlign w:val="center"/>
        </w:tcPr>
        <w:p w:rsidR="001C5CEB" w:rsidRDefault="001C5CEB" w:rsidP="008D2C41">
          <w:pPr>
            <w:pStyle w:val="Footer"/>
          </w:pPr>
        </w:p>
      </w:tc>
      <w:tc>
        <w:tcPr>
          <w:tcW w:w="3600" w:type="dxa"/>
          <w:shd w:val="clear" w:color="auto" w:fill="auto"/>
          <w:vAlign w:val="center"/>
        </w:tcPr>
        <w:p w:rsidR="001C5CEB" w:rsidRDefault="001C5CEB" w:rsidP="0081543D">
          <w:pPr>
            <w:pStyle w:val="Footer"/>
            <w:jc w:val="right"/>
          </w:pPr>
          <w:r>
            <w:t>Dept Economic &amp; Community Development</w:t>
          </w:r>
        </w:p>
      </w:tc>
    </w:tr>
  </w:tbl>
  <w:p w:rsidR="001C5CEB" w:rsidRDefault="001C5CEB" w:rsidP="008D2C41">
    <w:pPr>
      <w:pStyle w:val="Header"/>
      <w:tabs>
        <w:tab w:val="right" w:pos="10530"/>
      </w:tabs>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EB" w:rsidRDefault="0057571E" w:rsidP="008D2C41">
    <w:pPr>
      <w:pStyle w:val="Footer"/>
      <w:framePr w:wrap="around" w:vAnchor="text" w:hAnchor="margin" w:xAlign="center" w:y="1"/>
      <w:rPr>
        <w:rStyle w:val="PageNumber"/>
      </w:rPr>
    </w:pPr>
    <w:r>
      <w:rPr>
        <w:rStyle w:val="PageNumber"/>
      </w:rPr>
      <w:fldChar w:fldCharType="begin"/>
    </w:r>
    <w:r w:rsidR="001C5CEB">
      <w:rPr>
        <w:rStyle w:val="PageNumber"/>
      </w:rPr>
      <w:instrText xml:space="preserve">PAGE  </w:instrText>
    </w:r>
    <w:r>
      <w:rPr>
        <w:rStyle w:val="PageNumber"/>
      </w:rPr>
      <w:fldChar w:fldCharType="separate"/>
    </w:r>
    <w:r w:rsidR="005053C7">
      <w:rPr>
        <w:rStyle w:val="PageNumber"/>
        <w:noProof/>
      </w:rPr>
      <w:t>317</w:t>
    </w:r>
    <w:r>
      <w:rPr>
        <w:rStyle w:val="PageNumber"/>
      </w:rPr>
      <w:fldChar w:fldCharType="end"/>
    </w:r>
  </w:p>
  <w:tbl>
    <w:tblPr>
      <w:tblW w:w="0" w:type="auto"/>
      <w:tblCellMar>
        <w:left w:w="0" w:type="dxa"/>
        <w:right w:w="0" w:type="dxa"/>
      </w:tblCellMar>
      <w:tblLook w:val="01E0"/>
    </w:tblPr>
    <w:tblGrid>
      <w:gridCol w:w="3536"/>
      <w:gridCol w:w="3512"/>
      <w:gridCol w:w="3536"/>
    </w:tblGrid>
    <w:tr w:rsidR="001C5CEB" w:rsidTr="0081543D">
      <w:tc>
        <w:tcPr>
          <w:tcW w:w="3600" w:type="dxa"/>
          <w:shd w:val="clear" w:color="auto" w:fill="auto"/>
          <w:vAlign w:val="center"/>
        </w:tcPr>
        <w:p w:rsidR="001C5CEB" w:rsidRDefault="001C5CEB" w:rsidP="0081543D">
          <w:pPr>
            <w:pStyle w:val="Footer"/>
            <w:jc w:val="left"/>
          </w:pPr>
          <w:r>
            <w:t>Conservation and Development</w:t>
          </w:r>
        </w:p>
      </w:tc>
      <w:tc>
        <w:tcPr>
          <w:tcW w:w="3600" w:type="dxa"/>
          <w:shd w:val="clear" w:color="auto" w:fill="auto"/>
          <w:vAlign w:val="center"/>
        </w:tcPr>
        <w:p w:rsidR="001C5CEB" w:rsidRDefault="001C5CEB" w:rsidP="008D2C41">
          <w:pPr>
            <w:pStyle w:val="Footer"/>
          </w:pPr>
        </w:p>
      </w:tc>
      <w:tc>
        <w:tcPr>
          <w:tcW w:w="3600" w:type="dxa"/>
          <w:shd w:val="clear" w:color="auto" w:fill="auto"/>
          <w:vAlign w:val="center"/>
        </w:tcPr>
        <w:p w:rsidR="001C5CEB" w:rsidRDefault="001C5CEB" w:rsidP="0081543D">
          <w:pPr>
            <w:pStyle w:val="Footer"/>
            <w:jc w:val="right"/>
          </w:pPr>
          <w:r>
            <w:t>Dept Economic &amp; Community Development</w:t>
          </w:r>
        </w:p>
      </w:tc>
    </w:tr>
  </w:tbl>
  <w:p w:rsidR="001C5CEB" w:rsidRPr="008D2C41" w:rsidRDefault="001C5CEB" w:rsidP="008D2C41">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CEB" w:rsidRDefault="001C5CEB">
      <w:r>
        <w:separator/>
      </w:r>
    </w:p>
  </w:footnote>
  <w:footnote w:type="continuationSeparator" w:id="0">
    <w:p w:rsidR="001C5CEB" w:rsidRDefault="001C5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EB" w:rsidRDefault="001C5CEB">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EB" w:rsidRDefault="001C5CEB">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594C01"/>
    <w:multiLevelType w:val="hybridMultilevel"/>
    <w:tmpl w:val="291C7D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9C644F"/>
    <w:multiLevelType w:val="multilevel"/>
    <w:tmpl w:val="62EA48F2"/>
    <w:lvl w:ilvl="0">
      <w:start w:val="1"/>
      <w:numFmt w:val="bullet"/>
      <w:lvlText w:val=""/>
      <w:lvlJc w:val="left"/>
      <w:pPr>
        <w:tabs>
          <w:tab w:val="num" w:pos="360"/>
        </w:tabs>
        <w:ind w:left="360" w:hanging="360"/>
      </w:pPr>
      <w:rPr>
        <w:rFonts w:ascii="Symbol" w:hAnsi="Symbol"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E42E43"/>
    <w:multiLevelType w:val="hybridMultilevel"/>
    <w:tmpl w:val="E054B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E02B00"/>
    <w:multiLevelType w:val="hybridMultilevel"/>
    <w:tmpl w:val="CD3E7BE2"/>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26BEE"/>
    <w:multiLevelType w:val="hybridMultilevel"/>
    <w:tmpl w:val="CDFE3C5C"/>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A2F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0A079DC"/>
    <w:multiLevelType w:val="hybridMultilevel"/>
    <w:tmpl w:val="66C64770"/>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ED429B"/>
    <w:multiLevelType w:val="hybridMultilevel"/>
    <w:tmpl w:val="7BEC6ACA"/>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D1638D"/>
    <w:multiLevelType w:val="hybridMultilevel"/>
    <w:tmpl w:val="D44E6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65B63E9"/>
    <w:multiLevelType w:val="hybridMultilevel"/>
    <w:tmpl w:val="483A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46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AC65BCC"/>
    <w:multiLevelType w:val="singleLevel"/>
    <w:tmpl w:val="47A4EA12"/>
    <w:lvl w:ilvl="0">
      <w:start w:val="1"/>
      <w:numFmt w:val="bullet"/>
      <w:lvlText w:val=""/>
      <w:lvlJc w:val="left"/>
      <w:pPr>
        <w:tabs>
          <w:tab w:val="num" w:pos="360"/>
        </w:tabs>
        <w:ind w:left="360" w:hanging="360"/>
      </w:pPr>
      <w:rPr>
        <w:rFonts w:ascii="Symbol" w:hAnsi="Symbol" w:hint="default"/>
      </w:rPr>
    </w:lvl>
  </w:abstractNum>
  <w:abstractNum w:abstractNumId="14">
    <w:nsid w:val="1C5522CE"/>
    <w:multiLevelType w:val="hybridMultilevel"/>
    <w:tmpl w:val="E62E2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E85585"/>
    <w:multiLevelType w:val="singleLevel"/>
    <w:tmpl w:val="47A4EA12"/>
    <w:lvl w:ilvl="0">
      <w:start w:val="1"/>
      <w:numFmt w:val="bullet"/>
      <w:lvlText w:val=""/>
      <w:lvlJc w:val="left"/>
      <w:pPr>
        <w:tabs>
          <w:tab w:val="num" w:pos="360"/>
        </w:tabs>
        <w:ind w:left="360" w:hanging="360"/>
      </w:pPr>
      <w:rPr>
        <w:rFonts w:ascii="Symbol" w:hAnsi="Symbol" w:hint="default"/>
      </w:rPr>
    </w:lvl>
  </w:abstractNum>
  <w:abstractNum w:abstractNumId="16">
    <w:nsid w:val="381A0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75FA0"/>
    <w:multiLevelType w:val="hybridMultilevel"/>
    <w:tmpl w:val="A566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DC1D27"/>
    <w:multiLevelType w:val="hybridMultilevel"/>
    <w:tmpl w:val="2A58C5F8"/>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9674B4"/>
    <w:multiLevelType w:val="hybridMultilevel"/>
    <w:tmpl w:val="BDA6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B80FBF"/>
    <w:multiLevelType w:val="hybridMultilevel"/>
    <w:tmpl w:val="9468B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4A1C4C"/>
    <w:multiLevelType w:val="hybridMultilevel"/>
    <w:tmpl w:val="A3BE5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7C1A2B"/>
    <w:multiLevelType w:val="hybridMultilevel"/>
    <w:tmpl w:val="4ECE9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68A5B21"/>
    <w:multiLevelType w:val="hybridMultilevel"/>
    <w:tmpl w:val="9DF0A67C"/>
    <w:lvl w:ilvl="0" w:tplc="EFFAD2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8D7B37"/>
    <w:multiLevelType w:val="hybridMultilevel"/>
    <w:tmpl w:val="62EA48F2"/>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F339DA"/>
    <w:multiLevelType w:val="hybridMultilevel"/>
    <w:tmpl w:val="51B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11CE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7">
    <w:nsid w:val="591827CE"/>
    <w:multiLevelType w:val="hybridMultilevel"/>
    <w:tmpl w:val="6F663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17122A"/>
    <w:multiLevelType w:val="singleLevel"/>
    <w:tmpl w:val="47A4EA12"/>
    <w:lvl w:ilvl="0">
      <w:start w:val="1"/>
      <w:numFmt w:val="bullet"/>
      <w:lvlText w:val=""/>
      <w:lvlJc w:val="left"/>
      <w:pPr>
        <w:tabs>
          <w:tab w:val="num" w:pos="360"/>
        </w:tabs>
        <w:ind w:left="360" w:hanging="360"/>
      </w:pPr>
      <w:rPr>
        <w:rFonts w:ascii="Symbol" w:hAnsi="Symbol" w:hint="default"/>
      </w:rPr>
    </w:lvl>
  </w:abstractNum>
  <w:abstractNum w:abstractNumId="29">
    <w:nsid w:val="60AB517E"/>
    <w:multiLevelType w:val="hybridMultilevel"/>
    <w:tmpl w:val="3A58B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1664D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287180B"/>
    <w:multiLevelType w:val="hybridMultilevel"/>
    <w:tmpl w:val="1AD27248"/>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D169EA"/>
    <w:multiLevelType w:val="hybridMultilevel"/>
    <w:tmpl w:val="EF1CBDAE"/>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DE72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196645"/>
    <w:multiLevelType w:val="hybridMultilevel"/>
    <w:tmpl w:val="5EA69B6C"/>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695D3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7">
    <w:nsid w:val="710A502C"/>
    <w:multiLevelType w:val="hybridMultilevel"/>
    <w:tmpl w:val="BBB0F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E32B92"/>
    <w:multiLevelType w:val="singleLevel"/>
    <w:tmpl w:val="47A4EA12"/>
    <w:lvl w:ilvl="0">
      <w:start w:val="1"/>
      <w:numFmt w:val="bullet"/>
      <w:lvlText w:val=""/>
      <w:lvlJc w:val="left"/>
      <w:pPr>
        <w:tabs>
          <w:tab w:val="num" w:pos="360"/>
        </w:tabs>
        <w:ind w:left="360" w:hanging="360"/>
      </w:pPr>
      <w:rPr>
        <w:rFonts w:ascii="Symbol" w:hAnsi="Symbol" w:hint="default"/>
      </w:rPr>
    </w:lvl>
  </w:abstractNum>
  <w:abstractNum w:abstractNumId="39">
    <w:nsid w:val="76B97455"/>
    <w:multiLevelType w:val="singleLevel"/>
    <w:tmpl w:val="47A4EA12"/>
    <w:lvl w:ilvl="0">
      <w:start w:val="1"/>
      <w:numFmt w:val="bullet"/>
      <w:lvlText w:val=""/>
      <w:lvlJc w:val="left"/>
      <w:pPr>
        <w:tabs>
          <w:tab w:val="num" w:pos="360"/>
        </w:tabs>
        <w:ind w:left="360" w:hanging="360"/>
      </w:pPr>
      <w:rPr>
        <w:rFonts w:ascii="Symbol" w:hAnsi="Symbol" w:hint="default"/>
      </w:rPr>
    </w:lvl>
  </w:abstractNum>
  <w:abstractNum w:abstractNumId="40">
    <w:nsid w:val="7F3E3E12"/>
    <w:multiLevelType w:val="hybridMultilevel"/>
    <w:tmpl w:val="89B439F0"/>
    <w:lvl w:ilvl="0" w:tplc="BA26F7B2">
      <w:start w:val="1"/>
      <w:numFmt w:val="bullet"/>
      <w:lvlText w:val=""/>
      <w:lvlJc w:val="left"/>
      <w:pPr>
        <w:tabs>
          <w:tab w:val="num" w:pos="288"/>
        </w:tabs>
        <w:ind w:left="288" w:hanging="288"/>
      </w:pPr>
      <w:rPr>
        <w:rFonts w:ascii="Symbol" w:hAnsi="Symbol" w:hint="default"/>
        <w:color w:val="007000"/>
        <w:sz w:val="16"/>
      </w:rPr>
    </w:lvl>
    <w:lvl w:ilvl="1" w:tplc="2BCC98DE">
      <w:start w:val="1"/>
      <w:numFmt w:val="bullet"/>
      <w:lvlText w:val=""/>
      <w:lvlJc w:val="left"/>
      <w:pPr>
        <w:tabs>
          <w:tab w:val="num" w:pos="1440"/>
        </w:tabs>
        <w:ind w:left="1440" w:hanging="360"/>
      </w:pPr>
      <w:rPr>
        <w:rFonts w:ascii="Symbol" w:hAnsi="Symbol" w:hint="default"/>
        <w:color w:val="007000"/>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6"/>
  </w:num>
  <w:num w:numId="4">
    <w:abstractNumId w:val="38"/>
  </w:num>
  <w:num w:numId="5">
    <w:abstractNumId w:val="15"/>
  </w:num>
  <w:num w:numId="6">
    <w:abstractNumId w:val="13"/>
  </w:num>
  <w:num w:numId="7">
    <w:abstractNumId w:val="28"/>
  </w:num>
  <w:num w:numId="8">
    <w:abstractNumId w:val="36"/>
  </w:num>
  <w:num w:numId="9">
    <w:abstractNumId w:val="7"/>
  </w:num>
  <w:num w:numId="10">
    <w:abstractNumId w:val="12"/>
  </w:num>
  <w:num w:numId="11">
    <w:abstractNumId w:val="39"/>
  </w:num>
  <w:num w:numId="12">
    <w:abstractNumId w:val="31"/>
  </w:num>
  <w:num w:numId="13">
    <w:abstractNumId w:val="35"/>
  </w:num>
  <w:num w:numId="14">
    <w:abstractNumId w:val="4"/>
  </w:num>
  <w:num w:numId="15">
    <w:abstractNumId w:val="37"/>
  </w:num>
  <w:num w:numId="16">
    <w:abstractNumId w:val="14"/>
  </w:num>
  <w:num w:numId="17">
    <w:abstractNumId w:val="21"/>
  </w:num>
  <w:num w:numId="18">
    <w:abstractNumId w:val="16"/>
  </w:num>
  <w:num w:numId="19">
    <w:abstractNumId w:val="30"/>
  </w:num>
  <w:num w:numId="20">
    <w:abstractNumId w:val="34"/>
  </w:num>
  <w:num w:numId="21">
    <w:abstractNumId w:val="11"/>
  </w:num>
  <w:num w:numId="22">
    <w:abstractNumId w:val="19"/>
  </w:num>
  <w:num w:numId="23">
    <w:abstractNumId w:val="20"/>
  </w:num>
  <w:num w:numId="24">
    <w:abstractNumId w:val="3"/>
  </w:num>
  <w:num w:numId="25">
    <w:abstractNumId w:val="29"/>
  </w:num>
  <w:num w:numId="26">
    <w:abstractNumId w:val="1"/>
  </w:num>
  <w:num w:numId="27">
    <w:abstractNumId w:val="22"/>
  </w:num>
  <w:num w:numId="28">
    <w:abstractNumId w:val="27"/>
  </w:num>
  <w:num w:numId="29">
    <w:abstractNumId w:val="10"/>
  </w:num>
  <w:num w:numId="30">
    <w:abstractNumId w:val="23"/>
  </w:num>
  <w:num w:numId="31">
    <w:abstractNumId w:val="5"/>
  </w:num>
  <w:num w:numId="32">
    <w:abstractNumId w:val="32"/>
  </w:num>
  <w:num w:numId="33">
    <w:abstractNumId w:val="33"/>
  </w:num>
  <w:num w:numId="34">
    <w:abstractNumId w:val="8"/>
  </w:num>
  <w:num w:numId="35">
    <w:abstractNumId w:val="9"/>
  </w:num>
  <w:num w:numId="36">
    <w:abstractNumId w:val="6"/>
  </w:num>
  <w:num w:numId="37">
    <w:abstractNumId w:val="5"/>
  </w:num>
  <w:num w:numId="38">
    <w:abstractNumId w:val="32"/>
  </w:num>
  <w:num w:numId="39">
    <w:abstractNumId w:val="5"/>
  </w:num>
  <w:num w:numId="40">
    <w:abstractNumId w:val="32"/>
  </w:num>
  <w:num w:numId="41">
    <w:abstractNumId w:val="18"/>
  </w:num>
  <w:num w:numId="42">
    <w:abstractNumId w:val="24"/>
  </w:num>
  <w:num w:numId="43">
    <w:abstractNumId w:val="2"/>
  </w:num>
  <w:num w:numId="44">
    <w:abstractNumId w:val="25"/>
  </w:num>
  <w:num w:numId="45">
    <w:abstractNumId w:val="17"/>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4A08A5"/>
    <w:rsid w:val="00070C23"/>
    <w:rsid w:val="00074EEF"/>
    <w:rsid w:val="000C7B00"/>
    <w:rsid w:val="000E369E"/>
    <w:rsid w:val="000F5BAE"/>
    <w:rsid w:val="001118C0"/>
    <w:rsid w:val="001455C9"/>
    <w:rsid w:val="00196FF8"/>
    <w:rsid w:val="00197820"/>
    <w:rsid w:val="001C5CEB"/>
    <w:rsid w:val="001D4BB3"/>
    <w:rsid w:val="001D561B"/>
    <w:rsid w:val="001E1539"/>
    <w:rsid w:val="00203D27"/>
    <w:rsid w:val="00223105"/>
    <w:rsid w:val="00224BA6"/>
    <w:rsid w:val="00243061"/>
    <w:rsid w:val="00257528"/>
    <w:rsid w:val="0027736E"/>
    <w:rsid w:val="00277400"/>
    <w:rsid w:val="002910B0"/>
    <w:rsid w:val="0029183A"/>
    <w:rsid w:val="002B2140"/>
    <w:rsid w:val="002B6270"/>
    <w:rsid w:val="002B658A"/>
    <w:rsid w:val="002D0B2C"/>
    <w:rsid w:val="002E3021"/>
    <w:rsid w:val="0030133F"/>
    <w:rsid w:val="003169D8"/>
    <w:rsid w:val="00330537"/>
    <w:rsid w:val="00334A4F"/>
    <w:rsid w:val="0034329C"/>
    <w:rsid w:val="00356E94"/>
    <w:rsid w:val="003619E7"/>
    <w:rsid w:val="00366F3E"/>
    <w:rsid w:val="0038314E"/>
    <w:rsid w:val="00392680"/>
    <w:rsid w:val="003A020A"/>
    <w:rsid w:val="003A0295"/>
    <w:rsid w:val="003A43CD"/>
    <w:rsid w:val="003A7736"/>
    <w:rsid w:val="003B6EFE"/>
    <w:rsid w:val="003C4C38"/>
    <w:rsid w:val="003C502A"/>
    <w:rsid w:val="003C6942"/>
    <w:rsid w:val="003D2E93"/>
    <w:rsid w:val="003D738C"/>
    <w:rsid w:val="003D7C82"/>
    <w:rsid w:val="003F1039"/>
    <w:rsid w:val="003F139D"/>
    <w:rsid w:val="003F1D36"/>
    <w:rsid w:val="003F2442"/>
    <w:rsid w:val="003F7D12"/>
    <w:rsid w:val="0041555A"/>
    <w:rsid w:val="00485A2C"/>
    <w:rsid w:val="004873E7"/>
    <w:rsid w:val="00490831"/>
    <w:rsid w:val="004912B4"/>
    <w:rsid w:val="004A07B1"/>
    <w:rsid w:val="004A08A5"/>
    <w:rsid w:val="004A1724"/>
    <w:rsid w:val="004D4FFB"/>
    <w:rsid w:val="004F428D"/>
    <w:rsid w:val="005053C7"/>
    <w:rsid w:val="00517FC8"/>
    <w:rsid w:val="00544FB9"/>
    <w:rsid w:val="00562A8B"/>
    <w:rsid w:val="00571250"/>
    <w:rsid w:val="00572875"/>
    <w:rsid w:val="00574A1A"/>
    <w:rsid w:val="0057571E"/>
    <w:rsid w:val="00577874"/>
    <w:rsid w:val="00586F58"/>
    <w:rsid w:val="00587C94"/>
    <w:rsid w:val="00593F6D"/>
    <w:rsid w:val="005B6589"/>
    <w:rsid w:val="005C4420"/>
    <w:rsid w:val="005D3046"/>
    <w:rsid w:val="005E302A"/>
    <w:rsid w:val="005F7583"/>
    <w:rsid w:val="006073DF"/>
    <w:rsid w:val="00617365"/>
    <w:rsid w:val="00622BFD"/>
    <w:rsid w:val="00622ECF"/>
    <w:rsid w:val="00626960"/>
    <w:rsid w:val="00637412"/>
    <w:rsid w:val="00656470"/>
    <w:rsid w:val="00661F00"/>
    <w:rsid w:val="006651DC"/>
    <w:rsid w:val="006A63B4"/>
    <w:rsid w:val="006A7295"/>
    <w:rsid w:val="006C38A4"/>
    <w:rsid w:val="006F7CDE"/>
    <w:rsid w:val="00721254"/>
    <w:rsid w:val="007229C3"/>
    <w:rsid w:val="0072680A"/>
    <w:rsid w:val="00742600"/>
    <w:rsid w:val="00744BD3"/>
    <w:rsid w:val="007679F7"/>
    <w:rsid w:val="00775641"/>
    <w:rsid w:val="00775FC7"/>
    <w:rsid w:val="007933E5"/>
    <w:rsid w:val="007E2BA6"/>
    <w:rsid w:val="008000AD"/>
    <w:rsid w:val="00812A0B"/>
    <w:rsid w:val="0081543D"/>
    <w:rsid w:val="00827485"/>
    <w:rsid w:val="00833C5C"/>
    <w:rsid w:val="00836164"/>
    <w:rsid w:val="008361DF"/>
    <w:rsid w:val="0085064E"/>
    <w:rsid w:val="00873ADF"/>
    <w:rsid w:val="008A219F"/>
    <w:rsid w:val="008D2C41"/>
    <w:rsid w:val="008E471D"/>
    <w:rsid w:val="008E6666"/>
    <w:rsid w:val="008F1305"/>
    <w:rsid w:val="008F144A"/>
    <w:rsid w:val="00904A52"/>
    <w:rsid w:val="0091539E"/>
    <w:rsid w:val="00917F69"/>
    <w:rsid w:val="00934F49"/>
    <w:rsid w:val="009619DF"/>
    <w:rsid w:val="00970FE1"/>
    <w:rsid w:val="00983926"/>
    <w:rsid w:val="00983E95"/>
    <w:rsid w:val="009B3339"/>
    <w:rsid w:val="009D2C58"/>
    <w:rsid w:val="009F10B8"/>
    <w:rsid w:val="00A10054"/>
    <w:rsid w:val="00A11F0D"/>
    <w:rsid w:val="00A1238A"/>
    <w:rsid w:val="00A27DD6"/>
    <w:rsid w:val="00A34A9E"/>
    <w:rsid w:val="00A418F2"/>
    <w:rsid w:val="00A43C7C"/>
    <w:rsid w:val="00A64B63"/>
    <w:rsid w:val="00A9097F"/>
    <w:rsid w:val="00AA29E9"/>
    <w:rsid w:val="00AC1C37"/>
    <w:rsid w:val="00AE57E2"/>
    <w:rsid w:val="00AE7E98"/>
    <w:rsid w:val="00B218A7"/>
    <w:rsid w:val="00B22A0D"/>
    <w:rsid w:val="00B27BBC"/>
    <w:rsid w:val="00B37803"/>
    <w:rsid w:val="00B942C9"/>
    <w:rsid w:val="00BA5E80"/>
    <w:rsid w:val="00BA6D8D"/>
    <w:rsid w:val="00BA7393"/>
    <w:rsid w:val="00BE314F"/>
    <w:rsid w:val="00BE4440"/>
    <w:rsid w:val="00BF5B5D"/>
    <w:rsid w:val="00C02D92"/>
    <w:rsid w:val="00C255BB"/>
    <w:rsid w:val="00C33361"/>
    <w:rsid w:val="00C446D1"/>
    <w:rsid w:val="00C4753F"/>
    <w:rsid w:val="00C84117"/>
    <w:rsid w:val="00C95277"/>
    <w:rsid w:val="00CA0525"/>
    <w:rsid w:val="00CB085C"/>
    <w:rsid w:val="00CC2FE0"/>
    <w:rsid w:val="00CC5122"/>
    <w:rsid w:val="00CD1760"/>
    <w:rsid w:val="00CD1E79"/>
    <w:rsid w:val="00CE0620"/>
    <w:rsid w:val="00CE38A1"/>
    <w:rsid w:val="00CF7531"/>
    <w:rsid w:val="00D004EF"/>
    <w:rsid w:val="00D01EAE"/>
    <w:rsid w:val="00D0225B"/>
    <w:rsid w:val="00D333DD"/>
    <w:rsid w:val="00D40406"/>
    <w:rsid w:val="00D41FB1"/>
    <w:rsid w:val="00D661FE"/>
    <w:rsid w:val="00D679F6"/>
    <w:rsid w:val="00D922C9"/>
    <w:rsid w:val="00D937B2"/>
    <w:rsid w:val="00DA0803"/>
    <w:rsid w:val="00DC7507"/>
    <w:rsid w:val="00DD2ADD"/>
    <w:rsid w:val="00DD357E"/>
    <w:rsid w:val="00DD59F7"/>
    <w:rsid w:val="00DE1278"/>
    <w:rsid w:val="00DF531C"/>
    <w:rsid w:val="00DF5AE5"/>
    <w:rsid w:val="00E01730"/>
    <w:rsid w:val="00E214EF"/>
    <w:rsid w:val="00E2223E"/>
    <w:rsid w:val="00E720EF"/>
    <w:rsid w:val="00E82919"/>
    <w:rsid w:val="00EA083C"/>
    <w:rsid w:val="00EA6C99"/>
    <w:rsid w:val="00EB31E2"/>
    <w:rsid w:val="00EE131A"/>
    <w:rsid w:val="00EE3700"/>
    <w:rsid w:val="00F060DF"/>
    <w:rsid w:val="00F13BA6"/>
    <w:rsid w:val="00F20E52"/>
    <w:rsid w:val="00F41EDB"/>
    <w:rsid w:val="00F54EB0"/>
    <w:rsid w:val="00F57AAB"/>
    <w:rsid w:val="00F756B8"/>
    <w:rsid w:val="00F948FF"/>
    <w:rsid w:val="00FD6353"/>
    <w:rsid w:val="00FE1681"/>
    <w:rsid w:val="00FE1A27"/>
    <w:rsid w:val="00FF5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C38"/>
    <w:pPr>
      <w:spacing w:before="40" w:after="40" w:line="220" w:lineRule="exact"/>
      <w:jc w:val="both"/>
    </w:pPr>
    <w:rPr>
      <w:rFonts w:ascii="Calibri" w:hAnsi="Calibri"/>
      <w:sz w:val="18"/>
    </w:rPr>
  </w:style>
  <w:style w:type="paragraph" w:styleId="Heading1">
    <w:name w:val="heading 1"/>
    <w:basedOn w:val="H1"/>
    <w:next w:val="Normal"/>
    <w:qFormat/>
    <w:rsid w:val="00744BD3"/>
    <w:pPr>
      <w:keepNext/>
      <w:spacing w:after="60"/>
      <w:jc w:val="left"/>
      <w:outlineLvl w:val="0"/>
    </w:pPr>
    <w:rPr>
      <w:kern w:val="28"/>
    </w:rPr>
  </w:style>
  <w:style w:type="paragraph" w:styleId="Heading2">
    <w:name w:val="heading 2"/>
    <w:basedOn w:val="Normal"/>
    <w:next w:val="Normal"/>
    <w:link w:val="Heading2Char"/>
    <w:qFormat/>
    <w:rsid w:val="003C4C38"/>
    <w:pPr>
      <w:keepNext/>
      <w:outlineLvl w:val="1"/>
    </w:pPr>
    <w:rPr>
      <w:b/>
      <w:i/>
      <w:sz w:val="20"/>
    </w:rPr>
  </w:style>
  <w:style w:type="paragraph" w:styleId="Heading3">
    <w:name w:val="heading 3"/>
    <w:basedOn w:val="Normal"/>
    <w:next w:val="Normal"/>
    <w:link w:val="Heading3Char"/>
    <w:qFormat/>
    <w:rsid w:val="00744BD3"/>
    <w:pPr>
      <w:keepNext/>
      <w:spacing w:after="60"/>
      <w:jc w:val="center"/>
      <w:outlineLvl w:val="2"/>
    </w:pPr>
    <w:rPr>
      <w:b/>
    </w:rPr>
  </w:style>
  <w:style w:type="paragraph" w:styleId="Heading4">
    <w:name w:val="heading 4"/>
    <w:basedOn w:val="Heading3"/>
    <w:next w:val="Normal"/>
    <w:link w:val="Heading4Char"/>
    <w:qFormat/>
    <w:rsid w:val="00744BD3"/>
    <w:pPr>
      <w:spacing w:before="120" w:after="0"/>
      <w:jc w:val="left"/>
      <w:outlineLvl w:val="3"/>
    </w:pPr>
  </w:style>
  <w:style w:type="paragraph" w:styleId="Heading5">
    <w:name w:val="heading 5"/>
    <w:basedOn w:val="Normal"/>
    <w:next w:val="Normal"/>
    <w:qFormat/>
    <w:rsid w:val="00744BD3"/>
    <w:pPr>
      <w:spacing w:before="240" w:after="60"/>
      <w:outlineLvl w:val="4"/>
    </w:pPr>
    <w:rPr>
      <w:sz w:val="22"/>
    </w:rPr>
  </w:style>
  <w:style w:type="paragraph" w:styleId="Heading6">
    <w:name w:val="heading 6"/>
    <w:basedOn w:val="Normal"/>
    <w:next w:val="Normal"/>
    <w:qFormat/>
    <w:rsid w:val="00744BD3"/>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744BD3"/>
    <w:pPr>
      <w:keepNext/>
      <w:outlineLvl w:val="6"/>
    </w:pPr>
    <w:rPr>
      <w:b/>
      <w:u w:val="single"/>
    </w:rPr>
  </w:style>
  <w:style w:type="paragraph" w:styleId="Heading8">
    <w:name w:val="heading 8"/>
    <w:basedOn w:val="Normal"/>
    <w:next w:val="Normal"/>
    <w:qFormat/>
    <w:rsid w:val="00744BD3"/>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744BD3"/>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Head">
    <w:name w:val="ProgramHead"/>
    <w:basedOn w:val="H2"/>
    <w:rsid w:val="003C4C38"/>
  </w:style>
  <w:style w:type="paragraph" w:styleId="BodyText">
    <w:name w:val="Body Text"/>
    <w:basedOn w:val="Normal"/>
    <w:rsid w:val="00661F00"/>
    <w:pPr>
      <w:ind w:right="-54"/>
    </w:pPr>
  </w:style>
  <w:style w:type="paragraph" w:styleId="Header">
    <w:name w:val="header"/>
    <w:basedOn w:val="Normal"/>
    <w:rsid w:val="00744BD3"/>
    <w:pPr>
      <w:jc w:val="center"/>
    </w:pPr>
  </w:style>
  <w:style w:type="paragraph" w:styleId="Footer">
    <w:name w:val="footer"/>
    <w:basedOn w:val="Header"/>
    <w:rsid w:val="00744BD3"/>
  </w:style>
  <w:style w:type="paragraph" w:customStyle="1" w:styleId="H1">
    <w:name w:val="H1"/>
    <w:next w:val="Normal"/>
    <w:link w:val="H1Char"/>
    <w:rsid w:val="00744BD3"/>
    <w:pPr>
      <w:spacing w:after="120"/>
      <w:jc w:val="center"/>
    </w:pPr>
    <w:rPr>
      <w:rFonts w:ascii="Trebuchet MS" w:hAnsi="Trebuchet MS"/>
      <w:caps/>
      <w:noProof/>
      <w:sz w:val="40"/>
    </w:rPr>
  </w:style>
  <w:style w:type="paragraph" w:customStyle="1" w:styleId="H2">
    <w:name w:val="H2"/>
    <w:basedOn w:val="H1"/>
    <w:next w:val="Normal"/>
    <w:link w:val="H2Char"/>
    <w:rsid w:val="003C4C38"/>
    <w:pPr>
      <w:pBdr>
        <w:bottom w:val="single" w:sz="4" w:space="1" w:color="auto"/>
      </w:pBdr>
      <w:spacing w:before="240" w:after="80"/>
      <w:jc w:val="left"/>
    </w:pPr>
    <w:rPr>
      <w:rFonts w:ascii="Calibri" w:hAnsi="Calibri"/>
      <w:sz w:val="24"/>
    </w:rPr>
  </w:style>
  <w:style w:type="paragraph" w:customStyle="1" w:styleId="H3">
    <w:name w:val="H3"/>
    <w:basedOn w:val="Heading3"/>
    <w:next w:val="Normal"/>
    <w:rsid w:val="00744BD3"/>
  </w:style>
  <w:style w:type="paragraph" w:customStyle="1" w:styleId="H4">
    <w:name w:val="H4"/>
    <w:basedOn w:val="Heading4"/>
    <w:next w:val="Normal"/>
    <w:link w:val="H4Char"/>
    <w:rsid w:val="00744BD3"/>
    <w:pPr>
      <w:spacing w:before="40" w:after="40"/>
    </w:pPr>
    <w:rPr>
      <w:b w:val="0"/>
      <w:caps/>
      <w:sz w:val="20"/>
    </w:rPr>
  </w:style>
  <w:style w:type="paragraph" w:customStyle="1" w:styleId="H5">
    <w:name w:val="H5"/>
    <w:basedOn w:val="Heading5"/>
    <w:next w:val="Normal"/>
    <w:rsid w:val="00744BD3"/>
  </w:style>
  <w:style w:type="paragraph" w:customStyle="1" w:styleId="H6">
    <w:name w:val="H6"/>
    <w:rsid w:val="00744BD3"/>
    <w:pPr>
      <w:spacing w:before="60" w:after="60"/>
    </w:pPr>
    <w:rPr>
      <w:rFonts w:ascii="AvantGarde" w:hAnsi="AvantGarde"/>
      <w:smallCaps/>
      <w:noProof/>
      <w:color w:val="000080"/>
      <w:sz w:val="24"/>
    </w:rPr>
  </w:style>
  <w:style w:type="paragraph" w:customStyle="1" w:styleId="H7">
    <w:name w:val="H7"/>
    <w:basedOn w:val="Normal"/>
    <w:rsid w:val="00744BD3"/>
    <w:rPr>
      <w:sz w:val="12"/>
    </w:rPr>
  </w:style>
  <w:style w:type="character" w:styleId="PageNumber">
    <w:name w:val="page number"/>
    <w:basedOn w:val="DefaultParagraphFont"/>
    <w:rsid w:val="00744BD3"/>
    <w:rPr>
      <w:rFonts w:ascii="Trebuchet MS" w:hAnsi="Trebuchet MS"/>
      <w:sz w:val="16"/>
    </w:rPr>
  </w:style>
  <w:style w:type="paragraph" w:styleId="BodyText2">
    <w:name w:val="Body Text 2"/>
    <w:basedOn w:val="Normal"/>
    <w:rsid w:val="00744BD3"/>
    <w:rPr>
      <w:kern w:val="16"/>
      <w:sz w:val="16"/>
    </w:rPr>
  </w:style>
  <w:style w:type="paragraph" w:customStyle="1" w:styleId="SubProgramHead">
    <w:name w:val="SubProgramHead"/>
    <w:basedOn w:val="ProgramHead"/>
    <w:rsid w:val="00744BD3"/>
    <w:pPr>
      <w:jc w:val="center"/>
    </w:pPr>
  </w:style>
  <w:style w:type="paragraph" w:styleId="BodyText3">
    <w:name w:val="Body Text 3"/>
    <w:basedOn w:val="Normal"/>
    <w:rsid w:val="00070C23"/>
    <w:pPr>
      <w:keepNext/>
      <w:jc w:val="left"/>
      <w:outlineLvl w:val="3"/>
    </w:pPr>
    <w:rPr>
      <w:snapToGrid w:val="0"/>
      <w:color w:val="000000"/>
    </w:rPr>
  </w:style>
  <w:style w:type="character" w:styleId="Hyperlink">
    <w:name w:val="Hyperlink"/>
    <w:basedOn w:val="DefaultParagraphFont"/>
    <w:rsid w:val="00744BD3"/>
    <w:rPr>
      <w:rFonts w:ascii="Trebuchet MS" w:hAnsi="Trebuchet MS"/>
      <w:color w:val="0000FF"/>
      <w:sz w:val="16"/>
      <w:u w:val="single"/>
    </w:rPr>
  </w:style>
  <w:style w:type="paragraph" w:styleId="BodyTextIndent">
    <w:name w:val="Body Text Indent"/>
    <w:basedOn w:val="Normal"/>
    <w:rsid w:val="00744BD3"/>
    <w:pPr>
      <w:ind w:left="270"/>
    </w:pPr>
  </w:style>
  <w:style w:type="character" w:styleId="Strong">
    <w:name w:val="Strong"/>
    <w:basedOn w:val="DefaultParagraphFont"/>
    <w:qFormat/>
    <w:rsid w:val="00070C23"/>
    <w:rPr>
      <w:b/>
    </w:rPr>
  </w:style>
  <w:style w:type="character" w:customStyle="1" w:styleId="H1Char">
    <w:name w:val="H1 Char"/>
    <w:basedOn w:val="DefaultParagraphFont"/>
    <w:link w:val="H1"/>
    <w:rsid w:val="00744BD3"/>
    <w:rPr>
      <w:rFonts w:ascii="Trebuchet MS" w:hAnsi="Trebuchet MS"/>
      <w:caps/>
      <w:noProof/>
      <w:sz w:val="40"/>
      <w:lang w:val="en-US" w:eastAsia="en-US" w:bidi="ar-SA"/>
    </w:rPr>
  </w:style>
  <w:style w:type="character" w:customStyle="1" w:styleId="H2Char">
    <w:name w:val="H2 Char"/>
    <w:basedOn w:val="H1Char"/>
    <w:link w:val="H2"/>
    <w:rsid w:val="003C4C38"/>
    <w:rPr>
      <w:rFonts w:ascii="Calibri" w:hAnsi="Calibri"/>
      <w:sz w:val="24"/>
    </w:rPr>
  </w:style>
  <w:style w:type="character" w:customStyle="1" w:styleId="ProgramHeadChar">
    <w:name w:val="ProgramHead Char"/>
    <w:basedOn w:val="H2Char"/>
    <w:rsid w:val="00070C23"/>
  </w:style>
  <w:style w:type="paragraph" w:styleId="DocumentMap">
    <w:name w:val="Document Map"/>
    <w:basedOn w:val="Normal"/>
    <w:semiHidden/>
    <w:rsid w:val="00744BD3"/>
    <w:pPr>
      <w:shd w:val="clear" w:color="auto" w:fill="000080"/>
    </w:pPr>
    <w:rPr>
      <w:rFonts w:ascii="Tahoma" w:hAnsi="Tahoma" w:cs="Tahoma"/>
    </w:rPr>
  </w:style>
  <w:style w:type="paragraph" w:styleId="BalloonText">
    <w:name w:val="Balloon Text"/>
    <w:basedOn w:val="Normal"/>
    <w:semiHidden/>
    <w:rsid w:val="00661F00"/>
    <w:rPr>
      <w:rFonts w:ascii="Tahoma" w:hAnsi="Tahoma" w:cs="Tahoma"/>
      <w:sz w:val="16"/>
      <w:szCs w:val="16"/>
    </w:rPr>
  </w:style>
  <w:style w:type="character" w:styleId="CommentReference">
    <w:name w:val="annotation reference"/>
    <w:basedOn w:val="DefaultParagraphFont"/>
    <w:semiHidden/>
    <w:rsid w:val="00744BD3"/>
    <w:rPr>
      <w:sz w:val="16"/>
      <w:szCs w:val="16"/>
    </w:rPr>
  </w:style>
  <w:style w:type="paragraph" w:styleId="CommentText">
    <w:name w:val="annotation text"/>
    <w:basedOn w:val="Normal"/>
    <w:semiHidden/>
    <w:rsid w:val="00744BD3"/>
    <w:rPr>
      <w:sz w:val="20"/>
    </w:rPr>
  </w:style>
  <w:style w:type="paragraph" w:customStyle="1" w:styleId="H2SubProgram">
    <w:name w:val="H2 SubProgram"/>
    <w:basedOn w:val="H2"/>
    <w:rsid w:val="00744BD3"/>
    <w:pPr>
      <w:jc w:val="center"/>
    </w:pPr>
  </w:style>
  <w:style w:type="paragraph" w:customStyle="1" w:styleId="H7b0">
    <w:name w:val="H7b"/>
    <w:basedOn w:val="H7"/>
    <w:rsid w:val="00744BD3"/>
    <w:pPr>
      <w:jc w:val="right"/>
      <w:outlineLvl w:val="0"/>
    </w:pPr>
    <w:rPr>
      <w:rFonts w:ascii="Arial" w:hAnsi="Arial"/>
    </w:rPr>
  </w:style>
  <w:style w:type="paragraph" w:customStyle="1" w:styleId="H7B">
    <w:name w:val="H7B"/>
    <w:basedOn w:val="H7"/>
    <w:rsid w:val="00744BD3"/>
    <w:pPr>
      <w:numPr>
        <w:numId w:val="39"/>
      </w:numPr>
      <w:tabs>
        <w:tab w:val="left" w:pos="144"/>
      </w:tabs>
    </w:pPr>
  </w:style>
  <w:style w:type="paragraph" w:customStyle="1" w:styleId="NormalB">
    <w:name w:val="NormalB"/>
    <w:basedOn w:val="Normal"/>
    <w:rsid w:val="00744BD3"/>
    <w:pPr>
      <w:numPr>
        <w:numId w:val="40"/>
      </w:numPr>
      <w:tabs>
        <w:tab w:val="left" w:pos="144"/>
      </w:tabs>
    </w:pPr>
  </w:style>
  <w:style w:type="paragraph" w:customStyle="1" w:styleId="SubprogramHead0">
    <w:name w:val="SubprogramHead"/>
    <w:basedOn w:val="ProgramHead"/>
    <w:rsid w:val="00744BD3"/>
    <w:pPr>
      <w:spacing w:after="120"/>
      <w:jc w:val="center"/>
    </w:pPr>
  </w:style>
  <w:style w:type="table" w:styleId="TableGrid">
    <w:name w:val="Table Grid"/>
    <w:basedOn w:val="TableNormal"/>
    <w:rsid w:val="00744BD3"/>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CommentSubject">
    <w:name w:val="annotation subject"/>
    <w:basedOn w:val="CommentText"/>
    <w:next w:val="CommentText"/>
    <w:semiHidden/>
    <w:rsid w:val="003A020A"/>
    <w:rPr>
      <w:b/>
      <w:bCs/>
    </w:rPr>
  </w:style>
  <w:style w:type="character" w:customStyle="1" w:styleId="H4Char">
    <w:name w:val="H4 Char"/>
    <w:basedOn w:val="DefaultParagraphFont"/>
    <w:link w:val="H4"/>
    <w:rsid w:val="00744BD3"/>
    <w:rPr>
      <w:rFonts w:ascii="Trebuchet MS" w:hAnsi="Trebuchet MS"/>
      <w:caps/>
      <w:lang w:val="en-US" w:eastAsia="en-US" w:bidi="ar-SA"/>
    </w:rPr>
  </w:style>
  <w:style w:type="character" w:customStyle="1" w:styleId="Heading3Char">
    <w:name w:val="Heading 3 Char"/>
    <w:basedOn w:val="DefaultParagraphFont"/>
    <w:link w:val="Heading3"/>
    <w:rsid w:val="00744BD3"/>
    <w:rPr>
      <w:rFonts w:ascii="Trebuchet MS" w:hAnsi="Trebuchet MS"/>
      <w:b/>
      <w:sz w:val="18"/>
      <w:lang w:val="en-US" w:eastAsia="en-US" w:bidi="ar-SA"/>
    </w:rPr>
  </w:style>
  <w:style w:type="character" w:customStyle="1" w:styleId="Heading4Char">
    <w:name w:val="Heading 4 Char"/>
    <w:basedOn w:val="Heading3Char"/>
    <w:link w:val="Heading4"/>
    <w:uiPriority w:val="9"/>
    <w:rsid w:val="00744BD3"/>
  </w:style>
  <w:style w:type="paragraph" w:styleId="NormalWeb">
    <w:name w:val="Normal (Web)"/>
    <w:basedOn w:val="Normal"/>
    <w:rsid w:val="00661F00"/>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661F00"/>
    <w:pPr>
      <w:jc w:val="left"/>
    </w:pPr>
    <w:rPr>
      <w:color w:val="005400"/>
    </w:rPr>
  </w:style>
  <w:style w:type="character" w:customStyle="1" w:styleId="Heading2Char">
    <w:name w:val="Heading 2 Char"/>
    <w:basedOn w:val="DefaultParagraphFont"/>
    <w:link w:val="Heading2"/>
    <w:rsid w:val="003C4C38"/>
    <w:rPr>
      <w:rFonts w:ascii="Calibri" w:hAnsi="Calibri"/>
      <w:b/>
      <w:i/>
    </w:rPr>
  </w:style>
  <w:style w:type="paragraph" w:styleId="NoSpacing">
    <w:name w:val="No Spacing"/>
    <w:uiPriority w:val="1"/>
    <w:qFormat/>
    <w:rsid w:val="007229C3"/>
    <w:rPr>
      <w:rFonts w:ascii="Calibri" w:eastAsia="Calibri" w:hAnsi="Calibri"/>
      <w:sz w:val="22"/>
      <w:szCs w:val="22"/>
    </w:rPr>
  </w:style>
  <w:style w:type="paragraph" w:styleId="ListParagraph">
    <w:name w:val="List Paragraph"/>
    <w:basedOn w:val="Normal"/>
    <w:qFormat/>
    <w:rsid w:val="00D333DD"/>
    <w:pPr>
      <w:spacing w:before="0" w:after="0" w:line="240" w:lineRule="auto"/>
      <w:ind w:left="720"/>
      <w:contextualSpacing/>
      <w:jc w:val="left"/>
    </w:pPr>
    <w:rPr>
      <w:rFonts w:ascii="Times New Roman" w:hAnsi="Times New Roman"/>
      <w:sz w:val="24"/>
      <w:szCs w:val="24"/>
    </w:rPr>
  </w:style>
  <w:style w:type="paragraph" w:styleId="PlainText">
    <w:name w:val="Plain Text"/>
    <w:basedOn w:val="Normal"/>
    <w:link w:val="PlainTextChar"/>
    <w:uiPriority w:val="99"/>
    <w:unhideWhenUsed/>
    <w:rsid w:val="00D333DD"/>
    <w:pPr>
      <w:spacing w:before="0" w:after="0"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D333DD"/>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1067918856">
      <w:bodyDiv w:val="1"/>
      <w:marLeft w:val="0"/>
      <w:marRight w:val="0"/>
      <w:marTop w:val="0"/>
      <w:marBottom w:val="0"/>
      <w:divBdr>
        <w:top w:val="none" w:sz="0" w:space="0" w:color="auto"/>
        <w:left w:val="none" w:sz="0" w:space="0" w:color="auto"/>
        <w:bottom w:val="none" w:sz="0" w:space="0" w:color="auto"/>
        <w:right w:val="none" w:sz="0" w:space="0" w:color="auto"/>
      </w:divBdr>
    </w:div>
    <w:div w:id="20447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t.gov/ecd/lib/ecd/housing_plans/2010-15_cp_-_hud_approve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gov/ecd/lib/ecd/2010-15_slrhp_-_final_.pdf" TargetMode="External"/><Relationship Id="rId17" Type="http://schemas.openxmlformats.org/officeDocument/2006/relationships/hyperlink" Target="http://www.CTvisit.com" TargetMode="External"/><Relationship Id="rId2" Type="http://schemas.openxmlformats.org/officeDocument/2006/relationships/numbering" Target="numbering.xml"/><Relationship Id="rId16" Type="http://schemas.openxmlformats.org/officeDocument/2006/relationships/hyperlink" Target="http://www.ct.gov/ecd/cwp/view.asp?a=3680&amp;Q=433350&amp;PM=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t.gov/ecd/cwp/view.asp?a=3680&amp;Q=433350&amp;PM=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t.gov/ecd/cwp/view.asp?a=3680&amp;Q=433350&amp;P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BD3C-DACA-4C13-AAFA-4D6BD808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2241</Words>
  <Characters>15214</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The Department of Economic and Community Development is the lead agency for all matters relating to housing in Connecticut</vt:lpstr>
    </vt:vector>
  </TitlesOfParts>
  <Company>State of Connecticut</Company>
  <LinksUpToDate>false</LinksUpToDate>
  <CharactersWithSpaces>17421</CharactersWithSpaces>
  <SharedDoc>false</SharedDoc>
  <HLinks>
    <vt:vector size="36" baseType="variant">
      <vt:variant>
        <vt:i4>3604581</vt:i4>
      </vt:variant>
      <vt:variant>
        <vt:i4>19</vt:i4>
      </vt:variant>
      <vt:variant>
        <vt:i4>0</vt:i4>
      </vt:variant>
      <vt:variant>
        <vt:i4>5</vt:i4>
      </vt:variant>
      <vt:variant>
        <vt:lpwstr>http://www.ctvisit.com/</vt:lpwstr>
      </vt:variant>
      <vt:variant>
        <vt:lpwstr/>
      </vt:variant>
      <vt:variant>
        <vt:i4>3866720</vt:i4>
      </vt:variant>
      <vt:variant>
        <vt:i4>14</vt:i4>
      </vt:variant>
      <vt:variant>
        <vt:i4>0</vt:i4>
      </vt:variant>
      <vt:variant>
        <vt:i4>5</vt:i4>
      </vt:variant>
      <vt:variant>
        <vt:lpwstr>http://www.ct.gov/ecd/cwp/view.asp?a=3680&amp;Q=433350&amp;PM=1</vt:lpwstr>
      </vt:variant>
      <vt:variant>
        <vt:lpwstr>HOME</vt:lpwstr>
      </vt:variant>
      <vt:variant>
        <vt:i4>4521997</vt:i4>
      </vt:variant>
      <vt:variant>
        <vt:i4>11</vt:i4>
      </vt:variant>
      <vt:variant>
        <vt:i4>0</vt:i4>
      </vt:variant>
      <vt:variant>
        <vt:i4>5</vt:i4>
      </vt:variant>
      <vt:variant>
        <vt:lpwstr>http://www.ct.gov/ecd/cwp/view.asp?a=3680&amp;Q=433350&amp;PM=1</vt:lpwstr>
      </vt:variant>
      <vt:variant>
        <vt:lpwstr>HTF</vt:lpwstr>
      </vt:variant>
      <vt:variant>
        <vt:i4>5832708</vt:i4>
      </vt:variant>
      <vt:variant>
        <vt:i4>8</vt:i4>
      </vt:variant>
      <vt:variant>
        <vt:i4>0</vt:i4>
      </vt:variant>
      <vt:variant>
        <vt:i4>5</vt:i4>
      </vt:variant>
      <vt:variant>
        <vt:lpwstr>http://www.ct.gov/ecd/cwp/view.asp?a=3680&amp;Q=433350&amp;PM=1</vt:lpwstr>
      </vt:variant>
      <vt:variant>
        <vt:lpwstr>AHP</vt:lpwstr>
      </vt:variant>
      <vt:variant>
        <vt:i4>917624</vt:i4>
      </vt:variant>
      <vt:variant>
        <vt:i4>5</vt:i4>
      </vt:variant>
      <vt:variant>
        <vt:i4>0</vt:i4>
      </vt:variant>
      <vt:variant>
        <vt:i4>5</vt:i4>
      </vt:variant>
      <vt:variant>
        <vt:lpwstr>http://www.ct.gov/ecd/lib/ecd/housing_plans/2010-15_cp_-_hud_approved.pdf</vt:lpwstr>
      </vt:variant>
      <vt:variant>
        <vt:lpwstr/>
      </vt:variant>
      <vt:variant>
        <vt:i4>4915282</vt:i4>
      </vt:variant>
      <vt:variant>
        <vt:i4>2</vt:i4>
      </vt:variant>
      <vt:variant>
        <vt:i4>0</vt:i4>
      </vt:variant>
      <vt:variant>
        <vt:i4>5</vt:i4>
      </vt:variant>
      <vt:variant>
        <vt:lpwstr>http://www.ct.gov/ecd/lib/ecd/2010-15_slrhp_-_final_.pdf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Economic and Community Development is the lead agency for all matters relating to housing in Connecticut</dc:title>
  <dc:subject/>
  <dc:creator>W. Michael Regan</dc:creator>
  <cp:keywords/>
  <cp:lastModifiedBy>Charles Pomeroy</cp:lastModifiedBy>
  <cp:revision>16</cp:revision>
  <cp:lastPrinted>2013-01-23T20:02:00Z</cp:lastPrinted>
  <dcterms:created xsi:type="dcterms:W3CDTF">2013-01-17T22:56:00Z</dcterms:created>
  <dcterms:modified xsi:type="dcterms:W3CDTF">2013-02-05T15:20:00Z</dcterms:modified>
</cp:coreProperties>
</file>