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96F" w:rsidRDefault="00A2596F" w:rsidP="00A2596F">
      <w:pPr>
        <w:pStyle w:val="H1"/>
      </w:pPr>
      <w:r>
        <w:t>de</w:t>
      </w:r>
      <w:r w:rsidRPr="00435004">
        <w:t xml:space="preserve">partment Of </w:t>
      </w:r>
      <w:r>
        <w:t>Emergency Services and Public Protection</w:t>
      </w:r>
    </w:p>
    <w:p w:rsidR="007B5B9E" w:rsidRPr="007C1899" w:rsidRDefault="001A2BD3" w:rsidP="00C754F8">
      <w:pPr>
        <w:pStyle w:val="H2"/>
        <w:spacing w:before="0" w:after="0"/>
        <w:rPr>
          <w:rStyle w:val="Hyperlink"/>
          <w:color w:val="auto"/>
          <w:sz w:val="22"/>
        </w:rPr>
        <w:sectPr w:rsidR="007B5B9E" w:rsidRPr="007C1899" w:rsidSect="00D73ECB">
          <w:headerReference w:type="even" r:id="rId8"/>
          <w:headerReference w:type="default" r:id="rId9"/>
          <w:footerReference w:type="even" r:id="rId10"/>
          <w:footerReference w:type="default" r:id="rId11"/>
          <w:headerReference w:type="first" r:id="rId12"/>
          <w:pgSz w:w="12240" w:h="15840" w:code="1"/>
          <w:pgMar w:top="864" w:right="720" w:bottom="1152" w:left="720" w:header="432" w:footer="288" w:gutter="216"/>
          <w:cols w:space="720"/>
          <w:docGrid w:linePitch="245"/>
        </w:sectPr>
      </w:pPr>
      <w:r w:rsidRPr="007C1899">
        <w:fldChar w:fldCharType="begin"/>
      </w:r>
      <w:r w:rsidR="007B5B9E" w:rsidRPr="007C1899">
        <w:instrText xml:space="preserve"> XE "public safety, dept of " </w:instrText>
      </w:r>
      <w:r w:rsidRPr="007C1899">
        <w:fldChar w:fldCharType="end"/>
      </w:r>
      <w:r w:rsidR="007B5B9E" w:rsidRPr="007C1899">
        <w:t>Agency Descriptio</w:t>
      </w:r>
      <w:r w:rsidR="004E31BC">
        <w:t>n</w:t>
      </w:r>
    </w:p>
    <w:p w:rsidR="004B72C0" w:rsidRPr="000F2DE5" w:rsidRDefault="004B72C0" w:rsidP="00D73ECB">
      <w:pPr>
        <w:spacing w:after="0"/>
      </w:pPr>
      <w:r w:rsidRPr="000F2DE5">
        <w:lastRenderedPageBreak/>
        <w:t xml:space="preserve">The Department of Emergency Services and Public Protection (DESPP) is committed to protecting and improving the quality of life for all by providing enforcement, regulatory, response and recovery, training, and scientific services through prevention, education, and innovative use of technology. </w:t>
      </w:r>
    </w:p>
    <w:p w:rsidR="004B72C0" w:rsidRPr="000F2DE5" w:rsidRDefault="004B72C0" w:rsidP="004B72C0">
      <w:pPr>
        <w:spacing w:before="120" w:after="120"/>
      </w:pPr>
      <w:r w:rsidRPr="000F2DE5">
        <w:t xml:space="preserve">The Division of Emergency Management and Homeland Security (DEMHS) is charged with developing, administering and coordinating a comprehensive </w:t>
      </w:r>
      <w:r w:rsidR="001437B7">
        <w:t>state</w:t>
      </w:r>
      <w:r w:rsidRPr="000F2DE5">
        <w:t xml:space="preserve">wide emergency management and homeland security program that encompasses all human-made and natural hazards, and includes prevention, mitigation, preparedness, response and recovery components to ensure the safety and well-being of the citizens of Connecticut.  </w:t>
      </w:r>
    </w:p>
    <w:p w:rsidR="004B72C0" w:rsidRPr="000F2DE5" w:rsidRDefault="004B72C0" w:rsidP="004B72C0">
      <w:pPr>
        <w:spacing w:before="120" w:after="120"/>
      </w:pPr>
      <w:r w:rsidRPr="000F2DE5">
        <w:t xml:space="preserve">The Police Officers Standards and Training Council (POST) division is responsible for the certification of all police officers, law enforcement instructors and police training programs throughout the </w:t>
      </w:r>
      <w:r w:rsidR="001437B7">
        <w:t>state</w:t>
      </w:r>
      <w:r w:rsidRPr="000F2DE5">
        <w:t xml:space="preserve"> of Connecticut.  </w:t>
      </w:r>
    </w:p>
    <w:p w:rsidR="004B72C0" w:rsidRPr="000F2DE5" w:rsidRDefault="004B72C0" w:rsidP="004B72C0">
      <w:pPr>
        <w:spacing w:before="120" w:after="120"/>
      </w:pPr>
      <w:r w:rsidRPr="000F2DE5">
        <w:t>The</w:t>
      </w:r>
      <w:r w:rsidR="001604E6">
        <w:t xml:space="preserve"> Commission on Fire Prevention and</w:t>
      </w:r>
      <w:r w:rsidRPr="000F2DE5">
        <w:t xml:space="preserve"> Control (FPC) division is committed to reducing death, injury and property damage due to fire, emergencies and other disasters by increasing the proficiency of fire service personnel through training, education and recognition of professional competency through certification. </w:t>
      </w:r>
    </w:p>
    <w:p w:rsidR="004B72C0" w:rsidRPr="000F2DE5" w:rsidRDefault="004B72C0" w:rsidP="004B72C0">
      <w:pPr>
        <w:spacing w:before="120" w:after="120"/>
      </w:pPr>
      <w:r w:rsidRPr="000F2DE5">
        <w:t>The Division of Scientific Services is comprised of three laboratories, the Forensic Laboratory, the Toxicology and Controlled Subs</w:t>
      </w:r>
      <w:r w:rsidR="00F33E44">
        <w:t>tance Laboratory:</w:t>
      </w:r>
      <w:r w:rsidRPr="000F2DE5">
        <w:t xml:space="preserve"> and the Computer Crime and Electronic Evidence </w:t>
      </w:r>
      <w:r w:rsidRPr="000F2DE5">
        <w:lastRenderedPageBreak/>
        <w:t xml:space="preserve">Laboratory.  The three laboratories are centrally located at the Mulcahey complex in Meriden, fusing the agency’s scientific investigative arm into one function. The Division of Scientific Services is unique in that it provides forensic services to both criminal prosecutors </w:t>
      </w:r>
      <w:r w:rsidR="00F33E44">
        <w:t xml:space="preserve">and </w:t>
      </w:r>
      <w:r w:rsidRPr="000F2DE5">
        <w:t>to the public defender’s office.</w:t>
      </w:r>
    </w:p>
    <w:p w:rsidR="004B72C0" w:rsidRDefault="004B72C0" w:rsidP="004B72C0">
      <w:pPr>
        <w:spacing w:before="120" w:after="120"/>
      </w:pPr>
      <w:r w:rsidRPr="000F2DE5">
        <w:t xml:space="preserve">The Division of </w:t>
      </w:r>
      <w:r w:rsidR="001437B7">
        <w:t>State</w:t>
      </w:r>
      <w:r w:rsidRPr="000F2DE5">
        <w:t xml:space="preserve"> Po</w:t>
      </w:r>
      <w:r>
        <w:t>lice is responsible for primary</w:t>
      </w:r>
      <w:r w:rsidRPr="000F2DE5">
        <w:t xml:space="preserve"> law enforcement services for all municipalities that do not have their own chartered police department.  The </w:t>
      </w:r>
      <w:r w:rsidR="001437B7">
        <w:t>state</w:t>
      </w:r>
      <w:r w:rsidRPr="000F2DE5">
        <w:t xml:space="preserve"> police provide additional special police resources to all municipalities on request.  Special police services include </w:t>
      </w:r>
      <w:r w:rsidR="00F33E44">
        <w:t xml:space="preserve">the </w:t>
      </w:r>
      <w:r w:rsidRPr="000F2DE5">
        <w:t>bomb squad, aviation unit, marine unit, dive team, tactical unit, canine search and rescue, arson cause and origin investigation and major crime investigative units. Police service</w:t>
      </w:r>
      <w:r w:rsidR="001437B7">
        <w:t>s are coordinated out of three d</w:t>
      </w:r>
      <w:r w:rsidRPr="000F2DE5">
        <w:t>istricts and the Bureau of Criminal Investigations (BCI).  Troopers are assigned to one of 11 troops, the casino unit</w:t>
      </w:r>
      <w:r w:rsidR="00F33E44">
        <w:t xml:space="preserve"> or to the BCI where they work o</w:t>
      </w:r>
      <w:r w:rsidRPr="000F2DE5">
        <w:t>n one of the numerous task forces targeting specific public safety concerns.  Troopers are also assigned to the Division of Scientific Services and the Division of Emergency Management and Homeland Security in the Office of Counter Terrorism.</w:t>
      </w:r>
    </w:p>
    <w:p w:rsidR="0038191B" w:rsidRDefault="004B72C0" w:rsidP="004B72C0">
      <w:r w:rsidRPr="00FF73FB">
        <w:t xml:space="preserve">The Office of </w:t>
      </w:r>
      <w:r w:rsidR="001437B7">
        <w:t>State</w:t>
      </w:r>
      <w:r w:rsidRPr="00FF73FB">
        <w:t>wide Emergency Telecommunications is charged with the responsibility for the development of a master plan for emergency</w:t>
      </w:r>
      <w:r w:rsidR="001437B7">
        <w:t xml:space="preserve"> telecommunications within the state</w:t>
      </w:r>
      <w:r w:rsidRPr="00FF73FB">
        <w:t xml:space="preserve"> of Connecticut.  It coordinates with area </w:t>
      </w:r>
      <w:r w:rsidR="001437B7">
        <w:t>state</w:t>
      </w:r>
      <w:r w:rsidRPr="00FF73FB">
        <w:t>s as well as the FCC and acts as a liaison with the public safety community to ensure that its needs are addressed.</w:t>
      </w:r>
    </w:p>
    <w:p w:rsidR="004B72C0" w:rsidRDefault="004B72C0" w:rsidP="007B5B9E">
      <w:pPr>
        <w:pStyle w:val="ProgramHead"/>
        <w:sectPr w:rsidR="004B72C0" w:rsidSect="00D73ECB">
          <w:headerReference w:type="even" r:id="rId13"/>
          <w:headerReference w:type="default" r:id="rId14"/>
          <w:headerReference w:type="first" r:id="rId15"/>
          <w:type w:val="continuous"/>
          <w:pgSz w:w="12240" w:h="15840" w:code="1"/>
          <w:pgMar w:top="864" w:right="720" w:bottom="1152" w:left="720" w:header="432" w:footer="288" w:gutter="216"/>
          <w:cols w:num="2" w:space="432"/>
        </w:sectPr>
      </w:pPr>
    </w:p>
    <w:p w:rsidR="00D73ECB" w:rsidRPr="00D73ECB" w:rsidRDefault="00D73ECB" w:rsidP="007B5B9E">
      <w:pPr>
        <w:pStyle w:val="ProgramHead"/>
        <w:rPr>
          <w:sz w:val="18"/>
          <w:szCs w:val="18"/>
        </w:rPr>
      </w:pPr>
    </w:p>
    <w:p w:rsidR="007B5B9E" w:rsidRPr="00F92740" w:rsidRDefault="001A2BD3" w:rsidP="00D73ECB">
      <w:pPr>
        <w:pStyle w:val="ProgramHead"/>
        <w:spacing w:before="0"/>
        <w:sectPr w:rsidR="007B5B9E" w:rsidRPr="00F92740" w:rsidSect="00D73ECB">
          <w:type w:val="continuous"/>
          <w:pgSz w:w="12240" w:h="15840" w:code="1"/>
          <w:pgMar w:top="864" w:right="720" w:bottom="1152" w:left="720" w:header="432" w:footer="288" w:gutter="216"/>
          <w:cols w:space="432"/>
        </w:sectPr>
      </w:pPr>
      <w:r w:rsidRPr="00F92740">
        <w:fldChar w:fldCharType="begin"/>
      </w:r>
      <w:r w:rsidR="007B5B9E" w:rsidRPr="00F92740">
        <w:instrText xml:space="preserve"> XE "DPS32000 24001" </w:instrText>
      </w:r>
      <w:r w:rsidRPr="00F92740">
        <w:fldChar w:fldCharType="end"/>
      </w:r>
      <w:r w:rsidR="007B5B9E" w:rsidRPr="00F92740">
        <w:t xml:space="preserve">Police Services </w:t>
      </w:r>
    </w:p>
    <w:p w:rsidR="007B5B9E" w:rsidRPr="00F92740" w:rsidRDefault="007B5B9E" w:rsidP="00277CF4">
      <w:pPr>
        <w:pStyle w:val="Heading2"/>
        <w:spacing w:before="0"/>
        <w:ind w:left="-90" w:firstLine="90"/>
      </w:pPr>
      <w:r w:rsidRPr="00F92740">
        <w:lastRenderedPageBreak/>
        <w:t xml:space="preserve">Statutory Reference </w:t>
      </w:r>
    </w:p>
    <w:p w:rsidR="007B5B9E" w:rsidRPr="006B057D" w:rsidRDefault="001604E6" w:rsidP="00277CF4">
      <w:pPr>
        <w:spacing w:after="0"/>
      </w:pPr>
      <w:r>
        <w:t xml:space="preserve">C.G.S. </w:t>
      </w:r>
      <w:r w:rsidR="007B5B9E" w:rsidRPr="006B057D">
        <w:t>Sections 7-284, 29-4, 29-5, 29-7, 29-22, 29-7c, 29-23, 29-23a, 29-28 through 29-37, 29-38c, 29-38e, 29-153 through 29-161c, 29-165 through 29-179i, 54-222a</w:t>
      </w:r>
      <w:r w:rsidR="006B057D">
        <w:t>.</w:t>
      </w:r>
    </w:p>
    <w:p w:rsidR="00C754F8" w:rsidRPr="007B5B9E" w:rsidRDefault="00C754F8" w:rsidP="00277CF4">
      <w:pPr>
        <w:spacing w:after="0"/>
        <w:rPr>
          <w:i/>
        </w:rPr>
      </w:pPr>
    </w:p>
    <w:p w:rsidR="007B5B9E" w:rsidRPr="00E3471F" w:rsidRDefault="001437B7" w:rsidP="00277CF4">
      <w:pPr>
        <w:pStyle w:val="Heading2"/>
        <w:spacing w:before="0"/>
      </w:pPr>
      <w:r>
        <w:t>State</w:t>
      </w:r>
      <w:r w:rsidR="007B5B9E" w:rsidRPr="00E3471F">
        <w:t>ment of Need and Program Objectives</w:t>
      </w:r>
    </w:p>
    <w:p w:rsidR="006B6067" w:rsidRPr="006B6067" w:rsidRDefault="006B6067" w:rsidP="006B6067">
      <w:pPr>
        <w:spacing w:after="0"/>
        <w:rPr>
          <w:snapToGrid w:val="0"/>
        </w:rPr>
      </w:pPr>
      <w:r w:rsidRPr="006B6067">
        <w:rPr>
          <w:snapToGrid w:val="0"/>
        </w:rPr>
        <w:t xml:space="preserve">To deliver law enforcement services on limited access highways and for the 81 towns that do not have organized police departments; to increase the rate of cleared criminal cases by conducting </w:t>
      </w:r>
      <w:r w:rsidR="001437B7">
        <w:rPr>
          <w:snapToGrid w:val="0"/>
        </w:rPr>
        <w:t>investigations that are within state p</w:t>
      </w:r>
      <w:r w:rsidRPr="006B6067">
        <w:rPr>
          <w:snapToGrid w:val="0"/>
        </w:rPr>
        <w:t xml:space="preserve">olice jurisdiction or when assisting local, </w:t>
      </w:r>
      <w:r w:rsidR="001437B7">
        <w:rPr>
          <w:snapToGrid w:val="0"/>
        </w:rPr>
        <w:t>state</w:t>
      </w:r>
      <w:r w:rsidRPr="006B6067">
        <w:rPr>
          <w:snapToGrid w:val="0"/>
        </w:rPr>
        <w:t xml:space="preserve"> and federal agencies in major case investigations</w:t>
      </w:r>
      <w:r w:rsidR="001437B7">
        <w:rPr>
          <w:snapToGrid w:val="0"/>
        </w:rPr>
        <w:t>;</w:t>
      </w:r>
      <w:r w:rsidRPr="006B6067">
        <w:rPr>
          <w:snapToGrid w:val="0"/>
        </w:rPr>
        <w:t xml:space="preserve"> and to increase the safety of Connecticut highways by improving the safe, orderly flow of traffic through enforcement actions in identified problem areas.</w:t>
      </w:r>
    </w:p>
    <w:p w:rsidR="00C754F8" w:rsidRPr="00F92740" w:rsidRDefault="00C754F8" w:rsidP="00277CF4">
      <w:pPr>
        <w:spacing w:after="0"/>
      </w:pPr>
    </w:p>
    <w:p w:rsidR="00920D21" w:rsidRPr="00E3471F" w:rsidRDefault="007B5B9E" w:rsidP="00277CF4">
      <w:pPr>
        <w:pStyle w:val="Heading2"/>
        <w:spacing w:before="0"/>
      </w:pPr>
      <w:r w:rsidRPr="00E3471F">
        <w:t>Program Description</w:t>
      </w:r>
    </w:p>
    <w:p w:rsidR="007B5B9E" w:rsidRPr="00E77D7A" w:rsidRDefault="001437B7" w:rsidP="00277CF4">
      <w:pPr>
        <w:pStyle w:val="H4"/>
        <w:spacing w:before="0"/>
      </w:pPr>
      <w:r>
        <w:t>STATE</w:t>
      </w:r>
      <w:r w:rsidR="003E7332">
        <w:t xml:space="preserve"> POLICE PATROL TROOPS</w:t>
      </w:r>
      <w:r w:rsidR="007B5B9E" w:rsidRPr="00E77D7A">
        <w:t xml:space="preserve"> </w:t>
      </w:r>
    </w:p>
    <w:p w:rsidR="00E74F3B" w:rsidRDefault="006B6067" w:rsidP="00C754F8">
      <w:pPr>
        <w:spacing w:after="0"/>
        <w:rPr>
          <w:snapToGrid w:val="0"/>
        </w:rPr>
      </w:pPr>
      <w:r w:rsidRPr="006B6067">
        <w:rPr>
          <w:snapToGrid w:val="0"/>
        </w:rPr>
        <w:t xml:space="preserve">The Connecticut </w:t>
      </w:r>
      <w:r w:rsidR="001437B7">
        <w:rPr>
          <w:snapToGrid w:val="0"/>
        </w:rPr>
        <w:t>State</w:t>
      </w:r>
      <w:r w:rsidRPr="006B6067">
        <w:rPr>
          <w:snapToGrid w:val="0"/>
        </w:rPr>
        <w:t xml:space="preserve"> Police provide primary police service to 81 of Connecticut’s 169 towns. These 81 towns encompass 55% of the </w:t>
      </w:r>
      <w:r w:rsidR="001437B7">
        <w:rPr>
          <w:snapToGrid w:val="0"/>
        </w:rPr>
        <w:t>state</w:t>
      </w:r>
      <w:r w:rsidRPr="006B6067">
        <w:rPr>
          <w:snapToGrid w:val="0"/>
        </w:rPr>
        <w:t xml:space="preserve">’s geographical area.  Additionally, the </w:t>
      </w:r>
      <w:r w:rsidR="001437B7">
        <w:rPr>
          <w:snapToGrid w:val="0"/>
        </w:rPr>
        <w:t>state p</w:t>
      </w:r>
      <w:r w:rsidRPr="006B6067">
        <w:rPr>
          <w:snapToGrid w:val="0"/>
        </w:rPr>
        <w:t xml:space="preserve">olice patrol 600 miles of limited access highways, 7,000 miles of </w:t>
      </w:r>
      <w:r w:rsidR="001437B7">
        <w:rPr>
          <w:snapToGrid w:val="0"/>
        </w:rPr>
        <w:t>state</w:t>
      </w:r>
      <w:r w:rsidRPr="006B6067">
        <w:rPr>
          <w:snapToGrid w:val="0"/>
        </w:rPr>
        <w:t xml:space="preserve"> and local roads and render assistance to local police departments upon request.  Police service is delivered by 11 troops strategically located and organi</w:t>
      </w:r>
      <w:r w:rsidR="001437B7">
        <w:rPr>
          <w:snapToGrid w:val="0"/>
        </w:rPr>
        <w:t>zed into three districts.  The r</w:t>
      </w:r>
      <w:r w:rsidRPr="006B6067">
        <w:rPr>
          <w:snapToGrid w:val="0"/>
        </w:rPr>
        <w:t xml:space="preserve">esident </w:t>
      </w:r>
      <w:r w:rsidR="001437B7">
        <w:rPr>
          <w:snapToGrid w:val="0"/>
        </w:rPr>
        <w:t>state t</w:t>
      </w:r>
      <w:r w:rsidRPr="006B6067">
        <w:rPr>
          <w:snapToGrid w:val="0"/>
        </w:rPr>
        <w:t>rooper program, in existence since 1947, presently consi</w:t>
      </w:r>
      <w:r w:rsidR="001437B7">
        <w:rPr>
          <w:snapToGrid w:val="0"/>
        </w:rPr>
        <w:t>sts of 110 t</w:t>
      </w:r>
      <w:r w:rsidRPr="006B6067">
        <w:rPr>
          <w:snapToGrid w:val="0"/>
        </w:rPr>
        <w:t xml:space="preserve">roopers assigned to </w:t>
      </w:r>
      <w:r w:rsidRPr="006B6067">
        <w:rPr>
          <w:snapToGrid w:val="0"/>
        </w:rPr>
        <w:lastRenderedPageBreak/>
        <w:t>54 towns which have contracted to pay 70% of the cost and expenses associated with these assignments.</w:t>
      </w:r>
    </w:p>
    <w:p w:rsidR="006A1CBC" w:rsidRPr="0085150D" w:rsidRDefault="006A1CBC" w:rsidP="00092820">
      <w:pPr>
        <w:pStyle w:val="H4Blue"/>
        <w:rPr>
          <w:snapToGrid w:val="0"/>
        </w:rPr>
      </w:pPr>
      <w:r w:rsidRPr="0085150D">
        <w:rPr>
          <w:snapToGrid w:val="0"/>
        </w:rPr>
        <w:t>TRAFFIC SERVICES UNIT</w:t>
      </w:r>
    </w:p>
    <w:p w:rsidR="00E74F3B" w:rsidRDefault="006B6067" w:rsidP="001604E6">
      <w:pPr>
        <w:spacing w:after="120"/>
        <w:rPr>
          <w:snapToGrid w:val="0"/>
        </w:rPr>
      </w:pPr>
      <w:r w:rsidRPr="00242AC2">
        <w:rPr>
          <w:snapToGrid w:val="0"/>
        </w:rPr>
        <w:t xml:space="preserve">The </w:t>
      </w:r>
      <w:r w:rsidRPr="001437B7">
        <w:rPr>
          <w:i/>
          <w:snapToGrid w:val="0"/>
        </w:rPr>
        <w:t>Traffic Services Unit</w:t>
      </w:r>
      <w:r w:rsidRPr="006B6067">
        <w:rPr>
          <w:snapToGrid w:val="0"/>
        </w:rPr>
        <w:t xml:space="preserve"> is comprised of several specialized components directed towards promoting </w:t>
      </w:r>
      <w:r w:rsidR="001437B7">
        <w:rPr>
          <w:snapToGrid w:val="0"/>
        </w:rPr>
        <w:t>state</w:t>
      </w:r>
      <w:r w:rsidRPr="006B6067">
        <w:rPr>
          <w:snapToGrid w:val="0"/>
        </w:rPr>
        <w:t>wide traffic safety through education, en</w:t>
      </w:r>
      <w:r w:rsidR="001437B7">
        <w:rPr>
          <w:snapToGrid w:val="0"/>
        </w:rPr>
        <w:t>forcement and investigation.  Aggressive driving t</w:t>
      </w:r>
      <w:r w:rsidRPr="006B6067">
        <w:rPr>
          <w:snapToGrid w:val="0"/>
        </w:rPr>
        <w:t xml:space="preserve">eams are deployed utilizing non-conventional patrol vehicles and various speed detection equipment to identify speed and other hazardous moving violations.  Commercial </w:t>
      </w:r>
      <w:r w:rsidR="001437B7">
        <w:rPr>
          <w:snapToGrid w:val="0"/>
        </w:rPr>
        <w:t>vehicle enforcement t</w:t>
      </w:r>
      <w:r w:rsidRPr="006B6067">
        <w:rPr>
          <w:snapToGrid w:val="0"/>
        </w:rPr>
        <w:t xml:space="preserve">eams conduct weight and safety inspections of commercial vehicle traffic traveling throughout the </w:t>
      </w:r>
      <w:r w:rsidR="001437B7">
        <w:rPr>
          <w:snapToGrid w:val="0"/>
        </w:rPr>
        <w:t>state</w:t>
      </w:r>
      <w:r w:rsidRPr="006B6067">
        <w:rPr>
          <w:snapToGrid w:val="0"/>
        </w:rPr>
        <w:t xml:space="preserve">.  These teams are equipped with portable truck scales to conduct roving operations and also maintain a criminal enforcement presence at the </w:t>
      </w:r>
      <w:r w:rsidR="001437B7">
        <w:rPr>
          <w:snapToGrid w:val="0"/>
        </w:rPr>
        <w:t>state</w:t>
      </w:r>
      <w:r w:rsidRPr="006B6067">
        <w:rPr>
          <w:snapToGrid w:val="0"/>
        </w:rPr>
        <w:t xml:space="preserve">’s six weigh stations.  Their charge is to ensure that motor carriers comply with </w:t>
      </w:r>
      <w:r w:rsidR="001437B7">
        <w:rPr>
          <w:snapToGrid w:val="0"/>
        </w:rPr>
        <w:t>state</w:t>
      </w:r>
      <w:r w:rsidRPr="006B6067">
        <w:rPr>
          <w:snapToGrid w:val="0"/>
        </w:rPr>
        <w:t xml:space="preserve"> laws and federal regulations related to size, weight, licensing, safety equipment and s</w:t>
      </w:r>
      <w:r w:rsidR="001604E6">
        <w:rPr>
          <w:snapToGrid w:val="0"/>
        </w:rPr>
        <w:t>afe operations.  The c</w:t>
      </w:r>
      <w:r w:rsidR="001437B7">
        <w:rPr>
          <w:snapToGrid w:val="0"/>
        </w:rPr>
        <w:t>ollision analysis r</w:t>
      </w:r>
      <w:r w:rsidRPr="006B6067">
        <w:rPr>
          <w:snapToGrid w:val="0"/>
        </w:rPr>
        <w:t xml:space="preserve">econstruction </w:t>
      </w:r>
      <w:r w:rsidR="001437B7">
        <w:rPr>
          <w:snapToGrid w:val="0"/>
        </w:rPr>
        <w:t>s</w:t>
      </w:r>
      <w:r w:rsidRPr="006B6067">
        <w:rPr>
          <w:snapToGrid w:val="0"/>
        </w:rPr>
        <w:t>qua</w:t>
      </w:r>
      <w:r w:rsidR="001437B7">
        <w:rPr>
          <w:snapToGrid w:val="0"/>
        </w:rPr>
        <w:t>d is made up of highly trained accident r</w:t>
      </w:r>
      <w:r w:rsidRPr="006B6067">
        <w:rPr>
          <w:snapToGrid w:val="0"/>
        </w:rPr>
        <w:t xml:space="preserve">econstructionists, utilizing specialized equipment and techniques, in order to accurately document collision scenes, analyze data and employ scientific methods to determine the causes and contributing factors of a collision. These accident reconstruction services support the department’s 11 </w:t>
      </w:r>
      <w:r w:rsidR="001437B7">
        <w:rPr>
          <w:snapToGrid w:val="0"/>
        </w:rPr>
        <w:t>state</w:t>
      </w:r>
      <w:r w:rsidRPr="006B6067">
        <w:rPr>
          <w:snapToGrid w:val="0"/>
        </w:rPr>
        <w:t xml:space="preserve"> police troops and all local police agencies in our </w:t>
      </w:r>
      <w:r w:rsidR="001437B7">
        <w:rPr>
          <w:snapToGrid w:val="0"/>
        </w:rPr>
        <w:t>state. The motorcycle p</w:t>
      </w:r>
      <w:r w:rsidRPr="006B6067">
        <w:rPr>
          <w:snapToGrid w:val="0"/>
        </w:rPr>
        <w:t xml:space="preserve">rogram coordinates utilization of the department’s motorcycle troopers throughout the year for patrol, traffic enforcement, traffic control and ceremonial duties for a wide variety of events.  Through this program, the </w:t>
      </w:r>
      <w:r w:rsidR="001437B7">
        <w:rPr>
          <w:snapToGrid w:val="0"/>
        </w:rPr>
        <w:t>traffic services u</w:t>
      </w:r>
      <w:r w:rsidRPr="006B6067">
        <w:rPr>
          <w:snapToGrid w:val="0"/>
        </w:rPr>
        <w:t xml:space="preserve">nit also </w:t>
      </w:r>
      <w:r w:rsidRPr="006B6067">
        <w:rPr>
          <w:snapToGrid w:val="0"/>
        </w:rPr>
        <w:lastRenderedPageBreak/>
        <w:t xml:space="preserve">trains </w:t>
      </w:r>
      <w:r w:rsidR="001437B7">
        <w:rPr>
          <w:snapToGrid w:val="0"/>
        </w:rPr>
        <w:t>state</w:t>
      </w:r>
      <w:r w:rsidRPr="006B6067">
        <w:rPr>
          <w:snapToGrid w:val="0"/>
        </w:rPr>
        <w:t xml:space="preserve"> and local law enforcement officers to become </w:t>
      </w:r>
      <w:r w:rsidR="001437B7">
        <w:rPr>
          <w:snapToGrid w:val="0"/>
        </w:rPr>
        <w:t>police motorcycle riders.  The s</w:t>
      </w:r>
      <w:r w:rsidRPr="006B6067">
        <w:rPr>
          <w:snapToGrid w:val="0"/>
        </w:rPr>
        <w:t>e</w:t>
      </w:r>
      <w:r w:rsidR="001437B7">
        <w:rPr>
          <w:snapToGrid w:val="0"/>
        </w:rPr>
        <w:t>atbelt convincer and rollover d</w:t>
      </w:r>
      <w:r w:rsidRPr="006B6067">
        <w:rPr>
          <w:snapToGrid w:val="0"/>
        </w:rPr>
        <w:t xml:space="preserve">emonstrator are both utilized at scores of public events each year to demonstrate the importance of utilizing occupant protection devices in motor vehicles.  The </w:t>
      </w:r>
      <w:r w:rsidR="001437B7">
        <w:rPr>
          <w:snapToGrid w:val="0"/>
        </w:rPr>
        <w:t>breath alcohol testing v</w:t>
      </w:r>
      <w:r w:rsidRPr="006B6067">
        <w:rPr>
          <w:snapToGrid w:val="0"/>
        </w:rPr>
        <w:t xml:space="preserve">ehicle is a self-contained processing vehicle, deployed at </w:t>
      </w:r>
      <w:r w:rsidR="001437B7">
        <w:rPr>
          <w:snapToGrid w:val="0"/>
        </w:rPr>
        <w:t>state</w:t>
      </w:r>
      <w:r w:rsidRPr="006B6067">
        <w:rPr>
          <w:snapToGrid w:val="0"/>
        </w:rPr>
        <w:t xml:space="preserve"> and local law enforcement DUI checkpoints.  The vehicle contains equipment to chemically test motorists who are suspected of driving while intoxicated, and eliminates the need to transport most arrested persons to a law enforcement facility for arrest processing.  The </w:t>
      </w:r>
      <w:r w:rsidR="001437B7">
        <w:rPr>
          <w:snapToGrid w:val="0"/>
        </w:rPr>
        <w:t>railroad liaison o</w:t>
      </w:r>
      <w:r w:rsidRPr="006B6067">
        <w:rPr>
          <w:snapToGrid w:val="0"/>
        </w:rPr>
        <w:t>ffice</w:t>
      </w:r>
      <w:r w:rsidR="001437B7">
        <w:rPr>
          <w:snapToGrid w:val="0"/>
        </w:rPr>
        <w:t xml:space="preserve"> is also maintained within the </w:t>
      </w:r>
      <w:r w:rsidR="001437B7" w:rsidRPr="001604E6">
        <w:rPr>
          <w:snapToGrid w:val="0"/>
        </w:rPr>
        <w:t>T</w:t>
      </w:r>
      <w:r w:rsidRPr="001604E6">
        <w:rPr>
          <w:snapToGrid w:val="0"/>
        </w:rPr>
        <w:t>raffic Services Unit.</w:t>
      </w:r>
      <w:r w:rsidRPr="006B6067">
        <w:rPr>
          <w:snapToGrid w:val="0"/>
        </w:rPr>
        <w:t xml:space="preserve">  This office serves as a liaison to railroads and their associated federal oversight agencies, as well as coordinates training and technical resources to </w:t>
      </w:r>
      <w:r w:rsidR="001437B7">
        <w:rPr>
          <w:snapToGrid w:val="0"/>
        </w:rPr>
        <w:t>state</w:t>
      </w:r>
      <w:r w:rsidRPr="006B6067">
        <w:rPr>
          <w:snapToGrid w:val="0"/>
        </w:rPr>
        <w:t xml:space="preserve"> and local law enforcement agencies as it relates to railroad related enforcement and investigations.  </w:t>
      </w:r>
    </w:p>
    <w:p w:rsidR="00EB3879" w:rsidRDefault="00EB3879" w:rsidP="00092820">
      <w:pPr>
        <w:pStyle w:val="H4Blue"/>
        <w:rPr>
          <w:snapToGrid w:val="0"/>
        </w:rPr>
      </w:pPr>
      <w:r>
        <w:rPr>
          <w:snapToGrid w:val="0"/>
        </w:rPr>
        <w:t>CASINO LICENSING AND OPERATIONS UNIT</w:t>
      </w:r>
    </w:p>
    <w:p w:rsidR="00FB0C97" w:rsidRDefault="006B6067" w:rsidP="006B6067">
      <w:pPr>
        <w:spacing w:after="0"/>
        <w:rPr>
          <w:snapToGrid w:val="0"/>
        </w:rPr>
      </w:pPr>
      <w:r w:rsidRPr="006B6067">
        <w:rPr>
          <w:snapToGrid w:val="0"/>
        </w:rPr>
        <w:t xml:space="preserve">The Connecticut </w:t>
      </w:r>
      <w:r w:rsidR="001437B7">
        <w:rPr>
          <w:snapToGrid w:val="0"/>
        </w:rPr>
        <w:t>state p</w:t>
      </w:r>
      <w:r w:rsidRPr="006B6067">
        <w:rPr>
          <w:snapToGrid w:val="0"/>
        </w:rPr>
        <w:t xml:space="preserve">olice </w:t>
      </w:r>
      <w:r w:rsidR="00242AC2">
        <w:rPr>
          <w:snapToGrid w:val="0"/>
        </w:rPr>
        <w:t>are</w:t>
      </w:r>
      <w:r w:rsidRPr="006B6067">
        <w:rPr>
          <w:snapToGrid w:val="0"/>
        </w:rPr>
        <w:t xml:space="preserve"> tasked with providing law enforcement services at the </w:t>
      </w:r>
      <w:r w:rsidR="001437B7">
        <w:rPr>
          <w:snapToGrid w:val="0"/>
        </w:rPr>
        <w:t>state’s casinos</w:t>
      </w:r>
      <w:r w:rsidRPr="006B6067">
        <w:rPr>
          <w:snapToGrid w:val="0"/>
        </w:rPr>
        <w:t xml:space="preserve"> through the </w:t>
      </w:r>
      <w:r w:rsidRPr="001437B7">
        <w:rPr>
          <w:i/>
          <w:snapToGrid w:val="0"/>
        </w:rPr>
        <w:t>Casino Licensing and Operations Unit</w:t>
      </w:r>
      <w:r w:rsidRPr="006B6067">
        <w:rPr>
          <w:snapToGrid w:val="0"/>
        </w:rPr>
        <w:t xml:space="preserve">.  The members of this unit, all of whom are </w:t>
      </w:r>
      <w:r w:rsidR="001437B7">
        <w:rPr>
          <w:snapToGrid w:val="0"/>
        </w:rPr>
        <w:t>state</w:t>
      </w:r>
      <w:r w:rsidRPr="006B6067">
        <w:rPr>
          <w:snapToGrid w:val="0"/>
        </w:rPr>
        <w:t xml:space="preserve"> troopers, provide a variety of police services inside these casinos, including walking patrols; investigation of all crimes, including complex gaming violations; and dignitary protection and crowd control duties. Additionally, the unit is responsible for conducting background investigations for all prospective casino employees and entities conducting business with the casinos.</w:t>
      </w:r>
    </w:p>
    <w:p w:rsidR="00E60AC5" w:rsidRPr="006B6067" w:rsidRDefault="00E60AC5" w:rsidP="006B6067">
      <w:pPr>
        <w:spacing w:after="0"/>
        <w:rPr>
          <w:snapToGrid w:val="0"/>
        </w:rPr>
      </w:pPr>
    </w:p>
    <w:p w:rsidR="007B5B9E" w:rsidRPr="00CE23C2" w:rsidRDefault="007B5B9E" w:rsidP="00CA4CF2">
      <w:pPr>
        <w:pStyle w:val="H4"/>
        <w:tabs>
          <w:tab w:val="left" w:pos="270"/>
        </w:tabs>
        <w:spacing w:before="0"/>
        <w:ind w:right="-684"/>
      </w:pPr>
      <w:r w:rsidRPr="00CE23C2">
        <w:t>Investigative Service</w:t>
      </w:r>
      <w:r w:rsidR="00EB3879">
        <w:t>S</w:t>
      </w:r>
      <w:r w:rsidRPr="00CE23C2">
        <w:t xml:space="preserve"> </w:t>
      </w:r>
    </w:p>
    <w:p w:rsidR="003432FD" w:rsidRDefault="003432FD" w:rsidP="001604E6">
      <w:pPr>
        <w:spacing w:after="120"/>
        <w:rPr>
          <w:snapToGrid w:val="0"/>
        </w:rPr>
      </w:pPr>
      <w:r w:rsidRPr="003432FD">
        <w:rPr>
          <w:i/>
          <w:snapToGrid w:val="0"/>
        </w:rPr>
        <w:t>Major Crime Squads</w:t>
      </w:r>
      <w:r w:rsidRPr="003432FD">
        <w:rPr>
          <w:snapToGrid w:val="0"/>
        </w:rPr>
        <w:t xml:space="preserve"> are strategically located in three districts to be available 24 hours a day to investigate crimes which occur in the 81 towns without organized police departments.  These units investigate and coordinate investigations in conjunction with other </w:t>
      </w:r>
      <w:r w:rsidR="001437B7">
        <w:rPr>
          <w:snapToGrid w:val="0"/>
        </w:rPr>
        <w:t>state</w:t>
      </w:r>
      <w:r w:rsidRPr="003432FD">
        <w:rPr>
          <w:snapToGrid w:val="0"/>
        </w:rPr>
        <w:t xml:space="preserve"> police units and local, </w:t>
      </w:r>
      <w:r w:rsidR="001437B7">
        <w:rPr>
          <w:snapToGrid w:val="0"/>
        </w:rPr>
        <w:t>state</w:t>
      </w:r>
      <w:r w:rsidRPr="003432FD">
        <w:rPr>
          <w:snapToGrid w:val="0"/>
        </w:rPr>
        <w:t xml:space="preserve"> and federal agencies.  In early 2012, the agency created a </w:t>
      </w:r>
      <w:r w:rsidR="001604E6">
        <w:rPr>
          <w:snapToGrid w:val="0"/>
        </w:rPr>
        <w:t>missing persons t</w:t>
      </w:r>
      <w:r w:rsidRPr="001604E6">
        <w:rPr>
          <w:snapToGrid w:val="0"/>
        </w:rPr>
        <w:t>eam</w:t>
      </w:r>
      <w:r w:rsidRPr="003432FD">
        <w:rPr>
          <w:snapToGrid w:val="0"/>
        </w:rPr>
        <w:t xml:space="preserve"> made up of veteran detectives from the three district major crime squads.  This team is tasked with investigating complex and cold missing and unidentified </w:t>
      </w:r>
      <w:r w:rsidRPr="003432FD">
        <w:rPr>
          <w:snapToGrid w:val="0"/>
        </w:rPr>
        <w:lastRenderedPageBreak/>
        <w:t xml:space="preserve">persons cases.  The team’s services are available for existing </w:t>
      </w:r>
      <w:r w:rsidR="001437B7">
        <w:rPr>
          <w:snapToGrid w:val="0"/>
        </w:rPr>
        <w:t>state</w:t>
      </w:r>
      <w:r w:rsidRPr="003432FD">
        <w:rPr>
          <w:snapToGrid w:val="0"/>
        </w:rPr>
        <w:t xml:space="preserve"> police cases, as well as local police investigations, and have already enjoyed considerable investigative success in just the several months of its existence.</w:t>
      </w:r>
    </w:p>
    <w:p w:rsidR="003432FD" w:rsidRPr="00F33E44" w:rsidRDefault="003432FD" w:rsidP="001604E6">
      <w:pPr>
        <w:spacing w:after="0"/>
        <w:rPr>
          <w:snapToGrid w:val="0"/>
        </w:rPr>
      </w:pPr>
      <w:r w:rsidRPr="003432FD">
        <w:rPr>
          <w:snapToGrid w:val="0"/>
        </w:rPr>
        <w:t xml:space="preserve">The </w:t>
      </w:r>
      <w:r w:rsidRPr="00CF551B">
        <w:rPr>
          <w:snapToGrid w:val="0"/>
        </w:rPr>
        <w:t xml:space="preserve">Bureau of Criminal Investigations </w:t>
      </w:r>
      <w:r w:rsidRPr="003432FD">
        <w:rPr>
          <w:snapToGrid w:val="0"/>
        </w:rPr>
        <w:t xml:space="preserve">is comprised of a series of investigative task forces and units, which have been implemented to address long term quality of life issues.  A significant portion of the units and task forces within the bureau were formed to function with the integration of local police officers, who are granted special </w:t>
      </w:r>
      <w:r w:rsidR="001437B7">
        <w:rPr>
          <w:snapToGrid w:val="0"/>
        </w:rPr>
        <w:t>state</w:t>
      </w:r>
      <w:r w:rsidRPr="003432FD">
        <w:rPr>
          <w:snapToGrid w:val="0"/>
        </w:rPr>
        <w:t xml:space="preserve"> police authority while assigned to the bureau.  The sub-units and task forces operating within the bureau consist of: </w:t>
      </w:r>
      <w:r w:rsidR="001437B7" w:rsidRPr="00F33E44">
        <w:rPr>
          <w:snapToGrid w:val="0"/>
        </w:rPr>
        <w:t>State</w:t>
      </w:r>
      <w:r w:rsidRPr="00F33E44">
        <w:rPr>
          <w:snapToGrid w:val="0"/>
        </w:rPr>
        <w:t xml:space="preserve">wide Narcotics Task Force; </w:t>
      </w:r>
      <w:r w:rsidR="001437B7" w:rsidRPr="00F33E44">
        <w:rPr>
          <w:snapToGrid w:val="0"/>
        </w:rPr>
        <w:t>State</w:t>
      </w:r>
      <w:r w:rsidRPr="00F33E44">
        <w:rPr>
          <w:snapToGrid w:val="0"/>
        </w:rPr>
        <w:t xml:space="preserve">wide Organized Crime Investigative Task Force; </w:t>
      </w:r>
      <w:r w:rsidR="001437B7" w:rsidRPr="00F33E44">
        <w:rPr>
          <w:snapToGrid w:val="0"/>
        </w:rPr>
        <w:t>State</w:t>
      </w:r>
      <w:r w:rsidRPr="00F33E44">
        <w:rPr>
          <w:snapToGrid w:val="0"/>
        </w:rPr>
        <w:t xml:space="preserve"> Urban Violence and Cooperative Control Task Force; Central Criminal Intelligence Unit; </w:t>
      </w:r>
      <w:r w:rsidR="001437B7" w:rsidRPr="00F33E44">
        <w:rPr>
          <w:snapToGrid w:val="0"/>
        </w:rPr>
        <w:t>State</w:t>
      </w:r>
      <w:r w:rsidRPr="00F33E44">
        <w:rPr>
          <w:snapToGrid w:val="0"/>
        </w:rPr>
        <w:t>wide Firearms Traff</w:t>
      </w:r>
      <w:r w:rsidR="001604E6" w:rsidRPr="00F33E44">
        <w:rPr>
          <w:snapToGrid w:val="0"/>
        </w:rPr>
        <w:t xml:space="preserve">icking Task Force; Connecticut </w:t>
      </w:r>
      <w:r w:rsidRPr="00F33E44">
        <w:rPr>
          <w:snapToGrid w:val="0"/>
        </w:rPr>
        <w:t xml:space="preserve">Regional Auto Theft Task Force; </w:t>
      </w:r>
      <w:r w:rsidR="001437B7" w:rsidRPr="00F33E44">
        <w:rPr>
          <w:snapToGrid w:val="0"/>
        </w:rPr>
        <w:t>State</w:t>
      </w:r>
      <w:r w:rsidRPr="00F33E44">
        <w:rPr>
          <w:snapToGrid w:val="0"/>
        </w:rPr>
        <w:t>wide Fugitive Unit; Electronic Surveillance Lab; and Extradition Unit.</w:t>
      </w:r>
    </w:p>
    <w:p w:rsidR="007B5B9E" w:rsidRPr="00F92740" w:rsidRDefault="007B5B9E" w:rsidP="00277CF4">
      <w:pPr>
        <w:tabs>
          <w:tab w:val="left" w:pos="0"/>
        </w:tabs>
        <w:spacing w:after="0"/>
        <w:rPr>
          <w:snapToGrid w:val="0"/>
        </w:rPr>
      </w:pPr>
    </w:p>
    <w:p w:rsidR="007B5B9E" w:rsidRPr="00CE23C2" w:rsidRDefault="007B5B9E" w:rsidP="00092820">
      <w:pPr>
        <w:pStyle w:val="H4"/>
        <w:tabs>
          <w:tab w:val="left" w:pos="0"/>
        </w:tabs>
        <w:spacing w:before="0"/>
      </w:pPr>
      <w:r w:rsidRPr="00CE23C2">
        <w:t xml:space="preserve">Emergency Services Unit </w:t>
      </w:r>
    </w:p>
    <w:p w:rsidR="0078536A" w:rsidRPr="00F33E44" w:rsidRDefault="007B5B9E" w:rsidP="0078536A">
      <w:pPr>
        <w:rPr>
          <w:rStyle w:val="Heading4Char"/>
          <w:i w:val="0"/>
          <w:snapToGrid w:val="0"/>
        </w:rPr>
      </w:pPr>
      <w:r>
        <w:rPr>
          <w:snapToGrid w:val="0"/>
        </w:rPr>
        <w:t>P</w:t>
      </w:r>
      <w:r w:rsidR="00FB0C97">
        <w:rPr>
          <w:snapToGrid w:val="0"/>
        </w:rPr>
        <w:t xml:space="preserve">rovides specialized support to </w:t>
      </w:r>
      <w:r w:rsidR="001437B7">
        <w:rPr>
          <w:snapToGrid w:val="0"/>
        </w:rPr>
        <w:t>state</w:t>
      </w:r>
      <w:r w:rsidR="00FB0C97">
        <w:rPr>
          <w:snapToGrid w:val="0"/>
        </w:rPr>
        <w:t xml:space="preserve"> and local police a</w:t>
      </w:r>
      <w:r w:rsidRPr="00F92740">
        <w:rPr>
          <w:snapToGrid w:val="0"/>
        </w:rPr>
        <w:t>gencies in s</w:t>
      </w:r>
      <w:r w:rsidR="00F100EA">
        <w:rPr>
          <w:snapToGrid w:val="0"/>
        </w:rPr>
        <w:t>ix</w:t>
      </w:r>
      <w:r w:rsidRPr="00F92740">
        <w:rPr>
          <w:snapToGrid w:val="0"/>
        </w:rPr>
        <w:t xml:space="preserve"> areas</w:t>
      </w:r>
      <w:r w:rsidR="00582392">
        <w:rPr>
          <w:snapToGrid w:val="0"/>
        </w:rPr>
        <w:t xml:space="preserve">: </w:t>
      </w:r>
      <w:r w:rsidR="001604E6" w:rsidRPr="001604E6">
        <w:rPr>
          <w:snapToGrid w:val="0"/>
        </w:rPr>
        <w:t>the</w:t>
      </w:r>
      <w:r w:rsidR="001604E6">
        <w:rPr>
          <w:i/>
          <w:snapToGrid w:val="0"/>
        </w:rPr>
        <w:t xml:space="preserve"> </w:t>
      </w:r>
      <w:r w:rsidRPr="00F33E44">
        <w:rPr>
          <w:rStyle w:val="Heading4Char"/>
          <w:i w:val="0"/>
        </w:rPr>
        <w:t>Hazardous Devices Unit</w:t>
      </w:r>
      <w:r w:rsidR="003432FD" w:rsidRPr="00F33E44">
        <w:rPr>
          <w:rStyle w:val="Heading4Char"/>
          <w:i w:val="0"/>
        </w:rPr>
        <w:t xml:space="preserve"> / Bomb Squad</w:t>
      </w:r>
      <w:r w:rsidR="001604E6" w:rsidRPr="00F33E44">
        <w:rPr>
          <w:i/>
          <w:snapToGrid w:val="0"/>
        </w:rPr>
        <w:t>,</w:t>
      </w:r>
      <w:r w:rsidR="001604E6" w:rsidRPr="00F33E44">
        <w:rPr>
          <w:snapToGrid w:val="0"/>
        </w:rPr>
        <w:t xml:space="preserve"> the </w:t>
      </w:r>
      <w:r w:rsidRPr="00F33E44">
        <w:rPr>
          <w:rStyle w:val="Heading4Char"/>
          <w:i w:val="0"/>
        </w:rPr>
        <w:t>Dive</w:t>
      </w:r>
      <w:r w:rsidR="00C844F4" w:rsidRPr="00F33E44">
        <w:rPr>
          <w:rStyle w:val="Heading4Char"/>
          <w:i w:val="0"/>
        </w:rPr>
        <w:t xml:space="preserve"> </w:t>
      </w:r>
      <w:r w:rsidRPr="00F33E44">
        <w:rPr>
          <w:rStyle w:val="Heading4Char"/>
          <w:i w:val="0"/>
        </w:rPr>
        <w:t>Team</w:t>
      </w:r>
      <w:r w:rsidR="001604E6" w:rsidRPr="00F33E44">
        <w:rPr>
          <w:snapToGrid w:val="0"/>
        </w:rPr>
        <w:t xml:space="preserve">, the </w:t>
      </w:r>
      <w:r w:rsidRPr="00F33E44">
        <w:rPr>
          <w:rStyle w:val="Heading4Char"/>
          <w:i w:val="0"/>
        </w:rPr>
        <w:t>Canine Uni</w:t>
      </w:r>
      <w:r w:rsidR="001604E6" w:rsidRPr="00F33E44">
        <w:rPr>
          <w:rStyle w:val="Heading4Char"/>
          <w:i w:val="0"/>
        </w:rPr>
        <w:t>t, the</w:t>
      </w:r>
      <w:r w:rsidRPr="00F33E44">
        <w:rPr>
          <w:rStyle w:val="Heading4Char"/>
          <w:i w:val="0"/>
        </w:rPr>
        <w:t xml:space="preserve"> Tactical Unit</w:t>
      </w:r>
      <w:r w:rsidR="001604E6" w:rsidRPr="00F33E44">
        <w:rPr>
          <w:snapToGrid w:val="0"/>
        </w:rPr>
        <w:t>, the</w:t>
      </w:r>
      <w:r w:rsidR="001604E6" w:rsidRPr="00F33E44">
        <w:rPr>
          <w:i/>
          <w:snapToGrid w:val="0"/>
        </w:rPr>
        <w:t xml:space="preserve"> </w:t>
      </w:r>
      <w:r w:rsidR="003432FD" w:rsidRPr="00F33E44">
        <w:rPr>
          <w:rStyle w:val="Heading4Char"/>
          <w:i w:val="0"/>
        </w:rPr>
        <w:t>Aviation Unit</w:t>
      </w:r>
      <w:r w:rsidR="001604E6" w:rsidRPr="00F33E44">
        <w:rPr>
          <w:i/>
          <w:snapToGrid w:val="0"/>
        </w:rPr>
        <w:t xml:space="preserve">, </w:t>
      </w:r>
      <w:r w:rsidR="001604E6" w:rsidRPr="00F33E44">
        <w:rPr>
          <w:snapToGrid w:val="0"/>
        </w:rPr>
        <w:t>and the</w:t>
      </w:r>
      <w:r w:rsidR="001604E6" w:rsidRPr="00F33E44">
        <w:rPr>
          <w:i/>
          <w:snapToGrid w:val="0"/>
        </w:rPr>
        <w:t xml:space="preserve"> </w:t>
      </w:r>
      <w:r w:rsidR="003432FD" w:rsidRPr="00F33E44">
        <w:rPr>
          <w:rStyle w:val="Heading4Char"/>
          <w:i w:val="0"/>
        </w:rPr>
        <w:t>Mass Transit</w:t>
      </w:r>
      <w:r w:rsidRPr="00F33E44">
        <w:rPr>
          <w:rStyle w:val="Heading4Char"/>
          <w:i w:val="0"/>
        </w:rPr>
        <w:t xml:space="preserve"> Unit</w:t>
      </w:r>
      <w:r w:rsidR="001604E6" w:rsidRPr="00F33E44">
        <w:rPr>
          <w:rStyle w:val="Heading4Char"/>
          <w:i w:val="0"/>
        </w:rPr>
        <w:t>.</w:t>
      </w:r>
    </w:p>
    <w:p w:rsidR="003432FD" w:rsidRPr="00CE23C2" w:rsidRDefault="0078536A" w:rsidP="003432FD">
      <w:pPr>
        <w:pStyle w:val="H4"/>
        <w:tabs>
          <w:tab w:val="left" w:pos="0"/>
        </w:tabs>
        <w:spacing w:before="0"/>
      </w:pPr>
      <w:r>
        <w:t>Office of Counter Terrorism</w:t>
      </w:r>
    </w:p>
    <w:p w:rsidR="0078536A" w:rsidRPr="00F33E44" w:rsidRDefault="0078536A" w:rsidP="001604E6">
      <w:pPr>
        <w:spacing w:after="0"/>
        <w:rPr>
          <w:snapToGrid w:val="0"/>
        </w:rPr>
      </w:pPr>
      <w:r w:rsidRPr="0078536A">
        <w:rPr>
          <w:snapToGrid w:val="0"/>
        </w:rPr>
        <w:t xml:space="preserve">The </w:t>
      </w:r>
      <w:r w:rsidRPr="001437B7">
        <w:rPr>
          <w:i/>
          <w:snapToGrid w:val="0"/>
        </w:rPr>
        <w:t>Office of Counter Terrorism</w:t>
      </w:r>
      <w:r w:rsidRPr="0078536A">
        <w:rPr>
          <w:snapToGrid w:val="0"/>
        </w:rPr>
        <w:t xml:space="preserve"> consists of </w:t>
      </w:r>
      <w:r w:rsidR="001437B7">
        <w:rPr>
          <w:snapToGrid w:val="0"/>
        </w:rPr>
        <w:t>state</w:t>
      </w:r>
      <w:r w:rsidR="001604E6">
        <w:rPr>
          <w:snapToGrid w:val="0"/>
        </w:rPr>
        <w:t xml:space="preserve"> troopers assigned to the </w:t>
      </w:r>
      <w:r w:rsidRPr="0078536A">
        <w:rPr>
          <w:snapToGrid w:val="0"/>
        </w:rPr>
        <w:t xml:space="preserve">Division of Emergency Management and Homeland Security.  These </w:t>
      </w:r>
      <w:r w:rsidR="001437B7">
        <w:rPr>
          <w:snapToGrid w:val="0"/>
        </w:rPr>
        <w:t>state</w:t>
      </w:r>
      <w:r w:rsidRPr="0078536A">
        <w:rPr>
          <w:snapToGrid w:val="0"/>
        </w:rPr>
        <w:t xml:space="preserve"> troopers coordinate efforts and foster partnerships with local, </w:t>
      </w:r>
      <w:r w:rsidR="001437B7">
        <w:rPr>
          <w:snapToGrid w:val="0"/>
        </w:rPr>
        <w:t>state</w:t>
      </w:r>
      <w:r w:rsidRPr="0078536A">
        <w:rPr>
          <w:snapToGrid w:val="0"/>
        </w:rPr>
        <w:t xml:space="preserve">, and federal agencies, implementing unified safety and security measures to prevent, mitigate, and manage incidents threatening the citizens of Connecticut.  There are two other important units under the </w:t>
      </w:r>
      <w:r w:rsidRPr="00F33E44">
        <w:rPr>
          <w:snapToGrid w:val="0"/>
        </w:rPr>
        <w:t>Office of Counter Terrorism, they are</w:t>
      </w:r>
      <w:r w:rsidR="001604E6" w:rsidRPr="00F33E44">
        <w:rPr>
          <w:snapToGrid w:val="0"/>
        </w:rPr>
        <w:t xml:space="preserve"> the </w:t>
      </w:r>
      <w:r w:rsidR="001437B7" w:rsidRPr="00F33E44">
        <w:rPr>
          <w:snapToGrid w:val="0"/>
        </w:rPr>
        <w:t>Connecticut Intelligence Center/Fusion Center</w:t>
      </w:r>
      <w:r w:rsidR="001604E6" w:rsidRPr="00F33E44">
        <w:rPr>
          <w:snapToGrid w:val="0"/>
        </w:rPr>
        <w:t xml:space="preserve"> and the </w:t>
      </w:r>
      <w:r w:rsidRPr="00F33E44">
        <w:rPr>
          <w:snapToGrid w:val="0"/>
        </w:rPr>
        <w:t>Joint Terrorism Task Force</w:t>
      </w:r>
      <w:r w:rsidR="001604E6" w:rsidRPr="00F33E44">
        <w:rPr>
          <w:snapToGrid w:val="0"/>
        </w:rPr>
        <w:t xml:space="preserve"> (t</w:t>
      </w:r>
      <w:r w:rsidRPr="00F33E44">
        <w:rPr>
          <w:snapToGrid w:val="0"/>
        </w:rPr>
        <w:t>roopers working with the FBI to combat terrorism</w:t>
      </w:r>
      <w:r w:rsidR="001604E6" w:rsidRPr="00F33E44">
        <w:rPr>
          <w:snapToGrid w:val="0"/>
        </w:rPr>
        <w:t>).</w:t>
      </w:r>
    </w:p>
    <w:p w:rsidR="007B5B9E" w:rsidRPr="00F33E44" w:rsidRDefault="007B5B9E" w:rsidP="00092820">
      <w:pPr>
        <w:sectPr w:rsidR="007B5B9E" w:rsidRPr="00F33E44" w:rsidSect="00D73ECB">
          <w:type w:val="continuous"/>
          <w:pgSz w:w="12240" w:h="15840" w:code="1"/>
          <w:pgMar w:top="864" w:right="720" w:bottom="1152" w:left="720" w:header="432" w:footer="288" w:gutter="216"/>
          <w:cols w:num="2" w:space="432"/>
        </w:sectPr>
      </w:pPr>
    </w:p>
    <w:p w:rsidR="00D73ECB" w:rsidRDefault="00D73ECB" w:rsidP="00BF787C"/>
    <w:p w:rsidR="00BF787C" w:rsidRDefault="00BF787C" w:rsidP="00BF787C"/>
    <w:p w:rsidR="007B5B9E" w:rsidRPr="000240C7" w:rsidRDefault="001A2BD3" w:rsidP="00087C6A">
      <w:pPr>
        <w:pStyle w:val="ProgramHead"/>
        <w:spacing w:before="0"/>
        <w:rPr>
          <w:b/>
          <w:sz w:val="32"/>
          <w:szCs w:val="32"/>
        </w:rPr>
      </w:pPr>
      <w:r w:rsidRPr="00F92740">
        <w:fldChar w:fldCharType="begin"/>
      </w:r>
      <w:r w:rsidR="007B5B9E" w:rsidRPr="00F92740">
        <w:instrText xml:space="preserve"> XE "DPS32000 27001" </w:instrText>
      </w:r>
      <w:r w:rsidRPr="00F92740">
        <w:fldChar w:fldCharType="end"/>
      </w:r>
      <w:r w:rsidR="007B5B9E" w:rsidRPr="00F92740">
        <w:t xml:space="preserve">Fire </w:t>
      </w:r>
      <w:r w:rsidR="00242AC2">
        <w:t>Investigations and Telecommunications</w:t>
      </w:r>
      <w:r w:rsidR="007B5B9E" w:rsidRPr="00F92740">
        <w:t xml:space="preserve"> </w:t>
      </w:r>
    </w:p>
    <w:p w:rsidR="007B5B9E" w:rsidRDefault="007B5B9E" w:rsidP="00C754F8">
      <w:pPr>
        <w:pStyle w:val="Heading2"/>
        <w:spacing w:before="0"/>
        <w:sectPr w:rsidR="007B5B9E" w:rsidSect="00D73ECB">
          <w:headerReference w:type="even" r:id="rId16"/>
          <w:headerReference w:type="default" r:id="rId17"/>
          <w:headerReference w:type="first" r:id="rId18"/>
          <w:type w:val="continuous"/>
          <w:pgSz w:w="12240" w:h="15840" w:code="1"/>
          <w:pgMar w:top="864" w:right="720" w:bottom="1152" w:left="720" w:header="432" w:footer="288" w:gutter="216"/>
          <w:cols w:space="720"/>
        </w:sectPr>
      </w:pPr>
    </w:p>
    <w:p w:rsidR="007B5B9E" w:rsidRPr="00F92740" w:rsidRDefault="007B5B9E" w:rsidP="00CA4CF2">
      <w:pPr>
        <w:pStyle w:val="Heading2"/>
      </w:pPr>
      <w:r w:rsidRPr="00F92740">
        <w:lastRenderedPageBreak/>
        <w:t xml:space="preserve">Statutory Reference </w:t>
      </w:r>
    </w:p>
    <w:p w:rsidR="007B5B9E" w:rsidRPr="00F92740" w:rsidRDefault="00242AC2" w:rsidP="00CA4CF2">
      <w:r>
        <w:t xml:space="preserve">C.G.S. </w:t>
      </w:r>
      <w:r w:rsidR="007B5B9E" w:rsidRPr="00F92740">
        <w:t>Title 28, C</w:t>
      </w:r>
      <w:r w:rsidR="007B5B9E">
        <w:t>hapter 518a</w:t>
      </w:r>
      <w:r w:rsidR="007B5B9E" w:rsidRPr="00F92740">
        <w:t>; Title 29, Chapters 531, 532, 538, 538a, 539, 540 and 541</w:t>
      </w:r>
      <w:r w:rsidR="006B057D">
        <w:t>.</w:t>
      </w:r>
    </w:p>
    <w:p w:rsidR="007B5B9E" w:rsidRPr="00E3471F" w:rsidRDefault="001437B7" w:rsidP="00CA4CF2">
      <w:pPr>
        <w:pStyle w:val="Heading2"/>
      </w:pPr>
      <w:r>
        <w:t>State</w:t>
      </w:r>
      <w:r w:rsidR="007B5B9E" w:rsidRPr="00E3471F">
        <w:t xml:space="preserve">ment of Need and Program Objectives </w:t>
      </w:r>
    </w:p>
    <w:p w:rsidR="007B5B9E" w:rsidRPr="00F92740" w:rsidRDefault="007B5B9E" w:rsidP="00CA4CF2">
      <w:pPr>
        <w:spacing w:after="80"/>
      </w:pPr>
      <w:r w:rsidRPr="00F92740">
        <w:t>To improve emergency communications systems to expedite the delivery of emergency medical, fire and police services.</w:t>
      </w:r>
    </w:p>
    <w:p w:rsidR="007B5B9E" w:rsidRPr="00E3471F" w:rsidRDefault="007B5B9E" w:rsidP="00CA4CF2">
      <w:pPr>
        <w:pStyle w:val="Heading2"/>
      </w:pPr>
      <w:r w:rsidRPr="00E3471F">
        <w:t xml:space="preserve">Program Description </w:t>
      </w:r>
    </w:p>
    <w:p w:rsidR="003D1A81" w:rsidRDefault="00E25E94" w:rsidP="00E25E94">
      <w:pPr>
        <w:spacing w:after="0"/>
      </w:pPr>
      <w:r>
        <w:t>This program</w:t>
      </w:r>
      <w:r w:rsidR="007B5B9E" w:rsidRPr="00F92740">
        <w:t xml:space="preserve"> is comprised of the </w:t>
      </w:r>
      <w:r w:rsidR="007B5B9E" w:rsidRPr="000240C7">
        <w:rPr>
          <w:i/>
        </w:rPr>
        <w:t xml:space="preserve">Office of </w:t>
      </w:r>
      <w:r w:rsidR="001437B7" w:rsidRPr="000240C7">
        <w:rPr>
          <w:i/>
        </w:rPr>
        <w:t>State</w:t>
      </w:r>
      <w:r w:rsidR="007B5B9E" w:rsidRPr="000240C7">
        <w:rPr>
          <w:i/>
        </w:rPr>
        <w:t>wide Emergency Telecommunicatio</w:t>
      </w:r>
      <w:r w:rsidR="000240C7" w:rsidRPr="000240C7">
        <w:rPr>
          <w:i/>
        </w:rPr>
        <w:t>ns</w:t>
      </w:r>
      <w:r w:rsidR="001604E6">
        <w:t xml:space="preserve"> (OSET)</w:t>
      </w:r>
      <w:r>
        <w:rPr>
          <w:i/>
        </w:rPr>
        <w:t xml:space="preserve"> </w:t>
      </w:r>
      <w:r>
        <w:t xml:space="preserve">which has </w:t>
      </w:r>
      <w:r w:rsidR="007B5B9E" w:rsidRPr="00F92740">
        <w:t>oversight of emergency telecommunications, including radio frequency allocation for publi</w:t>
      </w:r>
      <w:r w:rsidR="007B5B9E">
        <w:t>c sa</w:t>
      </w:r>
      <w:r w:rsidR="001437B7">
        <w:t>fety and emergency services.  It</w:t>
      </w:r>
      <w:r w:rsidR="007B5B9E">
        <w:t xml:space="preserve"> also has</w:t>
      </w:r>
      <w:r w:rsidR="007B5B9E" w:rsidRPr="00F92740">
        <w:t xml:space="preserve"> oversight of the Enhanced 9-1-1 system training</w:t>
      </w:r>
      <w:r w:rsidR="000240C7">
        <w:t xml:space="preserve"> and </w:t>
      </w:r>
      <w:r w:rsidR="007B5B9E">
        <w:t>certifies</w:t>
      </w:r>
      <w:r w:rsidR="007B5B9E" w:rsidRPr="00F92740">
        <w:t xml:space="preserve"> emergency dispatchers</w:t>
      </w:r>
      <w:r w:rsidR="000240C7">
        <w:t>.</w:t>
      </w:r>
      <w:r w:rsidR="007B5B9E" w:rsidRPr="00F92740">
        <w:t xml:space="preserve"> </w:t>
      </w:r>
    </w:p>
    <w:p w:rsidR="00D73ECB" w:rsidRDefault="001604E6" w:rsidP="00E25E94">
      <w:pPr>
        <w:spacing w:before="120"/>
      </w:pPr>
      <w:r>
        <w:t xml:space="preserve">The </w:t>
      </w:r>
      <w:r w:rsidR="00E25E94">
        <w:t>O</w:t>
      </w:r>
      <w:r w:rsidR="001E52CC" w:rsidRPr="00AC04B8">
        <w:t xml:space="preserve">SET provides for </w:t>
      </w:r>
      <w:r w:rsidR="001437B7">
        <w:t>state</w:t>
      </w:r>
      <w:r w:rsidR="001E52CC" w:rsidRPr="00AC04B8">
        <w:t>wide Enhanced 9‐1‐1 planning and implementation, public safety telecommunicators training and certification, public safety frequency coordination, funding for regional communications centers, funding for cities with po</w:t>
      </w:r>
      <w:r>
        <w:t>pulations greater than 40,000,</w:t>
      </w:r>
      <w:r w:rsidR="001E52CC" w:rsidRPr="00AC04B8">
        <w:t xml:space="preserve"> public safety answering points (PSAPs), grant assistance for capital expenses for PSAPs and grant assistance for coordinated medic</w:t>
      </w:r>
      <w:r w:rsidR="00E25E94">
        <w:t>al emergency direction (CMED). O</w:t>
      </w:r>
      <w:r w:rsidR="001E52CC" w:rsidRPr="00AC04B8">
        <w:t xml:space="preserve">SET provides all </w:t>
      </w:r>
      <w:r w:rsidR="001437B7">
        <w:t>state</w:t>
      </w:r>
      <w:r w:rsidR="001E52CC" w:rsidRPr="00AC04B8">
        <w:t xml:space="preserve"> and local public safety agencies with street centerline and </w:t>
      </w:r>
      <w:r w:rsidR="001E52CC" w:rsidRPr="00AC04B8">
        <w:lastRenderedPageBreak/>
        <w:t>street address information (geographic information systems – GIS) for eme</w:t>
      </w:r>
      <w:r>
        <w:t xml:space="preserve">rgency response purposes.  </w:t>
      </w:r>
      <w:r w:rsidR="001E52CC" w:rsidRPr="00AC04B8">
        <w:t xml:space="preserve">OSET also provides chairmanship and plan development for the six </w:t>
      </w:r>
      <w:r w:rsidR="00C4322C" w:rsidRPr="00AC04B8">
        <w:t xml:space="preserve">New England </w:t>
      </w:r>
      <w:r w:rsidR="001437B7">
        <w:t>state</w:t>
      </w:r>
      <w:r w:rsidR="001E52CC" w:rsidRPr="00AC04B8">
        <w:t xml:space="preserve"> 700 MHz, 800MHz and 4.9 GHz planning committees.</w:t>
      </w:r>
    </w:p>
    <w:p w:rsidR="009E7535" w:rsidRPr="00AC04B8" w:rsidRDefault="009E7535" w:rsidP="009E7535">
      <w:pPr>
        <w:spacing w:before="120"/>
      </w:pPr>
      <w:r>
        <w:t>Phase one of the public s</w:t>
      </w:r>
      <w:r w:rsidR="001E52CC" w:rsidRPr="00AC04B8">
        <w:t xml:space="preserve">afety </w:t>
      </w:r>
      <w:r>
        <w:t>data n</w:t>
      </w:r>
      <w:r w:rsidR="001E52CC" w:rsidRPr="00AC04B8">
        <w:t>etwork is the co</w:t>
      </w:r>
      <w:r>
        <w:t xml:space="preserve">nnection of 111 locations, 106 </w:t>
      </w:r>
      <w:r w:rsidR="00E25E94">
        <w:t xml:space="preserve">PSAPs </w:t>
      </w:r>
      <w:r w:rsidR="001E52CC" w:rsidRPr="00AC04B8">
        <w:t>and D</w:t>
      </w:r>
      <w:r w:rsidR="00E25E94">
        <w:t>ESPP HQ, DE</w:t>
      </w:r>
      <w:r w:rsidR="001E52CC" w:rsidRPr="00AC04B8">
        <w:t>S</w:t>
      </w:r>
      <w:r w:rsidR="00E25E94">
        <w:t>PP</w:t>
      </w:r>
      <w:r w:rsidR="001E52CC" w:rsidRPr="00AC04B8">
        <w:t xml:space="preserve"> Rocky Hill, D</w:t>
      </w:r>
      <w:r w:rsidR="00E25E94">
        <w:t>ESPP Meriden c</w:t>
      </w:r>
      <w:r w:rsidR="001E52CC" w:rsidRPr="00AC04B8">
        <w:t>ampus and B</w:t>
      </w:r>
      <w:r w:rsidR="00E25E94">
        <w:t xml:space="preserve">ureau of </w:t>
      </w:r>
      <w:r w:rsidR="001E52CC" w:rsidRPr="00AC04B8">
        <w:t>E</w:t>
      </w:r>
      <w:r w:rsidR="00E25E94">
        <w:t xml:space="preserve">nterprise </w:t>
      </w:r>
      <w:r w:rsidR="001E52CC" w:rsidRPr="00AC04B8">
        <w:t>S</w:t>
      </w:r>
      <w:r w:rsidR="00E25E94">
        <w:t xml:space="preserve">ystems and </w:t>
      </w:r>
      <w:r w:rsidR="001E52CC" w:rsidRPr="00AC04B8">
        <w:t>T</w:t>
      </w:r>
      <w:r w:rsidR="00E25E94">
        <w:t>echnology</w:t>
      </w:r>
      <w:r w:rsidR="001E52CC" w:rsidRPr="00AC04B8">
        <w:t xml:space="preserve">/DAS in East Hartford, </w:t>
      </w:r>
      <w:r>
        <w:t>through</w:t>
      </w:r>
      <w:r w:rsidR="001E52CC" w:rsidRPr="00AC04B8">
        <w:t xml:space="preserve"> a high speed, fiber optic network. The network will provide the connectivity needed to provide improved 9-1-1 services, deliver greater reliability and speed, enable improved interoperability (including radio interoperability), and reduce costs to the </w:t>
      </w:r>
      <w:r w:rsidR="001437B7">
        <w:t>state</w:t>
      </w:r>
      <w:r w:rsidR="001E52CC" w:rsidRPr="00AC04B8">
        <w:t xml:space="preserve"> for the delivery of </w:t>
      </w:r>
      <w:r>
        <w:t>criminal j</w:t>
      </w:r>
      <w:r w:rsidR="00C4322C">
        <w:t xml:space="preserve">ustice </w:t>
      </w:r>
      <w:r>
        <w:t>information s</w:t>
      </w:r>
      <w:r w:rsidR="00C4322C">
        <w:t>ystem</w:t>
      </w:r>
      <w:r w:rsidR="001E52CC" w:rsidRPr="00AC04B8">
        <w:t xml:space="preserve"> services such as </w:t>
      </w:r>
      <w:r w:rsidR="00C82B80" w:rsidRPr="00C82B80">
        <w:t xml:space="preserve">Connecticut On-Line Law Enforcement Communications Teleprocessing </w:t>
      </w:r>
      <w:r w:rsidR="00C82B80">
        <w:t xml:space="preserve">and </w:t>
      </w:r>
      <w:r w:rsidR="00C82B80" w:rsidRPr="00C82B80">
        <w:t>National Crime</w:t>
      </w:r>
      <w:r w:rsidRPr="009E7535">
        <w:t xml:space="preserve"> </w:t>
      </w:r>
      <w:r w:rsidRPr="00C82B80">
        <w:t>Information Center</w:t>
      </w:r>
      <w:r w:rsidRPr="00AC04B8">
        <w:t xml:space="preserve">. </w:t>
      </w:r>
      <w:r>
        <w:t xml:space="preserve"> Phase t</w:t>
      </w:r>
      <w:r w:rsidRPr="00AC04B8">
        <w:t xml:space="preserve">wo is the extension of the network to another 403 public safety sites </w:t>
      </w:r>
      <w:r>
        <w:t>using</w:t>
      </w:r>
      <w:r w:rsidRPr="00AC04B8">
        <w:t xml:space="preserve"> the Federal Broadband Techno</w:t>
      </w:r>
      <w:r>
        <w:t xml:space="preserve">logy Opportunities Grant (BTOP) </w:t>
      </w:r>
      <w:r w:rsidRPr="00AC04B8">
        <w:t xml:space="preserve">awarded in 2010.  </w:t>
      </w:r>
      <w:r>
        <w:t>C</w:t>
      </w:r>
      <w:r w:rsidRPr="00AC04B8">
        <w:t xml:space="preserve">urrently </w:t>
      </w:r>
      <w:r>
        <w:t xml:space="preserve">the project is </w:t>
      </w:r>
      <w:r w:rsidRPr="00AC04B8">
        <w:t>i</w:t>
      </w:r>
      <w:r>
        <w:t>n the deployment phase and has exceeded f</w:t>
      </w:r>
      <w:r w:rsidRPr="00AC04B8">
        <w:t xml:space="preserve">ederal grant guidelines which require two-thirds of the network to be completed by September, 2012 and </w:t>
      </w:r>
      <w:r>
        <w:t>is</w:t>
      </w:r>
      <w:r w:rsidRPr="00AC04B8">
        <w:t xml:space="preserve"> on track to meet the deadline of full deployment by September, 2013.</w:t>
      </w:r>
    </w:p>
    <w:p w:rsidR="00D73ECB" w:rsidRDefault="00C82B80" w:rsidP="00E25E94">
      <w:pPr>
        <w:spacing w:before="120"/>
        <w:sectPr w:rsidR="00D73ECB" w:rsidSect="00D73ECB">
          <w:type w:val="continuous"/>
          <w:pgSz w:w="12240" w:h="15840" w:code="1"/>
          <w:pgMar w:top="864" w:right="720" w:bottom="1152" w:left="720" w:header="432" w:footer="288" w:gutter="216"/>
          <w:cols w:num="2" w:space="432"/>
        </w:sectPr>
      </w:pPr>
      <w:r w:rsidRPr="00C82B80">
        <w:lastRenderedPageBreak/>
        <w:t xml:space="preserve"> </w:t>
      </w:r>
    </w:p>
    <w:p w:rsidR="00313411" w:rsidRDefault="00313411" w:rsidP="00313411"/>
    <w:p w:rsidR="007B5B9E" w:rsidRDefault="009C7226" w:rsidP="00D73ECB">
      <w:pPr>
        <w:pStyle w:val="ProgramHead"/>
        <w:spacing w:before="0"/>
      </w:pPr>
      <w:r>
        <w:t xml:space="preserve">Division of </w:t>
      </w:r>
      <w:r w:rsidR="001A2BD3" w:rsidRPr="00F92740">
        <w:fldChar w:fldCharType="begin"/>
      </w:r>
      <w:r w:rsidR="007B5B9E" w:rsidRPr="00F92740">
        <w:instrText xml:space="preserve"> XE "DPS32000 24002" </w:instrText>
      </w:r>
      <w:r w:rsidR="001A2BD3" w:rsidRPr="00F92740">
        <w:fldChar w:fldCharType="end"/>
      </w:r>
      <w:r w:rsidR="007B5B9E" w:rsidRPr="00F92740">
        <w:t xml:space="preserve">SCIENTIFIC Services </w:t>
      </w:r>
    </w:p>
    <w:p w:rsidR="0038191B" w:rsidRPr="00F92740" w:rsidRDefault="0038191B" w:rsidP="00B71383">
      <w:pPr>
        <w:pStyle w:val="ProgramHead"/>
        <w:spacing w:before="0"/>
        <w:ind w:left="-180"/>
        <w:sectPr w:rsidR="0038191B" w:rsidRPr="00F92740" w:rsidSect="00D73ECB">
          <w:type w:val="continuous"/>
          <w:pgSz w:w="12240" w:h="15840" w:code="1"/>
          <w:pgMar w:top="864" w:right="720" w:bottom="1152" w:left="720" w:header="432" w:footer="288" w:gutter="216"/>
          <w:cols w:space="432"/>
        </w:sectPr>
      </w:pPr>
    </w:p>
    <w:p w:rsidR="007B5B9E" w:rsidRPr="00F92740" w:rsidRDefault="007B5B9E" w:rsidP="00D73ECB">
      <w:pPr>
        <w:pStyle w:val="Heading2"/>
        <w:spacing w:before="0"/>
      </w:pPr>
      <w:r w:rsidRPr="00F92740">
        <w:t xml:space="preserve">Statutory Reference </w:t>
      </w:r>
    </w:p>
    <w:p w:rsidR="007B5B9E" w:rsidRDefault="009E7535" w:rsidP="00D73ECB">
      <w:pPr>
        <w:spacing w:after="0"/>
      </w:pPr>
      <w:r>
        <w:t xml:space="preserve">C.G.S. </w:t>
      </w:r>
      <w:r w:rsidR="007B5B9E">
        <w:t>Section 29-7b, Chapter 961, Part IIa</w:t>
      </w:r>
      <w:r w:rsidR="006B057D">
        <w:t>.</w:t>
      </w:r>
    </w:p>
    <w:p w:rsidR="00920D21" w:rsidRPr="00F92740" w:rsidRDefault="00920D21" w:rsidP="00D73ECB">
      <w:pPr>
        <w:spacing w:after="0"/>
      </w:pPr>
    </w:p>
    <w:p w:rsidR="007B5B9E" w:rsidRPr="00E3471F" w:rsidRDefault="001437B7" w:rsidP="00D73ECB">
      <w:pPr>
        <w:pStyle w:val="Heading2"/>
        <w:spacing w:before="0"/>
      </w:pPr>
      <w:r>
        <w:t>State</w:t>
      </w:r>
      <w:r w:rsidR="007B5B9E" w:rsidRPr="00E3471F">
        <w:t xml:space="preserve">ment of Need and Program Objectives </w:t>
      </w:r>
    </w:p>
    <w:p w:rsidR="009C7226" w:rsidRPr="009C7226" w:rsidRDefault="009C7226" w:rsidP="00D73ECB">
      <w:pPr>
        <w:keepNext/>
        <w:spacing w:after="0"/>
      </w:pPr>
      <w:r w:rsidRPr="009C7226">
        <w:t xml:space="preserve">To improve the quality and quantity of services provided to federal, </w:t>
      </w:r>
      <w:r w:rsidR="001437B7">
        <w:t>state</w:t>
      </w:r>
      <w:r w:rsidRPr="009C7226">
        <w:t xml:space="preserve"> and local law enforcement agencies and the citizens of Connecticut through existing and newly developed scientific and technical procedures.  To provide investigative leads through the timely examination of evidence, the reconstruction of crimes and expert testimony to aid in the arrest, conviction, or clearance of a suspect.</w:t>
      </w:r>
    </w:p>
    <w:p w:rsidR="007B5B9E" w:rsidRPr="00E3471F" w:rsidRDefault="007B5B9E" w:rsidP="00D73ECB">
      <w:pPr>
        <w:pStyle w:val="Heading2"/>
      </w:pPr>
      <w:r w:rsidRPr="00E3471F">
        <w:t xml:space="preserve">Program Description </w:t>
      </w:r>
    </w:p>
    <w:p w:rsidR="009C7226" w:rsidRPr="00F33E44" w:rsidRDefault="009C7226" w:rsidP="00D73ECB">
      <w:pPr>
        <w:keepNext/>
        <w:spacing w:after="0"/>
      </w:pPr>
      <w:r w:rsidRPr="00F33E44">
        <w:t>The Division of Scientific Services is comprised of the Forensic Science Laboratory, the Computer Crime and Electronic Evidence Laboratory and the Controlled Substance and Toxicology Laboratory.</w:t>
      </w:r>
    </w:p>
    <w:p w:rsidR="00D367EF" w:rsidRDefault="00D367EF" w:rsidP="00D73ECB">
      <w:pPr>
        <w:spacing w:after="0"/>
      </w:pPr>
      <w:r>
        <w:t xml:space="preserve">    </w:t>
      </w:r>
    </w:p>
    <w:p w:rsidR="007B5B9E" w:rsidRDefault="007B5B9E" w:rsidP="00D73ECB">
      <w:pPr>
        <w:pStyle w:val="H4"/>
        <w:spacing w:before="0"/>
      </w:pPr>
      <w:r w:rsidRPr="007B5B9E">
        <w:rPr>
          <w:rStyle w:val="Heading2Char"/>
          <w:b w:val="0"/>
          <w:i w:val="0"/>
        </w:rPr>
        <w:t>T</w:t>
      </w:r>
      <w:r w:rsidRPr="001263B4">
        <w:rPr>
          <w:sz w:val="18"/>
          <w:szCs w:val="18"/>
        </w:rPr>
        <w:t>he Forensic Science Laboratory</w:t>
      </w:r>
      <w:r w:rsidRPr="001263B4">
        <w:rPr>
          <w:color w:val="002D86"/>
          <w:sz w:val="18"/>
          <w:szCs w:val="18"/>
        </w:rPr>
        <w:t xml:space="preserve">  </w:t>
      </w:r>
    </w:p>
    <w:p w:rsidR="009C7226" w:rsidRPr="009C7226" w:rsidRDefault="009C7226" w:rsidP="00D73ECB">
      <w:pPr>
        <w:spacing w:before="120" w:after="120"/>
      </w:pPr>
      <w:r w:rsidRPr="009C7226">
        <w:t xml:space="preserve">The </w:t>
      </w:r>
      <w:r w:rsidRPr="00947E75">
        <w:rPr>
          <w:i/>
        </w:rPr>
        <w:t>Forensic Science Laboratory</w:t>
      </w:r>
      <w:r w:rsidRPr="009C7226">
        <w:t xml:space="preserve"> includes </w:t>
      </w:r>
      <w:r w:rsidR="00947E75">
        <w:t>criminalistics, identification, DNA and crime scene r</w:t>
      </w:r>
      <w:r w:rsidRPr="009C7226">
        <w:t xml:space="preserve">econstruction </w:t>
      </w:r>
      <w:r w:rsidR="00947E75">
        <w:t>u</w:t>
      </w:r>
      <w:r w:rsidRPr="009C7226">
        <w:t xml:space="preserve">nits. </w:t>
      </w:r>
    </w:p>
    <w:p w:rsidR="009C7226" w:rsidRPr="009C7226" w:rsidRDefault="009C7226" w:rsidP="00D73ECB">
      <w:pPr>
        <w:spacing w:before="120" w:after="120"/>
      </w:pPr>
      <w:r w:rsidRPr="00242AC2">
        <w:rPr>
          <w:rStyle w:val="Heading4Char"/>
          <w:i w:val="0"/>
        </w:rPr>
        <w:t>The</w:t>
      </w:r>
      <w:r w:rsidRPr="004B72C0">
        <w:rPr>
          <w:rStyle w:val="Heading4Char"/>
        </w:rPr>
        <w:t xml:space="preserve"> </w:t>
      </w:r>
      <w:r w:rsidRPr="00CF551B">
        <w:rPr>
          <w:rStyle w:val="Heading4Char"/>
          <w:i w:val="0"/>
        </w:rPr>
        <w:t>Criminalistics Unit</w:t>
      </w:r>
      <w:r w:rsidRPr="004B72C0">
        <w:t xml:space="preserve"> </w:t>
      </w:r>
      <w:r w:rsidR="00947E75">
        <w:t>includes f</w:t>
      </w:r>
      <w:r w:rsidRPr="009C7226">
        <w:t xml:space="preserve">orensic </w:t>
      </w:r>
      <w:r w:rsidR="00947E75">
        <w:t>biology, trace evidence, a</w:t>
      </w:r>
      <w:r w:rsidRPr="009C7226">
        <w:t>rson an</w:t>
      </w:r>
      <w:r w:rsidR="00947E75">
        <w:t>d chemistry. The f</w:t>
      </w:r>
      <w:r w:rsidRPr="009C7226">
        <w:t xml:space="preserve">orensic </w:t>
      </w:r>
      <w:r w:rsidR="00947E75">
        <w:t>b</w:t>
      </w:r>
      <w:r w:rsidRPr="009C7226">
        <w:t xml:space="preserve">iology </w:t>
      </w:r>
      <w:r w:rsidR="00947E75">
        <w:t>s</w:t>
      </w:r>
      <w:r w:rsidRPr="009C7226">
        <w:t xml:space="preserve">ection identifies biological fluids and determines which samples should </w:t>
      </w:r>
      <w:r w:rsidR="00947E75">
        <w:t>undergo full DNA analysis. The trace s</w:t>
      </w:r>
      <w:r w:rsidRPr="009C7226">
        <w:t>ection examines and compares paint, hairs, fibers, glass, soil, tape, light bulbs, cordage, and white powders, and also identifies unkno</w:t>
      </w:r>
      <w:r w:rsidR="00947E75">
        <w:t>wn materials. In addition, the trace section maintains an extensive automotive p</w:t>
      </w:r>
      <w:r w:rsidRPr="009C7226">
        <w:t>aint database dedicated to providing investigative leads in motor vehicle cases in which the v</w:t>
      </w:r>
      <w:r w:rsidR="00947E75">
        <w:t>ehicle has fled the scene. The chemistry s</w:t>
      </w:r>
      <w:r w:rsidRPr="009C7226">
        <w:t>ection is responsible for the analysis and identification of gunshot residu</w:t>
      </w:r>
      <w:r w:rsidR="00947E75">
        <w:t>e and explosive materials. The arson s</w:t>
      </w:r>
      <w:r w:rsidRPr="009C7226">
        <w:t>ection examines fire debris for the identification of suspected accelerants.</w:t>
      </w:r>
    </w:p>
    <w:p w:rsidR="009C7226" w:rsidRPr="009C7226" w:rsidRDefault="009C7226" w:rsidP="00D73ECB">
      <w:pPr>
        <w:spacing w:before="120" w:after="120"/>
      </w:pPr>
      <w:r w:rsidRPr="00242AC2">
        <w:t xml:space="preserve">The </w:t>
      </w:r>
      <w:r w:rsidRPr="00CF551B">
        <w:t>DNA Unit</w:t>
      </w:r>
      <w:r w:rsidRPr="004B72C0">
        <w:rPr>
          <w:i/>
        </w:rPr>
        <w:t xml:space="preserve"> </w:t>
      </w:r>
      <w:r w:rsidRPr="009C7226">
        <w:t>is di</w:t>
      </w:r>
      <w:r w:rsidR="00947E75">
        <w:t>vided into three sections. The n</w:t>
      </w:r>
      <w:r w:rsidRPr="009C7226">
        <w:t xml:space="preserve">uclear DNA examiners conduct analyses to obtain DNA profiles from </w:t>
      </w:r>
      <w:r w:rsidR="00E9670F">
        <w:t>evidentiary materials. The DNA d</w:t>
      </w:r>
      <w:r w:rsidRPr="009C7226">
        <w:t xml:space="preserve">atabase </w:t>
      </w:r>
      <w:r w:rsidR="00E9670F">
        <w:t>s</w:t>
      </w:r>
      <w:r w:rsidRPr="009C7226">
        <w:t xml:space="preserve">ection maintains the </w:t>
      </w:r>
      <w:r w:rsidR="00E9670F">
        <w:t xml:space="preserve">Combined DNA Index System (CODIS).  </w:t>
      </w:r>
      <w:r w:rsidRPr="009C7226">
        <w:t>It also conducts evidence analysis from criminal cases in which there is no known suspect. DNA profiles from these cases are entered into CODIS to i</w:t>
      </w:r>
      <w:r w:rsidR="00E9670F">
        <w:t>dentify possible suspects. The m</w:t>
      </w:r>
      <w:r w:rsidRPr="009C7226">
        <w:t xml:space="preserve">itochondrial DNA </w:t>
      </w:r>
      <w:r w:rsidR="00E9670F">
        <w:t>s</w:t>
      </w:r>
      <w:r w:rsidRPr="009C7226">
        <w:t xml:space="preserve">ection is one of four designated regional laboratories, nationwide, that are partnered with the FBI. This section analyses and compares mitochondrial DNA materials from samples (such as hair or bone) in which nuclear DNA is either not present or else is too degraded for analysis. </w:t>
      </w:r>
    </w:p>
    <w:p w:rsidR="009C7226" w:rsidRPr="009C7226" w:rsidRDefault="009C7226" w:rsidP="00D73ECB">
      <w:pPr>
        <w:spacing w:before="120" w:after="120"/>
      </w:pPr>
      <w:r w:rsidRPr="00242AC2">
        <w:t>The</w:t>
      </w:r>
      <w:r w:rsidRPr="004B72C0">
        <w:rPr>
          <w:i/>
        </w:rPr>
        <w:t xml:space="preserve"> </w:t>
      </w:r>
      <w:r w:rsidRPr="00CF551B">
        <w:t>Identification Unit</w:t>
      </w:r>
      <w:r w:rsidR="00E9670F">
        <w:t xml:space="preserve"> consists of the firearms, toolmarks, q</w:t>
      </w:r>
      <w:r w:rsidRPr="009C7226">
        <w:t xml:space="preserve">uestioned </w:t>
      </w:r>
      <w:r w:rsidR="00E9670F">
        <w:t>documents, latent prints and imprints sections. The firearms s</w:t>
      </w:r>
      <w:r w:rsidRPr="009C7226">
        <w:t>ection examines all firearms evidence and conducts test fires of all guns scheduled for destruction. All test fires are entered i</w:t>
      </w:r>
      <w:r w:rsidR="00E9670F">
        <w:t>nto the firearms database. The firearms s</w:t>
      </w:r>
      <w:r w:rsidRPr="009C7226">
        <w:t xml:space="preserve">ection conducts all toolmarks examinations. The </w:t>
      </w:r>
      <w:r w:rsidR="00E9670F">
        <w:t>latent print s</w:t>
      </w:r>
      <w:r w:rsidRPr="009C7226">
        <w:t>ection processes evidentiary materials to develop latent prints. Latent prints that are developed are compared to inked prints or entered into</w:t>
      </w:r>
      <w:r w:rsidR="00E9670F">
        <w:t xml:space="preserve"> the fingerprint database. The questioned documents s</w:t>
      </w:r>
      <w:r w:rsidRPr="009C7226">
        <w:t>ection conducts examinations of handwriting, indented writing and all forms of printing. In addition</w:t>
      </w:r>
      <w:r w:rsidR="00E9670F">
        <w:t>, the special revenue s</w:t>
      </w:r>
      <w:r w:rsidRPr="009C7226">
        <w:t>e</w:t>
      </w:r>
      <w:r w:rsidR="00E9670F">
        <w:t>ction examines all Connecticut l</w:t>
      </w:r>
      <w:r w:rsidRPr="009C7226">
        <w:t>ottery games, conducting analyses on the integrity of the various gaming tickets</w:t>
      </w:r>
      <w:r w:rsidR="00E9670F">
        <w:t xml:space="preserve"> prior to general release. The imprint section c</w:t>
      </w:r>
      <w:r w:rsidRPr="009C7226">
        <w:t xml:space="preserve">onducts examinations and comparison of all three-dimensional prints, such as footwear and tire tracks. </w:t>
      </w:r>
    </w:p>
    <w:p w:rsidR="009C7226" w:rsidRPr="009C7226" w:rsidRDefault="009C7226" w:rsidP="00D73ECB">
      <w:pPr>
        <w:spacing w:before="120" w:after="120"/>
      </w:pPr>
      <w:r w:rsidRPr="00CF551B">
        <w:t>The Crime Scene Reconstruction Unit</w:t>
      </w:r>
      <w:r w:rsidRPr="009C7226">
        <w:t xml:space="preserve"> employs scientific techniques and all available information to establish potential methods in which a crime was perpetrated in an attempt to reconstruct the occurrence.</w:t>
      </w:r>
    </w:p>
    <w:p w:rsidR="009C7226" w:rsidRDefault="009C7226" w:rsidP="00D73ECB">
      <w:pPr>
        <w:spacing w:after="0"/>
      </w:pPr>
    </w:p>
    <w:p w:rsidR="007B5B9E" w:rsidRPr="009C7226" w:rsidRDefault="007B5B9E" w:rsidP="00D73ECB">
      <w:pPr>
        <w:pStyle w:val="H4"/>
        <w:spacing w:before="0"/>
        <w:rPr>
          <w:sz w:val="18"/>
          <w:szCs w:val="18"/>
        </w:rPr>
      </w:pPr>
      <w:r w:rsidRPr="009C7226">
        <w:rPr>
          <w:sz w:val="18"/>
          <w:szCs w:val="18"/>
        </w:rPr>
        <w:t xml:space="preserve">The Computer Crime and Electronic Evidence Laboratory </w:t>
      </w:r>
    </w:p>
    <w:p w:rsidR="007666E4" w:rsidRPr="007666E4" w:rsidRDefault="007666E4" w:rsidP="00D73ECB">
      <w:pPr>
        <w:spacing w:after="0"/>
      </w:pPr>
      <w:r w:rsidRPr="00242AC2">
        <w:t>The</w:t>
      </w:r>
      <w:r w:rsidRPr="00E9670F">
        <w:rPr>
          <w:i/>
        </w:rPr>
        <w:t xml:space="preserve"> Computer Crime and Electronic Evidence Laboratory</w:t>
      </w:r>
      <w:r w:rsidRPr="007666E4">
        <w:t xml:space="preserve"> provides analysis of computer and electronic evidence and forensic data analysis. It carries out computer and internet-based investigations and trains law enforcement, prosecutors, parents and children. Recently added to this </w:t>
      </w:r>
      <w:r w:rsidR="00E9670F">
        <w:t>laboratory were the image enhancement and forensic photography sections. The image enhancement s</w:t>
      </w:r>
      <w:r w:rsidRPr="007666E4">
        <w:t xml:space="preserve">ection employs </w:t>
      </w:r>
      <w:r w:rsidR="001437B7">
        <w:t>state</w:t>
      </w:r>
      <w:r w:rsidRPr="007666E4">
        <w:t xml:space="preserve">-of-the-art equipment to enhance video information related to criminal activity. The </w:t>
      </w:r>
      <w:r w:rsidR="00E9670F">
        <w:t>forensic p</w:t>
      </w:r>
      <w:r w:rsidRPr="007666E4">
        <w:t>hotography section employs high tech digital photographic processing equipment to expedite the delivery of photographic services to law enforcement.</w:t>
      </w:r>
    </w:p>
    <w:p w:rsidR="00B71383" w:rsidRDefault="00B71383" w:rsidP="00D73ECB">
      <w:pPr>
        <w:pStyle w:val="H4"/>
        <w:spacing w:before="0"/>
      </w:pPr>
    </w:p>
    <w:p w:rsidR="007B5B9E" w:rsidRPr="009C7226" w:rsidRDefault="007B5B9E" w:rsidP="00D73ECB">
      <w:pPr>
        <w:pStyle w:val="H4"/>
        <w:spacing w:before="0"/>
        <w:rPr>
          <w:sz w:val="18"/>
          <w:szCs w:val="18"/>
        </w:rPr>
      </w:pPr>
      <w:r w:rsidRPr="009C7226">
        <w:rPr>
          <w:sz w:val="18"/>
          <w:szCs w:val="18"/>
        </w:rPr>
        <w:t xml:space="preserve">Controlled Substance and Toxicology Laboratory </w:t>
      </w:r>
    </w:p>
    <w:p w:rsidR="007666E4" w:rsidRPr="007666E4" w:rsidRDefault="007666E4" w:rsidP="00D73ECB">
      <w:pPr>
        <w:spacing w:after="120"/>
      </w:pPr>
      <w:r w:rsidRPr="00242AC2">
        <w:t>The</w:t>
      </w:r>
      <w:r w:rsidRPr="00E9670F">
        <w:rPr>
          <w:i/>
        </w:rPr>
        <w:t xml:space="preserve"> Controlled Substance and Toxicology Laboratory</w:t>
      </w:r>
      <w:r w:rsidRPr="007666E4">
        <w:t xml:space="preserve"> analyzes drug evidence and unknown substances submitted by law enforcement personnel and other </w:t>
      </w:r>
      <w:r w:rsidR="001437B7">
        <w:t>state</w:t>
      </w:r>
      <w:r w:rsidRPr="007666E4">
        <w:t xml:space="preserve"> and federal agencies.  </w:t>
      </w:r>
    </w:p>
    <w:p w:rsidR="00E60AC5" w:rsidRDefault="00E9670F" w:rsidP="00E60AC5">
      <w:pPr>
        <w:spacing w:after="0"/>
      </w:pPr>
      <w:r>
        <w:t>The major function of the toxicology s</w:t>
      </w:r>
      <w:r w:rsidR="007666E4" w:rsidRPr="007666E4">
        <w:t>ection is body fluid analysis. In cases of DUI, blood specimens yield excellent results for alcohol, tranquilizers and sedatives, while urine specimens yield excellent results</w:t>
      </w:r>
      <w:r>
        <w:t xml:space="preserve"> for stimulants and narcotics. Controlled substance s</w:t>
      </w:r>
      <w:r w:rsidR="007666E4" w:rsidRPr="007666E4">
        <w:t>ection personnel provide analytical support to law enforcement agencies to identify and quantify drug seizures.  The most commonly analyzed substances are marijuana, cocaine, MDMA (ecstasy), heroin, prescri</w:t>
      </w:r>
      <w:r w:rsidR="009E7535">
        <w:t>ption and designer drugs. Some s</w:t>
      </w:r>
      <w:r w:rsidR="007666E4" w:rsidRPr="007666E4">
        <w:t>ection personnel also accompany the DEA (U.S. Drug Enforcement Administration) on raids of illicit/clandestine drug labs, provide technical support in the examination and analysis of the site fo</w:t>
      </w:r>
      <w:r w:rsidR="00E60AC5">
        <w:t>r chemical and physical hazards and</w:t>
      </w:r>
      <w:r w:rsidR="007666E4" w:rsidRPr="007666E4">
        <w:t xml:space="preserve"> identify methods of chemic</w:t>
      </w:r>
      <w:r w:rsidR="00E60AC5">
        <w:t xml:space="preserve">al synthesis. </w:t>
      </w:r>
    </w:p>
    <w:p w:rsidR="00F33E44" w:rsidRDefault="00F33E44" w:rsidP="00E60AC5">
      <w:pPr>
        <w:spacing w:after="0"/>
        <w:sectPr w:rsidR="00F33E44" w:rsidSect="00D73ECB">
          <w:type w:val="continuous"/>
          <w:pgSz w:w="12240" w:h="15840" w:code="1"/>
          <w:pgMar w:top="864" w:right="720" w:bottom="1152" w:left="720" w:header="432" w:footer="288" w:gutter="216"/>
          <w:cols w:num="2" w:space="432"/>
        </w:sectPr>
      </w:pPr>
    </w:p>
    <w:p w:rsidR="007B5B9E" w:rsidRPr="00F92740" w:rsidRDefault="007B5B9E" w:rsidP="00242AC2">
      <w:pPr>
        <w:spacing w:after="0"/>
        <w:sectPr w:rsidR="007B5B9E" w:rsidRPr="00F92740" w:rsidSect="00D73ECB">
          <w:type w:val="continuous"/>
          <w:pgSz w:w="12240" w:h="15840" w:code="1"/>
          <w:pgMar w:top="864" w:right="720" w:bottom="1152" w:left="720" w:header="432" w:footer="288" w:gutter="216"/>
          <w:cols w:num="2" w:space="432"/>
        </w:sectPr>
      </w:pPr>
    </w:p>
    <w:p w:rsidR="00313411" w:rsidRDefault="00313411" w:rsidP="00313411"/>
    <w:p w:rsidR="0038191B" w:rsidRDefault="001A2BD3" w:rsidP="00E60AC5">
      <w:pPr>
        <w:pStyle w:val="ProgramHead"/>
        <w:spacing w:before="0"/>
      </w:pPr>
      <w:r>
        <w:fldChar w:fldCharType="begin"/>
      </w:r>
      <w:r w:rsidR="0038191B">
        <w:instrText xml:space="preserve"> XE "</w:instrText>
      </w:r>
      <w:r w:rsidR="0038191B" w:rsidRPr="00F92740">
        <w:instrText>DPS32000</w:instrText>
      </w:r>
      <w:r w:rsidR="0038191B">
        <w:instrText xml:space="preserve"> 2</w:instrText>
      </w:r>
      <w:r w:rsidR="0018774F">
        <w:instrText>6004</w:instrText>
      </w:r>
      <w:r w:rsidR="0038191B">
        <w:instrText xml:space="preserve">" </w:instrText>
      </w:r>
      <w:r>
        <w:fldChar w:fldCharType="end"/>
      </w:r>
      <w:r w:rsidR="0018774F">
        <w:t xml:space="preserve">Division of </w:t>
      </w:r>
      <w:r w:rsidR="0038191B">
        <w:t>Emergency Management and Homeland security</w:t>
      </w:r>
    </w:p>
    <w:p w:rsidR="0038191B" w:rsidRPr="00CE5741" w:rsidRDefault="0038191B" w:rsidP="00D73ECB">
      <w:pPr>
        <w:sectPr w:rsidR="0038191B" w:rsidRPr="00CE5741" w:rsidSect="00D73ECB">
          <w:headerReference w:type="even" r:id="rId19"/>
          <w:headerReference w:type="default" r:id="rId20"/>
          <w:headerReference w:type="first" r:id="rId21"/>
          <w:type w:val="continuous"/>
          <w:pgSz w:w="12240" w:h="15840" w:code="1"/>
          <w:pgMar w:top="864" w:right="720" w:bottom="1152" w:left="720" w:header="432" w:footer="288" w:gutter="216"/>
          <w:cols w:space="720"/>
          <w:docGrid w:linePitch="360"/>
        </w:sectPr>
      </w:pPr>
    </w:p>
    <w:p w:rsidR="0038191B" w:rsidRDefault="0038191B" w:rsidP="00D73ECB">
      <w:pPr>
        <w:pStyle w:val="Heading2"/>
        <w:spacing w:before="0"/>
      </w:pPr>
      <w:r>
        <w:t>Statutory Reference</w:t>
      </w:r>
    </w:p>
    <w:p w:rsidR="009A20EA" w:rsidRDefault="009E7535" w:rsidP="00D73ECB">
      <w:pPr>
        <w:spacing w:after="0"/>
      </w:pPr>
      <w:r>
        <w:t xml:space="preserve">C.G.S. </w:t>
      </w:r>
      <w:r w:rsidR="009A20EA">
        <w:t>Title</w:t>
      </w:r>
      <w:r w:rsidR="0018774F">
        <w:t>s</w:t>
      </w:r>
      <w:r w:rsidR="009A20EA">
        <w:t xml:space="preserve"> 28</w:t>
      </w:r>
      <w:r>
        <w:t xml:space="preserve"> and 29.</w:t>
      </w:r>
    </w:p>
    <w:p w:rsidR="0018774F" w:rsidRPr="00F92740" w:rsidRDefault="0018774F" w:rsidP="00D73ECB">
      <w:pPr>
        <w:spacing w:after="0"/>
      </w:pPr>
    </w:p>
    <w:p w:rsidR="0018774F" w:rsidRPr="00E3471F" w:rsidRDefault="001437B7" w:rsidP="00D73ECB">
      <w:pPr>
        <w:pStyle w:val="Heading2"/>
        <w:spacing w:before="0"/>
      </w:pPr>
      <w:r>
        <w:t>State</w:t>
      </w:r>
      <w:r w:rsidR="0018774F" w:rsidRPr="00E3471F">
        <w:t xml:space="preserve">ment of Need and Program Objectives </w:t>
      </w:r>
    </w:p>
    <w:p w:rsidR="0018774F" w:rsidRPr="0018774F" w:rsidRDefault="002B53C4" w:rsidP="00D73ECB">
      <w:pPr>
        <w:spacing w:after="0"/>
      </w:pPr>
      <w:r>
        <w:t>The deputy c</w:t>
      </w:r>
      <w:r w:rsidR="0018774F" w:rsidRPr="0018774F">
        <w:t xml:space="preserve">ommissioner for the </w:t>
      </w:r>
      <w:r w:rsidR="0018774F" w:rsidRPr="002B53C4">
        <w:rPr>
          <w:i/>
        </w:rPr>
        <w:t>Division of Emergency Management and Homeland Security</w:t>
      </w:r>
      <w:r w:rsidR="009E7535">
        <w:rPr>
          <w:i/>
        </w:rPr>
        <w:t xml:space="preserve"> </w:t>
      </w:r>
      <w:r w:rsidR="009E7535" w:rsidRPr="009E7535">
        <w:t>(DEMHS)</w:t>
      </w:r>
      <w:r w:rsidR="0018774F" w:rsidRPr="0018774F">
        <w:t xml:space="preserve"> is responsible for providing a coordinated, integrated program for </w:t>
      </w:r>
      <w:r w:rsidR="001437B7">
        <w:t>state</w:t>
      </w:r>
      <w:r w:rsidR="0018774F" w:rsidRPr="0018774F">
        <w:t>wide emergency management and homeland security.</w:t>
      </w:r>
    </w:p>
    <w:p w:rsidR="0018774F" w:rsidRDefault="0018774F" w:rsidP="0018774F">
      <w:pPr>
        <w:spacing w:after="0"/>
        <w:ind w:left="-180"/>
      </w:pPr>
    </w:p>
    <w:p w:rsidR="00F36A25" w:rsidRDefault="005D218B" w:rsidP="00242AC2">
      <w:pPr>
        <w:pStyle w:val="Heading2"/>
        <w:spacing w:before="0"/>
      </w:pPr>
      <w:r>
        <w:t>P</w:t>
      </w:r>
      <w:r w:rsidR="0038191B" w:rsidRPr="00EF482B">
        <w:t>rogram Description</w:t>
      </w:r>
    </w:p>
    <w:p w:rsidR="00E60AC5" w:rsidRPr="00F33E44" w:rsidRDefault="0018774F" w:rsidP="00E60AC5">
      <w:pPr>
        <w:spacing w:after="0"/>
      </w:pPr>
      <w:r w:rsidRPr="00F33E44">
        <w:t xml:space="preserve">The </w:t>
      </w:r>
      <w:r w:rsidR="002B53C4" w:rsidRPr="00F33E44">
        <w:t xml:space="preserve">DEMHS </w:t>
      </w:r>
      <w:r w:rsidR="00F70ACF" w:rsidRPr="00F33E44">
        <w:t>includes</w:t>
      </w:r>
      <w:r w:rsidRPr="00F33E44">
        <w:t xml:space="preserve"> the Office of Emergency Management and the Office of Counter Terrorism</w:t>
      </w:r>
      <w:r w:rsidR="00F70ACF" w:rsidRPr="00F33E44">
        <w:t xml:space="preserve">. </w:t>
      </w:r>
    </w:p>
    <w:p w:rsidR="00E60AC5" w:rsidRPr="0018774F" w:rsidRDefault="00E60AC5" w:rsidP="00E60AC5">
      <w:pPr>
        <w:spacing w:after="0"/>
      </w:pPr>
    </w:p>
    <w:p w:rsidR="0018774F" w:rsidRPr="0018774F" w:rsidRDefault="0018774F" w:rsidP="00242AC2">
      <w:pPr>
        <w:pStyle w:val="H4"/>
        <w:spacing w:before="0"/>
      </w:pPr>
      <w:r w:rsidRPr="0018774F">
        <w:t xml:space="preserve">Emergency Management and Homeland security  </w:t>
      </w:r>
    </w:p>
    <w:p w:rsidR="00F70ACF" w:rsidRDefault="0018774F" w:rsidP="00242AC2">
      <w:pPr>
        <w:spacing w:before="120" w:after="120"/>
      </w:pPr>
      <w:r w:rsidRPr="0018774F">
        <w:t xml:space="preserve">The DEMHS </w:t>
      </w:r>
      <w:r w:rsidRPr="002B53C4">
        <w:rPr>
          <w:i/>
        </w:rPr>
        <w:t>Office of Emergency Management</w:t>
      </w:r>
      <w:r w:rsidR="002B53C4">
        <w:rPr>
          <w:i/>
        </w:rPr>
        <w:t xml:space="preserve"> (OEM)</w:t>
      </w:r>
      <w:r w:rsidRPr="0018774F">
        <w:t xml:space="preserve"> is headed by the </w:t>
      </w:r>
      <w:r w:rsidR="002B53C4">
        <w:t>s</w:t>
      </w:r>
      <w:r w:rsidR="001437B7">
        <w:t>tate</w:t>
      </w:r>
      <w:r w:rsidR="002B53C4">
        <w:t xml:space="preserve"> emergency m</w:t>
      </w:r>
      <w:r w:rsidRPr="0018774F">
        <w:t xml:space="preserve">anagement </w:t>
      </w:r>
      <w:r w:rsidR="002B53C4">
        <w:t>d</w:t>
      </w:r>
      <w:r w:rsidR="00F70ACF">
        <w:t>irector.</w:t>
      </w:r>
      <w:r w:rsidRPr="0018774F">
        <w:t xml:space="preserve"> </w:t>
      </w:r>
    </w:p>
    <w:p w:rsidR="0018774F" w:rsidRPr="0018774F" w:rsidRDefault="0018774F" w:rsidP="00242AC2">
      <w:pPr>
        <w:spacing w:before="120" w:after="120"/>
      </w:pPr>
      <w:r w:rsidRPr="0018774F">
        <w:t xml:space="preserve">The </w:t>
      </w:r>
      <w:r w:rsidR="002B53C4" w:rsidRPr="002B53C4">
        <w:t>OEM</w:t>
      </w:r>
      <w:r w:rsidRPr="0018774F">
        <w:t xml:space="preserve"> is divided into the following units:</w:t>
      </w:r>
    </w:p>
    <w:p w:rsidR="0018774F" w:rsidRPr="0018774F" w:rsidRDefault="002B53C4" w:rsidP="0018774F">
      <w:pPr>
        <w:pStyle w:val="ListParagraph"/>
        <w:numPr>
          <w:ilvl w:val="0"/>
          <w:numId w:val="22"/>
        </w:numPr>
        <w:spacing w:after="0"/>
      </w:pPr>
      <w:r>
        <w:t>Operations, training and e</w:t>
      </w:r>
      <w:r w:rsidR="0018774F" w:rsidRPr="0018774F">
        <w:t>xercis</w:t>
      </w:r>
      <w:r w:rsidR="00F70ACF">
        <w:t>e including</w:t>
      </w:r>
      <w:r>
        <w:t xml:space="preserve"> five DEMHS regional offices; training; urban search and rescue team; w</w:t>
      </w:r>
      <w:r w:rsidR="0018774F" w:rsidRPr="0018774F">
        <w:t xml:space="preserve">eb </w:t>
      </w:r>
      <w:r>
        <w:t>emergency operations center</w:t>
      </w:r>
      <w:r w:rsidR="0018774F" w:rsidRPr="0018774F">
        <w:t xml:space="preserve">; </w:t>
      </w:r>
    </w:p>
    <w:p w:rsidR="0018774F" w:rsidRPr="0018774F" w:rsidRDefault="002B53C4" w:rsidP="0018774F">
      <w:pPr>
        <w:pStyle w:val="ListParagraph"/>
        <w:numPr>
          <w:ilvl w:val="0"/>
          <w:numId w:val="22"/>
        </w:numPr>
        <w:spacing w:after="0"/>
      </w:pPr>
      <w:r>
        <w:t>All-hazards p</w:t>
      </w:r>
      <w:r w:rsidR="0018774F" w:rsidRPr="0018774F">
        <w:t xml:space="preserve">lanning, including </w:t>
      </w:r>
      <w:r>
        <w:t>regional p</w:t>
      </w:r>
      <w:r w:rsidR="0018774F" w:rsidRPr="0018774F">
        <w:t xml:space="preserve">lanning, </w:t>
      </w:r>
      <w:r>
        <w:t>radiological p</w:t>
      </w:r>
      <w:r w:rsidR="0018774F" w:rsidRPr="0018774F">
        <w:t xml:space="preserve">reparedness, and </w:t>
      </w:r>
      <w:r>
        <w:t>recovery u</w:t>
      </w:r>
      <w:r w:rsidR="0018774F" w:rsidRPr="0018774F">
        <w:t>nits;</w:t>
      </w:r>
    </w:p>
    <w:p w:rsidR="002B53C4" w:rsidRDefault="00F70ACF" w:rsidP="002B53C4">
      <w:pPr>
        <w:pStyle w:val="ListParagraph"/>
        <w:numPr>
          <w:ilvl w:val="0"/>
          <w:numId w:val="22"/>
        </w:numPr>
        <w:spacing w:after="0"/>
      </w:pPr>
      <w:r>
        <w:t xml:space="preserve">Strategic planning and </w:t>
      </w:r>
      <w:r w:rsidR="002B53C4">
        <w:t>c</w:t>
      </w:r>
      <w:r>
        <w:t xml:space="preserve">ommunity </w:t>
      </w:r>
      <w:r w:rsidR="002B53C4">
        <w:t>p</w:t>
      </w:r>
      <w:r w:rsidR="0018774F" w:rsidRPr="0018774F">
        <w:t>re</w:t>
      </w:r>
      <w:r w:rsidR="002B53C4">
        <w:t>pared</w:t>
      </w:r>
      <w:r>
        <w:t xml:space="preserve">ness </w:t>
      </w:r>
      <w:r w:rsidR="002B53C4">
        <w:t>(in conjunction with operational p</w:t>
      </w:r>
      <w:r>
        <w:t xml:space="preserve">lanning and </w:t>
      </w:r>
      <w:r w:rsidR="0018774F" w:rsidRPr="0018774F">
        <w:t xml:space="preserve">DESPP </w:t>
      </w:r>
      <w:r w:rsidR="002B53C4">
        <w:t>grants u</w:t>
      </w:r>
      <w:r w:rsidR="0018774F" w:rsidRPr="0018774F">
        <w:t>nit);</w:t>
      </w:r>
    </w:p>
    <w:p w:rsidR="0018774F" w:rsidRPr="0018774F" w:rsidRDefault="002B53C4" w:rsidP="002B53C4">
      <w:pPr>
        <w:pStyle w:val="ListParagraph"/>
        <w:numPr>
          <w:ilvl w:val="0"/>
          <w:numId w:val="22"/>
        </w:numPr>
        <w:spacing w:after="0"/>
      </w:pPr>
      <w:r>
        <w:t>Field support c</w:t>
      </w:r>
      <w:r w:rsidR="00F70ACF">
        <w:t xml:space="preserve">oordination which </w:t>
      </w:r>
      <w:r w:rsidR="0018774F" w:rsidRPr="0018774F">
        <w:t>includes su</w:t>
      </w:r>
      <w:r>
        <w:t>pply and operation of c</w:t>
      </w:r>
      <w:r w:rsidR="0018774F" w:rsidRPr="0018774F">
        <w:t>ommunications equipment, Geosp</w:t>
      </w:r>
      <w:r w:rsidR="00F70ACF">
        <w:t>atial Information Systems (GIS)</w:t>
      </w:r>
      <w:r w:rsidR="0018774F" w:rsidRPr="0018774F">
        <w:t>.</w:t>
      </w:r>
    </w:p>
    <w:p w:rsidR="0018774F" w:rsidRPr="0018774F" w:rsidRDefault="0018774F" w:rsidP="0018774F">
      <w:pPr>
        <w:spacing w:after="0"/>
        <w:ind w:left="-180"/>
      </w:pPr>
    </w:p>
    <w:p w:rsidR="0018774F" w:rsidRPr="0018774F" w:rsidRDefault="0018774F" w:rsidP="00242AC2">
      <w:pPr>
        <w:spacing w:before="120" w:after="120"/>
      </w:pPr>
      <w:r w:rsidRPr="00281188">
        <w:t>The</w:t>
      </w:r>
      <w:r w:rsidRPr="004B72C0">
        <w:rPr>
          <w:i/>
        </w:rPr>
        <w:t xml:space="preserve"> </w:t>
      </w:r>
      <w:r w:rsidRPr="00F33E44">
        <w:t>DEMHS Office of Counter Terrorism</w:t>
      </w:r>
      <w:r w:rsidR="002B53C4" w:rsidRPr="00F33E44">
        <w:t xml:space="preserve"> (OCT)</w:t>
      </w:r>
      <w:r w:rsidR="002B53C4">
        <w:t xml:space="preserve"> is headed by the director of the C</w:t>
      </w:r>
      <w:r w:rsidRPr="0018774F">
        <w:t xml:space="preserve">onnecticut </w:t>
      </w:r>
      <w:r w:rsidR="002B53C4">
        <w:t>intelligence c</w:t>
      </w:r>
      <w:r w:rsidRPr="0018774F">
        <w:t>enter</w:t>
      </w:r>
      <w:r w:rsidR="00F70ACF">
        <w:t xml:space="preserve">.  </w:t>
      </w:r>
      <w:r w:rsidRPr="0018774F">
        <w:t xml:space="preserve">The purpose of the </w:t>
      </w:r>
      <w:r w:rsidRPr="002B53C4">
        <w:t xml:space="preserve">OCT </w:t>
      </w:r>
      <w:r w:rsidRPr="0018774F">
        <w:t xml:space="preserve">includes maintaining and operating the Connecticut Intelligence Center (CTIC), including coordinating the collection, analysis and distribution of information and security warnings to </w:t>
      </w:r>
      <w:r w:rsidR="001437B7">
        <w:t>state</w:t>
      </w:r>
      <w:r w:rsidRPr="0018774F">
        <w:t xml:space="preserve"> and local government personnel, agencies and authorities, and the general public; establishing standards and protocols for the use of any intelligence information, and; working with federal, </w:t>
      </w:r>
      <w:r w:rsidR="001437B7">
        <w:t>state</w:t>
      </w:r>
      <w:r w:rsidRPr="0018774F">
        <w:t xml:space="preserve">, local, and private sector representatives on intelligence and critical infrastructure issues.  </w:t>
      </w:r>
    </w:p>
    <w:p w:rsidR="0018774F" w:rsidRPr="0018774F" w:rsidRDefault="002B53C4" w:rsidP="00242AC2">
      <w:pPr>
        <w:spacing w:before="120" w:after="120"/>
      </w:pPr>
      <w:r w:rsidRPr="00F33E44">
        <w:t xml:space="preserve">The </w:t>
      </w:r>
      <w:r w:rsidR="0018774F" w:rsidRPr="00F33E44">
        <w:t>Connecticut Intelligence Center Unit (CTIC)</w:t>
      </w:r>
      <w:r w:rsidR="0018774F" w:rsidRPr="0018774F">
        <w:t xml:space="preserve"> includes a co-located team of federal, </w:t>
      </w:r>
      <w:r w:rsidR="001437B7">
        <w:t>state</w:t>
      </w:r>
      <w:r w:rsidR="0018774F" w:rsidRPr="0018774F">
        <w:t xml:space="preserve"> and local</w:t>
      </w:r>
      <w:r w:rsidR="00F70ACF">
        <w:t xml:space="preserve"> officers.</w:t>
      </w:r>
      <w:r w:rsidR="0018774F" w:rsidRPr="0018774F">
        <w:t xml:space="preserve"> </w:t>
      </w:r>
      <w:r w:rsidR="00F70ACF">
        <w:t xml:space="preserve"> </w:t>
      </w:r>
      <w:r w:rsidR="0018774F" w:rsidRPr="0018774F">
        <w:t xml:space="preserve">The CTIC collects, analyzes and disseminates both criminal and terrorism-related intelligence to law enforcement officials throughout the </w:t>
      </w:r>
      <w:r w:rsidR="001437B7">
        <w:t>state</w:t>
      </w:r>
      <w:r w:rsidR="0018774F" w:rsidRPr="0018774F">
        <w:t>, and pertinent vetted information to authorized and appropriate agencies within the first responder and private sectors.  CTIC staff includes 5 regional intelligence officers</w:t>
      </w:r>
      <w:r w:rsidR="00F70ACF">
        <w:t xml:space="preserve"> </w:t>
      </w:r>
      <w:r w:rsidR="0018774F" w:rsidRPr="0018774F">
        <w:t>corresponding to the</w:t>
      </w:r>
      <w:r w:rsidR="00F70ACF">
        <w:t xml:space="preserve"> five DEMHS regions</w:t>
      </w:r>
      <w:r w:rsidR="0018774F" w:rsidRPr="0018774F">
        <w:t>.  CTIC operates under a privacy, civil rights, and civil liberties protection policy.</w:t>
      </w:r>
    </w:p>
    <w:p w:rsidR="0018774F" w:rsidRPr="0018774F" w:rsidRDefault="0018774F" w:rsidP="00242AC2">
      <w:pPr>
        <w:spacing w:before="120" w:after="120"/>
      </w:pPr>
      <w:r w:rsidRPr="00281188">
        <w:t xml:space="preserve">The </w:t>
      </w:r>
      <w:r w:rsidRPr="00F33E44">
        <w:t>Critical Infrastructure (CI) Unit</w:t>
      </w:r>
      <w:r w:rsidRPr="0018774F">
        <w:t xml:space="preserve"> within CTIC works to assess and protect Connecticut’s public and private critical infrastructure assets and key resources, both phys</w:t>
      </w:r>
      <w:r w:rsidR="00F33E44">
        <w:t xml:space="preserve">ical and cyber-based, </w:t>
      </w:r>
      <w:r w:rsidR="00F33E44" w:rsidRPr="0018774F">
        <w:t>which</w:t>
      </w:r>
      <w:r w:rsidRPr="0018774F">
        <w:t xml:space="preserve"> are essential to maintaining minimal operational capabilities of government</w:t>
      </w:r>
      <w:r w:rsidR="00F70ACF">
        <w:t>.</w:t>
      </w:r>
      <w:r w:rsidR="002B53C4">
        <w:t xml:space="preserve">  The CI u</w:t>
      </w:r>
      <w:r w:rsidRPr="0018774F">
        <w:t xml:space="preserve">nit also works with the OEM and the </w:t>
      </w:r>
      <w:r w:rsidR="002B53C4">
        <w:t>s</w:t>
      </w:r>
      <w:r w:rsidR="001437B7">
        <w:t>tate</w:t>
      </w:r>
      <w:r w:rsidRPr="0018774F">
        <w:t xml:space="preserve"> </w:t>
      </w:r>
      <w:r w:rsidR="002B53C4">
        <w:t>emergency operations c</w:t>
      </w:r>
      <w:r w:rsidRPr="0018774F">
        <w:t xml:space="preserve">enter during emergencies to assist in preparedness, response, protection and recovery issues related to the </w:t>
      </w:r>
      <w:r w:rsidR="001437B7">
        <w:t>state</w:t>
      </w:r>
      <w:r w:rsidRPr="0018774F">
        <w:t xml:space="preserve">’s critical infrastructure.   </w:t>
      </w:r>
    </w:p>
    <w:p w:rsidR="0018774F" w:rsidRPr="0018774F" w:rsidRDefault="0018774F" w:rsidP="00242AC2">
      <w:pPr>
        <w:spacing w:before="120" w:after="120"/>
      </w:pPr>
      <w:r w:rsidRPr="00281188">
        <w:t>The</w:t>
      </w:r>
      <w:r w:rsidRPr="004B72C0">
        <w:rPr>
          <w:i/>
        </w:rPr>
        <w:t xml:space="preserve"> </w:t>
      </w:r>
      <w:r w:rsidRPr="00F33E44">
        <w:t>Joint Terrorism Task Force</w:t>
      </w:r>
      <w:r w:rsidRPr="0018774F">
        <w:t xml:space="preserve"> is a Federal</w:t>
      </w:r>
      <w:r w:rsidR="00E03BA8">
        <w:t xml:space="preserve"> Bureau of Investigation (FBI) task f</w:t>
      </w:r>
      <w:r w:rsidRPr="0018774F">
        <w:t>orce to which OCT personnel are assigned.</w:t>
      </w:r>
    </w:p>
    <w:p w:rsidR="005D218B" w:rsidRDefault="0038191B" w:rsidP="00242AC2">
      <w:pPr>
        <w:spacing w:after="0"/>
        <w:sectPr w:rsidR="005D218B" w:rsidSect="00D73ECB">
          <w:headerReference w:type="even" r:id="rId22"/>
          <w:headerReference w:type="default" r:id="rId23"/>
          <w:headerReference w:type="first" r:id="rId24"/>
          <w:type w:val="continuous"/>
          <w:pgSz w:w="12240" w:h="15840" w:code="1"/>
          <w:pgMar w:top="864" w:right="720" w:bottom="1152" w:left="720" w:header="432" w:footer="288" w:gutter="216"/>
          <w:cols w:num="2" w:space="720"/>
          <w:docGrid w:linePitch="360"/>
        </w:sectPr>
      </w:pPr>
      <w:r>
        <w:t xml:space="preserve"> </w:t>
      </w:r>
    </w:p>
    <w:p w:rsidR="00570068" w:rsidRDefault="00570068" w:rsidP="005D218B">
      <w:pPr>
        <w:spacing w:after="0"/>
        <w:ind w:left="-180"/>
      </w:pPr>
    </w:p>
    <w:p w:rsidR="009A20EA" w:rsidRDefault="001A2BD3" w:rsidP="00242AC2">
      <w:pPr>
        <w:pStyle w:val="ProgramHead"/>
        <w:spacing w:before="0"/>
      </w:pPr>
      <w:r>
        <w:fldChar w:fldCharType="begin"/>
      </w:r>
      <w:r w:rsidR="009A20EA">
        <w:instrText xml:space="preserve"> XE "</w:instrText>
      </w:r>
      <w:r w:rsidR="009A20EA" w:rsidRPr="00F92740">
        <w:instrText>DPS32000</w:instrText>
      </w:r>
      <w:r w:rsidR="009A20EA">
        <w:instrText xml:space="preserve"> 15000" </w:instrText>
      </w:r>
      <w:r>
        <w:fldChar w:fldCharType="end"/>
      </w:r>
      <w:r w:rsidR="00AC04B8">
        <w:t xml:space="preserve">Division of </w:t>
      </w:r>
      <w:r w:rsidR="009A20EA">
        <w:t>Police Officer Standards and Training</w:t>
      </w:r>
    </w:p>
    <w:p w:rsidR="009A20EA" w:rsidRPr="00CE5741" w:rsidRDefault="009A20EA" w:rsidP="00242AC2">
      <w:pPr>
        <w:sectPr w:rsidR="009A20EA" w:rsidRPr="00CE5741" w:rsidSect="00D73ECB">
          <w:type w:val="continuous"/>
          <w:pgSz w:w="12240" w:h="15840" w:code="1"/>
          <w:pgMar w:top="864" w:right="720" w:bottom="1152" w:left="720" w:header="432" w:footer="288" w:gutter="216"/>
          <w:cols w:space="720"/>
          <w:docGrid w:linePitch="360"/>
        </w:sectPr>
      </w:pPr>
    </w:p>
    <w:p w:rsidR="009A20EA" w:rsidRDefault="009A20EA" w:rsidP="00242AC2">
      <w:pPr>
        <w:pStyle w:val="Heading2"/>
        <w:spacing w:before="0"/>
      </w:pPr>
      <w:r>
        <w:t>Statutory Reference</w:t>
      </w:r>
    </w:p>
    <w:p w:rsidR="009A20EA" w:rsidRDefault="009A20EA" w:rsidP="00242AC2">
      <w:pPr>
        <w:spacing w:after="0"/>
      </w:pPr>
      <w:r>
        <w:t>C.G.S. Sec</w:t>
      </w:r>
      <w:r w:rsidR="0018774F">
        <w:t>t</w:t>
      </w:r>
      <w:r>
        <w:t>ions 7-29 through 7-294aa</w:t>
      </w:r>
      <w:r w:rsidR="00F70ACF">
        <w:t>.</w:t>
      </w:r>
    </w:p>
    <w:p w:rsidR="009A20EA" w:rsidRPr="00F92740" w:rsidRDefault="009A20EA" w:rsidP="00242AC2">
      <w:pPr>
        <w:spacing w:after="0"/>
      </w:pPr>
    </w:p>
    <w:p w:rsidR="009A20EA" w:rsidRPr="00E3471F" w:rsidRDefault="001437B7" w:rsidP="00242AC2">
      <w:pPr>
        <w:pStyle w:val="Heading2"/>
        <w:spacing w:before="0"/>
      </w:pPr>
      <w:r>
        <w:t>State</w:t>
      </w:r>
      <w:r w:rsidR="009A20EA" w:rsidRPr="00E3471F">
        <w:t xml:space="preserve">ment of Need and Program Objectives </w:t>
      </w:r>
    </w:p>
    <w:p w:rsidR="009A20EA" w:rsidRPr="009A20EA" w:rsidRDefault="009A20EA" w:rsidP="00242AC2">
      <w:pPr>
        <w:spacing w:after="0"/>
      </w:pPr>
      <w:r w:rsidRPr="009A20EA">
        <w:t xml:space="preserve">To provide the necessary standards, training and education for police officers to acquire and maintain </w:t>
      </w:r>
      <w:r w:rsidR="001437B7">
        <w:t>state</w:t>
      </w:r>
      <w:r w:rsidRPr="009A20EA">
        <w:t xml:space="preserve"> certification which is necessary to perform their police duties and maintain their position as police officers.</w:t>
      </w:r>
      <w:r w:rsidR="00F70ACF">
        <w:t xml:space="preserve">  </w:t>
      </w:r>
      <w:r w:rsidRPr="009A20EA">
        <w:t>To identify, design, provide and evaluate specialized training that responds to and anticipates police needs.</w:t>
      </w:r>
      <w:r w:rsidR="00F70ACF">
        <w:t xml:space="preserve">  </w:t>
      </w:r>
      <w:r w:rsidRPr="009A20EA">
        <w:t>To administer and control the agency's management and operations to ensure prudent and efficient use of agency appropriations and resources and to administer the affairs of a vocational training and education academy.</w:t>
      </w:r>
    </w:p>
    <w:p w:rsidR="009A20EA" w:rsidRDefault="009A20EA" w:rsidP="00242AC2">
      <w:pPr>
        <w:spacing w:after="0"/>
      </w:pPr>
    </w:p>
    <w:p w:rsidR="009A20EA" w:rsidRDefault="009A20EA" w:rsidP="00242AC2">
      <w:pPr>
        <w:pStyle w:val="Heading2"/>
        <w:spacing w:before="0"/>
      </w:pPr>
      <w:r>
        <w:t>P</w:t>
      </w:r>
      <w:r w:rsidRPr="00EF482B">
        <w:t>rogram Description</w:t>
      </w:r>
    </w:p>
    <w:p w:rsidR="00AC04B8" w:rsidRPr="00AC04B8" w:rsidRDefault="00AC04B8" w:rsidP="00242AC2">
      <w:pPr>
        <w:spacing w:after="0"/>
      </w:pPr>
      <w:r w:rsidRPr="00AC04B8">
        <w:t xml:space="preserve">This program is responsible for the design and delivery of training mandated by </w:t>
      </w:r>
      <w:r w:rsidR="001437B7">
        <w:t>state</w:t>
      </w:r>
      <w:r w:rsidRPr="00AC04B8">
        <w:t xml:space="preserve"> statute, regulation, or professional development needs of Connecticut's law enforcement community.  </w:t>
      </w:r>
    </w:p>
    <w:p w:rsidR="00AC04B8" w:rsidRPr="00AC04B8" w:rsidRDefault="00AC04B8" w:rsidP="00242AC2">
      <w:pPr>
        <w:spacing w:after="0"/>
      </w:pPr>
    </w:p>
    <w:p w:rsidR="00AC04B8" w:rsidRPr="00AC04B8" w:rsidRDefault="00AC04B8" w:rsidP="00242AC2">
      <w:pPr>
        <w:spacing w:after="0"/>
      </w:pPr>
      <w:r w:rsidRPr="00AC04B8">
        <w:t>The program provides to, or oversees for, every newly appointed police officer, the basic police officer trai</w:t>
      </w:r>
      <w:r w:rsidR="00E03BA8">
        <w:t>ning course at the Connecticut p</w:t>
      </w:r>
      <w:r w:rsidRPr="00AC04B8">
        <w:t xml:space="preserve">olice </w:t>
      </w:r>
      <w:r w:rsidR="00E03BA8">
        <w:t>a</w:t>
      </w:r>
      <w:r w:rsidRPr="00AC04B8">
        <w:t>cademy and/or at satellite loca</w:t>
      </w:r>
      <w:r w:rsidR="00F70ACF">
        <w:t>tions.  The agency manages the c</w:t>
      </w:r>
      <w:r w:rsidRPr="00AC04B8">
        <w:t>ouncil's yearly agenda.</w:t>
      </w:r>
    </w:p>
    <w:p w:rsidR="00AC04B8" w:rsidRPr="00AC04B8" w:rsidRDefault="00AC04B8" w:rsidP="00242AC2">
      <w:pPr>
        <w:spacing w:after="0"/>
      </w:pPr>
    </w:p>
    <w:p w:rsidR="00AC04B8" w:rsidRPr="00AC04B8" w:rsidRDefault="00AC04B8" w:rsidP="00242AC2">
      <w:pPr>
        <w:spacing w:after="0"/>
      </w:pPr>
      <w:r w:rsidRPr="00281188">
        <w:t>The</w:t>
      </w:r>
      <w:r w:rsidRPr="00E03BA8">
        <w:rPr>
          <w:i/>
        </w:rPr>
        <w:t xml:space="preserve"> </w:t>
      </w:r>
      <w:r w:rsidRPr="00F33E44">
        <w:t>Certification Division</w:t>
      </w:r>
      <w:r w:rsidRPr="00AC04B8">
        <w:t xml:space="preserve">, issues basic police officer licenses and audits training records to justify renewing </w:t>
      </w:r>
      <w:r w:rsidR="00E03BA8">
        <w:t xml:space="preserve">licenses on a triennial basis.  </w:t>
      </w:r>
      <w:r w:rsidRPr="00AC04B8">
        <w:t xml:space="preserve">The division also licenses and audits law enforcement instructors and schools of basic and advanced police training, grants comparative certification when appropriate and cancels or revokes certification when necessary. </w:t>
      </w:r>
    </w:p>
    <w:p w:rsidR="001E52CC" w:rsidRDefault="001E52CC" w:rsidP="00242AC2">
      <w:pPr>
        <w:spacing w:after="0"/>
        <w:sectPr w:rsidR="001E52CC" w:rsidSect="00D73ECB">
          <w:headerReference w:type="even" r:id="rId25"/>
          <w:headerReference w:type="default" r:id="rId26"/>
          <w:headerReference w:type="first" r:id="rId27"/>
          <w:type w:val="continuous"/>
          <w:pgSz w:w="12240" w:h="15840" w:code="1"/>
          <w:pgMar w:top="864" w:right="720" w:bottom="1152" w:left="720" w:header="432" w:footer="288" w:gutter="216"/>
          <w:cols w:num="2" w:space="720"/>
          <w:docGrid w:linePitch="360"/>
        </w:sectPr>
      </w:pPr>
    </w:p>
    <w:p w:rsidR="001E52CC" w:rsidRDefault="001E52CC" w:rsidP="00242AC2">
      <w:pPr>
        <w:spacing w:after="0"/>
      </w:pPr>
    </w:p>
    <w:p w:rsidR="00A1526F" w:rsidRDefault="001A2BD3" w:rsidP="00242AC2">
      <w:pPr>
        <w:pStyle w:val="ProgramHead"/>
        <w:spacing w:before="0"/>
      </w:pPr>
      <w:r>
        <w:fldChar w:fldCharType="begin"/>
      </w:r>
      <w:r w:rsidR="00A1526F">
        <w:instrText xml:space="preserve"> XE "</w:instrText>
      </w:r>
      <w:r w:rsidR="00A1526F" w:rsidRPr="00F92740">
        <w:instrText>DPS32000</w:instrText>
      </w:r>
      <w:r w:rsidR="00A1526F">
        <w:instrText xml:space="preserve"> 16000" </w:instrText>
      </w:r>
      <w:r>
        <w:fldChar w:fldCharType="end"/>
      </w:r>
      <w:r w:rsidR="00A1526F">
        <w:t>Division of Fire Prevention and Control</w:t>
      </w:r>
      <w:r w:rsidR="0018774F">
        <w:t xml:space="preserve"> / Connecticut Fire Academy</w:t>
      </w:r>
    </w:p>
    <w:p w:rsidR="00A1526F" w:rsidRPr="00CE5741" w:rsidRDefault="00A1526F" w:rsidP="00242AC2">
      <w:pPr>
        <w:sectPr w:rsidR="00A1526F" w:rsidRPr="00CE5741" w:rsidSect="00D73ECB">
          <w:type w:val="continuous"/>
          <w:pgSz w:w="12240" w:h="15840" w:code="1"/>
          <w:pgMar w:top="864" w:right="720" w:bottom="1152" w:left="720" w:header="432" w:footer="288" w:gutter="216"/>
          <w:cols w:space="720"/>
          <w:docGrid w:linePitch="360"/>
        </w:sectPr>
      </w:pPr>
    </w:p>
    <w:p w:rsidR="00A1526F" w:rsidRDefault="00A1526F" w:rsidP="00242AC2">
      <w:pPr>
        <w:pStyle w:val="Heading2"/>
        <w:spacing w:before="0"/>
      </w:pPr>
      <w:r>
        <w:t>Statutory Reference</w:t>
      </w:r>
    </w:p>
    <w:p w:rsidR="00A1526F" w:rsidRDefault="00A1526F" w:rsidP="00242AC2">
      <w:pPr>
        <w:spacing w:after="0"/>
      </w:pPr>
      <w:r>
        <w:t>C.G.S. Sec</w:t>
      </w:r>
      <w:r w:rsidR="0018774F">
        <w:t>t</w:t>
      </w:r>
      <w:r>
        <w:t>ions 7-</w:t>
      </w:r>
      <w:r w:rsidR="0018774F">
        <w:t>323 (j)-(p)</w:t>
      </w:r>
      <w:r w:rsidR="00F70ACF">
        <w:t>.</w:t>
      </w:r>
    </w:p>
    <w:p w:rsidR="00A1526F" w:rsidRPr="00F92740" w:rsidRDefault="00A1526F" w:rsidP="00242AC2">
      <w:pPr>
        <w:spacing w:after="0"/>
      </w:pPr>
    </w:p>
    <w:p w:rsidR="00A1526F" w:rsidRPr="00E3471F" w:rsidRDefault="001437B7" w:rsidP="00242AC2">
      <w:pPr>
        <w:pStyle w:val="Heading2"/>
        <w:spacing w:before="0"/>
      </w:pPr>
      <w:r>
        <w:t>State</w:t>
      </w:r>
      <w:r w:rsidR="00A1526F" w:rsidRPr="00E3471F">
        <w:t xml:space="preserve">ment of Need and Program Objectives </w:t>
      </w:r>
    </w:p>
    <w:p w:rsidR="0018774F" w:rsidRPr="0018774F" w:rsidRDefault="0018774F" w:rsidP="00242AC2">
      <w:pPr>
        <w:spacing w:after="0"/>
      </w:pPr>
      <w:r w:rsidRPr="0018774F">
        <w:t>To reduce death, injury and property damage due to fire, accidents, natural and man-made disasters by raising the fire and life safety education awareness level of the public and by increasing the proficiency of firefighters through education, training, certification and technical assistance programs.</w:t>
      </w:r>
    </w:p>
    <w:p w:rsidR="00A1526F" w:rsidRDefault="00A1526F" w:rsidP="00242AC2">
      <w:pPr>
        <w:spacing w:after="0"/>
      </w:pPr>
    </w:p>
    <w:p w:rsidR="00A1526F" w:rsidRDefault="00A1526F" w:rsidP="00242AC2">
      <w:pPr>
        <w:pStyle w:val="Heading2"/>
        <w:spacing w:before="0"/>
      </w:pPr>
      <w:r>
        <w:t>P</w:t>
      </w:r>
      <w:r w:rsidRPr="00EF482B">
        <w:t>rogram Description</w:t>
      </w:r>
    </w:p>
    <w:p w:rsidR="0018774F" w:rsidRPr="0018774F" w:rsidRDefault="0018774F" w:rsidP="00F70ACF">
      <w:pPr>
        <w:spacing w:after="0"/>
      </w:pPr>
      <w:r w:rsidRPr="0018774F">
        <w:t xml:space="preserve">The three major activities of the Office of </w:t>
      </w:r>
      <w:r w:rsidR="001437B7">
        <w:t>State</w:t>
      </w:r>
      <w:r w:rsidRPr="0018774F">
        <w:t xml:space="preserve"> Fire Administration are training, professional certification and information/assistance services to the fire protection community and public.</w:t>
      </w:r>
    </w:p>
    <w:p w:rsidR="0018774F" w:rsidRPr="0018774F" w:rsidRDefault="0018774F" w:rsidP="00242AC2">
      <w:pPr>
        <w:spacing w:before="120" w:after="120"/>
      </w:pPr>
      <w:r w:rsidRPr="00F33E44">
        <w:t>The Training Division</w:t>
      </w:r>
      <w:r w:rsidRPr="0018774F">
        <w:t xml:space="preserve"> of the Connecticut Fire Academy offers in excess of 100 individual training programs available to fire departments.  Fire service personnel i</w:t>
      </w:r>
      <w:r w:rsidR="00E03BA8">
        <w:t>n Connecticut can choose from: firefighter, instructor, officer, hazardous materials t</w:t>
      </w:r>
      <w:r w:rsidRPr="0018774F">
        <w:t>ec</w:t>
      </w:r>
      <w:r w:rsidR="00E03BA8">
        <w:t>hnician, technical rescue, apparatus operator, and terrorism p</w:t>
      </w:r>
      <w:r w:rsidRPr="0018774F">
        <w:t>reparedness along with numerous special fire officer seminars and technical specialty courses compliant with the National Incident Management System (NIMS).</w:t>
      </w:r>
    </w:p>
    <w:p w:rsidR="0018774F" w:rsidRPr="0018774F" w:rsidRDefault="0018774F" w:rsidP="00242AC2">
      <w:pPr>
        <w:spacing w:before="120" w:after="120"/>
      </w:pPr>
      <w:r w:rsidRPr="0018774F">
        <w:t>Each program has a complete curriculum, some of which are disseminated to the nine independent regional fire schools and local fire departments saving thousands of dollars in local curriculum development expenses and reducing duplication of effort.</w:t>
      </w:r>
    </w:p>
    <w:p w:rsidR="0018774F" w:rsidRPr="0018774F" w:rsidRDefault="0018774F" w:rsidP="00242AC2">
      <w:pPr>
        <w:spacing w:before="120" w:after="120"/>
      </w:pPr>
      <w:r w:rsidRPr="0018774F">
        <w:t xml:space="preserve">The Connecticut Fire Academy, a </w:t>
      </w:r>
      <w:r w:rsidR="001437B7">
        <w:t>state</w:t>
      </w:r>
      <w:r w:rsidRPr="0018774F">
        <w:t>-of-the-art training facility, began operation in February 1994 and serves as the focal point for fire service training and education.  Hands-on and technical/specialty training programs are conducted at this facility.  A facility expansion during FY</w:t>
      </w:r>
      <w:r w:rsidR="00F70ACF">
        <w:t xml:space="preserve"> 20</w:t>
      </w:r>
      <w:r w:rsidRPr="0018774F">
        <w:t xml:space="preserve">12 added a </w:t>
      </w:r>
      <w:r w:rsidR="00E03BA8">
        <w:t>class-</w:t>
      </w:r>
      <w:r w:rsidRPr="0018774F">
        <w:t xml:space="preserve">A </w:t>
      </w:r>
      <w:r w:rsidR="00E03BA8">
        <w:t>burn building and f</w:t>
      </w:r>
      <w:r w:rsidRPr="0018774F">
        <w:t xml:space="preserve">ire </w:t>
      </w:r>
      <w:r w:rsidR="00E03BA8">
        <w:t>station/maintenance g</w:t>
      </w:r>
      <w:r w:rsidRPr="0018774F">
        <w:t>arage allowing fire departments greater ac</w:t>
      </w:r>
      <w:r w:rsidR="00E03BA8">
        <w:t>cess and opportunities to meet occupational safety and h</w:t>
      </w:r>
      <w:r w:rsidRPr="0018774F">
        <w:t>ealth regulations.</w:t>
      </w:r>
    </w:p>
    <w:p w:rsidR="0018774F" w:rsidRPr="0018774F" w:rsidRDefault="0018774F" w:rsidP="00242AC2">
      <w:pPr>
        <w:spacing w:before="120" w:after="120"/>
      </w:pPr>
      <w:r w:rsidRPr="0018774F">
        <w:t xml:space="preserve">Many training programs are delivered in local facilities throughout the </w:t>
      </w:r>
      <w:r w:rsidR="001437B7">
        <w:t>state</w:t>
      </w:r>
      <w:r w:rsidRPr="0018774F">
        <w:t xml:space="preserve"> and are taught by per diem adjunct instructors making them readily available to all of Connecticut's 30,000 fire service personnel.</w:t>
      </w:r>
    </w:p>
    <w:p w:rsidR="0018774F" w:rsidRPr="0018774F" w:rsidRDefault="0018774F" w:rsidP="00242AC2">
      <w:pPr>
        <w:spacing w:before="120" w:after="120"/>
      </w:pPr>
      <w:r w:rsidRPr="00F33E44">
        <w:t>The Certification Division</w:t>
      </w:r>
      <w:r w:rsidRPr="0018774F">
        <w:t xml:space="preserve"> offers 32 levels of professional competency testing in accordance with nationally developed standards.  Certification is a voluntary program available to the </w:t>
      </w:r>
      <w:r w:rsidR="001437B7">
        <w:t>state</w:t>
      </w:r>
      <w:r w:rsidRPr="0018774F">
        <w:t xml:space="preserve">'s career and volunteer fire service.  Many fire departments mandate certification at the local level through by-law and </w:t>
      </w:r>
      <w:r w:rsidR="00E03BA8">
        <w:t>contractual requirements.  The commission is accredited by the national b</w:t>
      </w:r>
      <w:r w:rsidRPr="0018774F">
        <w:t xml:space="preserve">oard on </w:t>
      </w:r>
      <w:r w:rsidR="00E03BA8">
        <w:t>fire service p</w:t>
      </w:r>
      <w:r w:rsidRPr="0018774F">
        <w:t xml:space="preserve">rofessional </w:t>
      </w:r>
      <w:r w:rsidR="00E03BA8">
        <w:t>q</w:t>
      </w:r>
      <w:r w:rsidRPr="0018774F">
        <w:t xml:space="preserve">ualifications and the </w:t>
      </w:r>
      <w:r w:rsidR="00E03BA8">
        <w:t>i</w:t>
      </w:r>
      <w:r w:rsidRPr="0018774F">
        <w:t xml:space="preserve">nternational </w:t>
      </w:r>
      <w:r w:rsidR="00E03BA8">
        <w:t>fire service a</w:t>
      </w:r>
      <w:r w:rsidRPr="0018774F">
        <w:t xml:space="preserve">ccreditation </w:t>
      </w:r>
      <w:r w:rsidR="00E03BA8">
        <w:t>c</w:t>
      </w:r>
      <w:r w:rsidRPr="0018774F">
        <w:t>ongress.</w:t>
      </w:r>
    </w:p>
    <w:p w:rsidR="0018774F" w:rsidRPr="0018774F" w:rsidRDefault="0018774F" w:rsidP="00242AC2">
      <w:pPr>
        <w:spacing w:before="120" w:after="120"/>
      </w:pPr>
      <w:r w:rsidRPr="00F33E44">
        <w:t>Information and Assistance Services</w:t>
      </w:r>
      <w:r w:rsidRPr="0018774F">
        <w:t xml:space="preserve"> provide persons interested in fire prevention and control with access to a network of resources and provide services that are beyond the resources of many local fire departments, such as: </w:t>
      </w:r>
    </w:p>
    <w:p w:rsidR="0018774F" w:rsidRPr="0018774F" w:rsidRDefault="0018774F" w:rsidP="00242AC2">
      <w:pPr>
        <w:pStyle w:val="ListParagraph"/>
        <w:numPr>
          <w:ilvl w:val="0"/>
          <w:numId w:val="20"/>
        </w:numPr>
        <w:spacing w:before="120" w:after="120"/>
        <w:ind w:left="360"/>
      </w:pPr>
      <w:r w:rsidRPr="0018774F">
        <w:t>Free loan library of audio visual aids, books and reference materials on fire prevention and suppression.</w:t>
      </w:r>
    </w:p>
    <w:p w:rsidR="0018774F" w:rsidRPr="0018774F" w:rsidRDefault="0018774F" w:rsidP="00242AC2">
      <w:pPr>
        <w:pStyle w:val="ListParagraph"/>
        <w:numPr>
          <w:ilvl w:val="0"/>
          <w:numId w:val="20"/>
        </w:numPr>
        <w:spacing w:before="120" w:after="120"/>
        <w:ind w:left="360"/>
      </w:pPr>
      <w:r w:rsidRPr="0018774F">
        <w:t>Mailing and distribution lists maintained by audience.</w:t>
      </w:r>
    </w:p>
    <w:p w:rsidR="0018774F" w:rsidRPr="0018774F" w:rsidRDefault="0018774F" w:rsidP="00242AC2">
      <w:pPr>
        <w:pStyle w:val="ListParagraph"/>
        <w:numPr>
          <w:ilvl w:val="0"/>
          <w:numId w:val="20"/>
        </w:numPr>
        <w:spacing w:before="120" w:after="120"/>
        <w:ind w:left="360"/>
      </w:pPr>
      <w:r w:rsidRPr="0018774F">
        <w:t>Testing procedures for hiring or promoting fire service personnel.</w:t>
      </w:r>
    </w:p>
    <w:p w:rsidR="0018774F" w:rsidRPr="0018774F" w:rsidRDefault="0018774F" w:rsidP="00242AC2">
      <w:pPr>
        <w:pStyle w:val="ListParagraph"/>
        <w:numPr>
          <w:ilvl w:val="0"/>
          <w:numId w:val="20"/>
        </w:numPr>
        <w:spacing w:before="120" w:after="120"/>
        <w:ind w:left="360"/>
      </w:pPr>
      <w:r w:rsidRPr="0018774F">
        <w:t>Juvenile fire-setting intervention training and referrals.</w:t>
      </w:r>
    </w:p>
    <w:p w:rsidR="0018774F" w:rsidRPr="0018774F" w:rsidRDefault="0018774F" w:rsidP="00242AC2">
      <w:pPr>
        <w:pStyle w:val="ListParagraph"/>
        <w:numPr>
          <w:ilvl w:val="0"/>
          <w:numId w:val="20"/>
        </w:numPr>
        <w:spacing w:before="120" w:after="120"/>
        <w:ind w:left="360"/>
      </w:pPr>
      <w:r w:rsidRPr="0018774F">
        <w:t xml:space="preserve">Advise other </w:t>
      </w:r>
      <w:r w:rsidR="001437B7">
        <w:t>state</w:t>
      </w:r>
      <w:r w:rsidRPr="0018774F">
        <w:t xml:space="preserve"> agencies regarding the purchase of firefighting equipment and apparatus.</w:t>
      </w:r>
    </w:p>
    <w:p w:rsidR="0018774F" w:rsidRPr="0018774F" w:rsidRDefault="0018774F" w:rsidP="00242AC2">
      <w:pPr>
        <w:pStyle w:val="ListParagraph"/>
        <w:numPr>
          <w:ilvl w:val="0"/>
          <w:numId w:val="20"/>
        </w:numPr>
        <w:spacing w:before="120" w:after="120"/>
        <w:ind w:left="360"/>
      </w:pPr>
      <w:r w:rsidRPr="0018774F">
        <w:t>Fire safety education media campaigns and exhibits.</w:t>
      </w:r>
    </w:p>
    <w:p w:rsidR="0018774F" w:rsidRPr="0018774F" w:rsidRDefault="0018774F" w:rsidP="00242AC2">
      <w:pPr>
        <w:pStyle w:val="ListParagraph"/>
        <w:numPr>
          <w:ilvl w:val="0"/>
          <w:numId w:val="20"/>
        </w:numPr>
        <w:spacing w:before="120" w:after="120"/>
        <w:ind w:left="360"/>
      </w:pPr>
      <w:r w:rsidRPr="0018774F">
        <w:t>Public fire and life safety education resources available for loan to local communities.</w:t>
      </w:r>
    </w:p>
    <w:p w:rsidR="0018774F" w:rsidRPr="0018774F" w:rsidRDefault="0018774F" w:rsidP="00242AC2">
      <w:pPr>
        <w:pStyle w:val="ListParagraph"/>
        <w:numPr>
          <w:ilvl w:val="0"/>
          <w:numId w:val="20"/>
        </w:numPr>
        <w:spacing w:before="120" w:after="120"/>
        <w:ind w:left="360"/>
      </w:pPr>
      <w:r w:rsidRPr="0018774F">
        <w:t>Assist local communities with volunteer firefighter recruitment and retention efforts.</w:t>
      </w:r>
    </w:p>
    <w:p w:rsidR="0018774F" w:rsidRPr="0018774F" w:rsidRDefault="0018774F" w:rsidP="00242AC2">
      <w:pPr>
        <w:pStyle w:val="ListParagraph"/>
        <w:numPr>
          <w:ilvl w:val="0"/>
          <w:numId w:val="20"/>
        </w:numPr>
        <w:spacing w:before="120" w:after="120"/>
        <w:ind w:left="360"/>
      </w:pPr>
      <w:r w:rsidRPr="0018774F">
        <w:t xml:space="preserve">Administration of the </w:t>
      </w:r>
      <w:r w:rsidR="00E03BA8">
        <w:t>s</w:t>
      </w:r>
      <w:r w:rsidR="001437B7">
        <w:t>tate</w:t>
      </w:r>
      <w:r w:rsidR="00E03BA8">
        <w:t>wide f</w:t>
      </w:r>
      <w:r w:rsidRPr="0018774F">
        <w:t xml:space="preserve">ire </w:t>
      </w:r>
      <w:r w:rsidR="00E03BA8">
        <w:t>rescue disaster response p</w:t>
      </w:r>
      <w:r w:rsidRPr="0018774F">
        <w:t>lan.</w:t>
      </w:r>
    </w:p>
    <w:p w:rsidR="0018774F" w:rsidRPr="0018774F" w:rsidRDefault="0018774F" w:rsidP="00242AC2">
      <w:pPr>
        <w:pStyle w:val="ListParagraph"/>
        <w:numPr>
          <w:ilvl w:val="0"/>
          <w:numId w:val="20"/>
        </w:numPr>
        <w:spacing w:before="120" w:after="120"/>
        <w:ind w:left="360"/>
      </w:pPr>
      <w:r w:rsidRPr="0018774F">
        <w:t xml:space="preserve">Staff the </w:t>
      </w:r>
      <w:r w:rsidR="001437B7">
        <w:t>State</w:t>
      </w:r>
      <w:r w:rsidRPr="0018774F">
        <w:t>’s Emergency Operations Center (SEOC) with fire service liaisons during activations for disasters, exercises and other emergencies.</w:t>
      </w:r>
    </w:p>
    <w:p w:rsidR="0018774F" w:rsidRPr="0018774F" w:rsidRDefault="0018774F" w:rsidP="00242AC2">
      <w:pPr>
        <w:pStyle w:val="ListParagraph"/>
        <w:numPr>
          <w:ilvl w:val="0"/>
          <w:numId w:val="20"/>
        </w:numPr>
        <w:spacing w:before="120" w:after="120"/>
        <w:ind w:left="360"/>
      </w:pPr>
      <w:r w:rsidRPr="0018774F">
        <w:t xml:space="preserve">Support and coordination of the </w:t>
      </w:r>
      <w:r w:rsidR="00E03BA8">
        <w:t>regional f</w:t>
      </w:r>
      <w:r w:rsidRPr="0018774F">
        <w:t xml:space="preserve">oam </w:t>
      </w:r>
      <w:r w:rsidR="00E03BA8">
        <w:t>trailer p</w:t>
      </w:r>
      <w:r w:rsidRPr="0018774F">
        <w:t>rogram.</w:t>
      </w:r>
    </w:p>
    <w:p w:rsidR="00A1526F" w:rsidRDefault="00A1526F" w:rsidP="00A1526F">
      <w:pPr>
        <w:spacing w:after="0"/>
        <w:ind w:left="-180"/>
        <w:sectPr w:rsidR="00A1526F" w:rsidSect="00D73ECB">
          <w:headerReference w:type="even" r:id="rId28"/>
          <w:headerReference w:type="default" r:id="rId29"/>
          <w:headerReference w:type="first" r:id="rId30"/>
          <w:type w:val="continuous"/>
          <w:pgSz w:w="12240" w:h="15840" w:code="1"/>
          <w:pgMar w:top="864" w:right="720" w:bottom="1152" w:left="720" w:header="432" w:footer="288" w:gutter="216"/>
          <w:cols w:num="2" w:space="720"/>
          <w:docGrid w:linePitch="360"/>
        </w:sectPr>
      </w:pPr>
    </w:p>
    <w:p w:rsidR="009A20EA" w:rsidRDefault="009A20EA" w:rsidP="005D218B">
      <w:pPr>
        <w:spacing w:after="0"/>
        <w:ind w:left="-180"/>
      </w:pPr>
    </w:p>
    <w:p w:rsidR="00A86756" w:rsidRDefault="001A2BD3" w:rsidP="00242AC2">
      <w:pPr>
        <w:pStyle w:val="ProgramHead"/>
        <w:spacing w:before="0"/>
      </w:pPr>
      <w:r>
        <w:fldChar w:fldCharType="begin"/>
      </w:r>
      <w:r w:rsidR="00A86756">
        <w:instrText xml:space="preserve"> XE "</w:instrText>
      </w:r>
      <w:r w:rsidR="00A86756" w:rsidRPr="00F92740">
        <w:instrText>DPS32000</w:instrText>
      </w:r>
      <w:r w:rsidR="00A86756">
        <w:instrText xml:space="preserve"> 24003" </w:instrText>
      </w:r>
      <w:r>
        <w:fldChar w:fldCharType="end"/>
      </w:r>
      <w:r w:rsidR="00A86756">
        <w:t>Protective Services</w:t>
      </w:r>
    </w:p>
    <w:p w:rsidR="00A86756" w:rsidRPr="00CE5741" w:rsidRDefault="00A86756" w:rsidP="00242AC2">
      <w:pPr>
        <w:sectPr w:rsidR="00A86756" w:rsidRPr="00CE5741" w:rsidSect="00D73ECB">
          <w:type w:val="continuous"/>
          <w:pgSz w:w="12240" w:h="15840" w:code="1"/>
          <w:pgMar w:top="864" w:right="720" w:bottom="1152" w:left="720" w:header="432" w:footer="288" w:gutter="216"/>
          <w:cols w:space="720"/>
          <w:docGrid w:linePitch="360"/>
        </w:sectPr>
      </w:pPr>
    </w:p>
    <w:p w:rsidR="00A86756" w:rsidRDefault="00A86756" w:rsidP="00242AC2">
      <w:pPr>
        <w:pStyle w:val="Heading2"/>
        <w:spacing w:before="0"/>
      </w:pPr>
      <w:r>
        <w:t>Statutory Reference</w:t>
      </w:r>
    </w:p>
    <w:p w:rsidR="00A86756" w:rsidRDefault="00A86756" w:rsidP="00242AC2">
      <w:pPr>
        <w:spacing w:after="0"/>
      </w:pPr>
      <w:r>
        <w:t>C.G.S. Sections 29-5f</w:t>
      </w:r>
      <w:r w:rsidR="00F70ACF">
        <w:t>.</w:t>
      </w:r>
    </w:p>
    <w:p w:rsidR="00A86756" w:rsidRPr="00F92740" w:rsidRDefault="00A86756" w:rsidP="00242AC2">
      <w:pPr>
        <w:spacing w:after="0"/>
      </w:pPr>
    </w:p>
    <w:p w:rsidR="00A86756" w:rsidRDefault="00A86756" w:rsidP="00242AC2">
      <w:pPr>
        <w:pStyle w:val="Heading2"/>
        <w:spacing w:before="0"/>
      </w:pPr>
      <w:r>
        <w:t>P</w:t>
      </w:r>
      <w:r w:rsidRPr="00EF482B">
        <w:t>rogram Description</w:t>
      </w:r>
    </w:p>
    <w:p w:rsidR="00A86756" w:rsidRPr="00CF551B" w:rsidRDefault="00A86756" w:rsidP="00242AC2">
      <w:pPr>
        <w:spacing w:after="0"/>
      </w:pPr>
      <w:r w:rsidRPr="00E03BA8">
        <w:rPr>
          <w:i/>
        </w:rPr>
        <w:t>The Office of Protective Services</w:t>
      </w:r>
      <w:r w:rsidRPr="00A86756">
        <w:t xml:space="preserve"> contains the </w:t>
      </w:r>
      <w:r w:rsidRPr="00CF551B">
        <w:t>Governor’s Security Unit and the Dignitary Protection Unit.</w:t>
      </w:r>
    </w:p>
    <w:p w:rsidR="00A86756" w:rsidRPr="00A86756" w:rsidRDefault="00F70ACF" w:rsidP="00242AC2">
      <w:pPr>
        <w:spacing w:after="0"/>
      </w:pPr>
      <w:r>
        <w:t xml:space="preserve">The </w:t>
      </w:r>
      <w:r w:rsidR="00A86756" w:rsidRPr="00F33E44">
        <w:t>Governor’s Security Unit</w:t>
      </w:r>
      <w:r w:rsidR="00A86756" w:rsidRPr="00A86756">
        <w:t xml:space="preserve"> is comprised of troopers who staff a security operational center at the Governo</w:t>
      </w:r>
      <w:r w:rsidR="00E03BA8">
        <w:t>r’s r</w:t>
      </w:r>
      <w:r w:rsidR="00A86756" w:rsidRPr="00A86756">
        <w:t>esidence on a 24 hour-a-day basis.  Unit members provide person</w:t>
      </w:r>
      <w:r w:rsidR="000D45AD">
        <w:t>al protection for the Governor and the Governor’s family 24 hours a day, 7 days a week and 365 days a year.</w:t>
      </w:r>
    </w:p>
    <w:p w:rsidR="00A86756" w:rsidRPr="00A86756" w:rsidRDefault="000D45AD" w:rsidP="00242AC2">
      <w:pPr>
        <w:spacing w:after="0"/>
      </w:pPr>
      <w:r>
        <w:t xml:space="preserve">The </w:t>
      </w:r>
      <w:r w:rsidR="00A86756" w:rsidRPr="00F33E44">
        <w:t xml:space="preserve">Dignitary Protection Unit </w:t>
      </w:r>
      <w:r w:rsidR="00A86756" w:rsidRPr="00A86756">
        <w:t>offers security support assistance to visiting dignitaries and/or their protective details.</w:t>
      </w:r>
    </w:p>
    <w:p w:rsidR="00A86756" w:rsidRDefault="00A86756" w:rsidP="00242AC2">
      <w:pPr>
        <w:spacing w:after="0"/>
        <w:sectPr w:rsidR="00A86756" w:rsidSect="00D73ECB">
          <w:headerReference w:type="even" r:id="rId31"/>
          <w:headerReference w:type="default" r:id="rId32"/>
          <w:headerReference w:type="first" r:id="rId33"/>
          <w:type w:val="continuous"/>
          <w:pgSz w:w="12240" w:h="15840" w:code="1"/>
          <w:pgMar w:top="864" w:right="720" w:bottom="1152" w:left="720" w:header="432" w:footer="288" w:gutter="216"/>
          <w:cols w:num="2" w:space="720"/>
          <w:docGrid w:linePitch="360"/>
        </w:sectPr>
      </w:pPr>
    </w:p>
    <w:p w:rsidR="00A86756" w:rsidRDefault="00A86756" w:rsidP="00242AC2">
      <w:pPr>
        <w:spacing w:after="0"/>
      </w:pPr>
    </w:p>
    <w:p w:rsidR="00A86756" w:rsidRPr="00F92740" w:rsidRDefault="001A2BD3" w:rsidP="00242AC2">
      <w:pPr>
        <w:pStyle w:val="ProgramHead"/>
        <w:spacing w:before="0"/>
      </w:pPr>
      <w:r w:rsidRPr="00F92740">
        <w:fldChar w:fldCharType="begin"/>
      </w:r>
      <w:r w:rsidR="00A86756" w:rsidRPr="00F92740">
        <w:instrText xml:space="preserve"> XE "DPS32000 14000" </w:instrText>
      </w:r>
      <w:r w:rsidRPr="00F92740">
        <w:fldChar w:fldCharType="end"/>
      </w:r>
      <w:r w:rsidR="00A86756" w:rsidRPr="00F92740">
        <w:t xml:space="preserve">ADMINISTRATIVE AND Management Services </w:t>
      </w:r>
    </w:p>
    <w:p w:rsidR="00A86756" w:rsidRPr="00F92740" w:rsidRDefault="00A86756" w:rsidP="00242AC2">
      <w:pPr>
        <w:pStyle w:val="ProgramHead"/>
        <w:spacing w:before="0"/>
        <w:sectPr w:rsidR="00A86756" w:rsidRPr="00F92740" w:rsidSect="00D73ECB">
          <w:headerReference w:type="even" r:id="rId34"/>
          <w:headerReference w:type="default" r:id="rId35"/>
          <w:headerReference w:type="first" r:id="rId36"/>
          <w:type w:val="continuous"/>
          <w:pgSz w:w="12240" w:h="15840" w:code="1"/>
          <w:pgMar w:top="864" w:right="720" w:bottom="1152" w:left="720" w:header="432" w:footer="288" w:gutter="216"/>
          <w:cols w:space="720"/>
        </w:sectPr>
      </w:pPr>
    </w:p>
    <w:p w:rsidR="00A86756" w:rsidRPr="00F92740" w:rsidRDefault="00A86756" w:rsidP="00242AC2">
      <w:pPr>
        <w:pStyle w:val="Heading2"/>
        <w:spacing w:before="0"/>
      </w:pPr>
      <w:r w:rsidRPr="00F92740">
        <w:t>Statutory Reference</w:t>
      </w:r>
    </w:p>
    <w:p w:rsidR="00A86756" w:rsidRPr="00A86756" w:rsidRDefault="000D45AD" w:rsidP="00242AC2">
      <w:pPr>
        <w:spacing w:after="0"/>
      </w:pPr>
      <w:r>
        <w:t xml:space="preserve">C.G.S. </w:t>
      </w:r>
      <w:r w:rsidR="00A86756" w:rsidRPr="00A86756">
        <w:t>Sections 29-4, 29-10b through 29-17b, 29-28 through 29-38b, Chapter 532a, Chapter 533, Chapter 533a, Chapter 534, Chapter 969</w:t>
      </w:r>
      <w:r>
        <w:t>.</w:t>
      </w:r>
    </w:p>
    <w:p w:rsidR="00A86756" w:rsidRPr="00F92740" w:rsidRDefault="00A86756" w:rsidP="00242AC2">
      <w:pPr>
        <w:spacing w:after="0"/>
      </w:pPr>
    </w:p>
    <w:p w:rsidR="00A86756" w:rsidRPr="00E3471F" w:rsidRDefault="001437B7" w:rsidP="00242AC2">
      <w:pPr>
        <w:pStyle w:val="Heading2"/>
        <w:spacing w:before="0"/>
      </w:pPr>
      <w:r>
        <w:t>State</w:t>
      </w:r>
      <w:r w:rsidR="00A86756" w:rsidRPr="00E3471F">
        <w:t xml:space="preserve">ment of Need and Program Objectives </w:t>
      </w:r>
    </w:p>
    <w:p w:rsidR="00A86756" w:rsidRDefault="00A86756" w:rsidP="00242AC2">
      <w:pPr>
        <w:spacing w:after="0"/>
      </w:pPr>
      <w:r w:rsidRPr="00A86756">
        <w:t xml:space="preserve">To provide support services to the </w:t>
      </w:r>
      <w:r w:rsidR="00E03BA8">
        <w:t>DESPP</w:t>
      </w:r>
      <w:r w:rsidRPr="00A86756">
        <w:t>.</w:t>
      </w:r>
    </w:p>
    <w:p w:rsidR="00A86756" w:rsidRDefault="00A86756" w:rsidP="00242AC2">
      <w:pPr>
        <w:spacing w:after="0"/>
      </w:pPr>
    </w:p>
    <w:p w:rsidR="00A86756" w:rsidRPr="00E3471F" w:rsidRDefault="00A86756" w:rsidP="00242AC2">
      <w:pPr>
        <w:pStyle w:val="Heading2"/>
        <w:spacing w:before="0"/>
      </w:pPr>
      <w:r w:rsidRPr="00E3471F">
        <w:t>Program Description</w:t>
      </w:r>
    </w:p>
    <w:p w:rsidR="00A86756" w:rsidRPr="001263B4" w:rsidRDefault="00A86756" w:rsidP="00242AC2">
      <w:pPr>
        <w:pStyle w:val="H4"/>
        <w:spacing w:before="0"/>
      </w:pPr>
      <w:r w:rsidRPr="001263B4">
        <w:t>Office of Administrative Services</w:t>
      </w:r>
    </w:p>
    <w:p w:rsidR="00A86756" w:rsidRPr="00A86756" w:rsidRDefault="00A86756" w:rsidP="00242AC2">
      <w:pPr>
        <w:spacing w:after="0"/>
      </w:pPr>
      <w:r w:rsidRPr="00281188">
        <w:t xml:space="preserve">The </w:t>
      </w:r>
      <w:r w:rsidRPr="00E03BA8">
        <w:rPr>
          <w:i/>
        </w:rPr>
        <w:t>Office of Administrative Services</w:t>
      </w:r>
      <w:r w:rsidRPr="00A86756">
        <w:t xml:space="preserve"> is part of the </w:t>
      </w:r>
      <w:r w:rsidRPr="00E03BA8">
        <w:rPr>
          <w:i/>
        </w:rPr>
        <w:t xml:space="preserve">Division of </w:t>
      </w:r>
      <w:r w:rsidR="001437B7" w:rsidRPr="00E03BA8">
        <w:rPr>
          <w:i/>
        </w:rPr>
        <w:t>State</w:t>
      </w:r>
      <w:r w:rsidRPr="00E03BA8">
        <w:rPr>
          <w:i/>
        </w:rPr>
        <w:t xml:space="preserve"> Police</w:t>
      </w:r>
      <w:r w:rsidRPr="00A86756">
        <w:t xml:space="preserve"> and is divided into five main sections. They are the </w:t>
      </w:r>
      <w:r w:rsidR="00E03BA8" w:rsidRPr="00E03BA8">
        <w:rPr>
          <w:i/>
        </w:rPr>
        <w:t>B</w:t>
      </w:r>
      <w:r w:rsidRPr="00E03BA8">
        <w:rPr>
          <w:i/>
        </w:rPr>
        <w:t xml:space="preserve">ureau of Research </w:t>
      </w:r>
      <w:r w:rsidR="000D45AD">
        <w:rPr>
          <w:i/>
        </w:rPr>
        <w:t>and</w:t>
      </w:r>
      <w:r w:rsidRPr="00E03BA8">
        <w:rPr>
          <w:i/>
        </w:rPr>
        <w:t xml:space="preserve"> Information Services</w:t>
      </w:r>
      <w:r w:rsidRPr="00A86756">
        <w:t xml:space="preserve">, the </w:t>
      </w:r>
      <w:r w:rsidRPr="00F33E44">
        <w:t>Criminal Justice Information Services Section, the Contracts, Grants and Memorandum of Understanding Administration, the Bureau of Infrastructure and Communications, and the Bu</w:t>
      </w:r>
      <w:r w:rsidR="000D45AD" w:rsidRPr="00F33E44">
        <w:t>reau of Training and</w:t>
      </w:r>
      <w:r w:rsidRPr="00F33E44">
        <w:t xml:space="preserve"> Support Services. The overall mission of the Office of Administrative Services is to provide support to all aspects of </w:t>
      </w:r>
      <w:r w:rsidR="00E03BA8" w:rsidRPr="00F33E44">
        <w:t>DESPP</w:t>
      </w:r>
      <w:r w:rsidRPr="00F33E44">
        <w:t xml:space="preserve"> including the Divisions of Scientific Services and Fire</w:t>
      </w:r>
      <w:r w:rsidR="00281188" w:rsidRPr="00F33E44">
        <w:t xml:space="preserve"> Investigations and Telecommunications</w:t>
      </w:r>
      <w:r w:rsidRPr="00F33E44">
        <w:t>.</w:t>
      </w:r>
      <w:r w:rsidRPr="00A86756">
        <w:t xml:space="preserve">  As the agency continues to grow, one of its primary responsibilities is the development of enhanced information technology systems.  </w:t>
      </w:r>
      <w:r w:rsidR="00E03BA8">
        <w:t>DESPP</w:t>
      </w:r>
      <w:r w:rsidRPr="00A86756">
        <w:t xml:space="preserve"> personnel evaluate, develop, install and maintain all information management and technological computer systems within the department.  The office also provides such services as selections and training, background investigations, polygraphs, facilities management, fleet administration, special duty coordinator, grant administration and management, crimes analysis, and telecommunications. It oversees regulatory functions such as special licensing, the issuance and revocation of firearms permits, supervision of boxing and administration of sex offender registrations.</w:t>
      </w:r>
    </w:p>
    <w:p w:rsidR="00A86756" w:rsidRDefault="00A86756" w:rsidP="00242AC2">
      <w:pPr>
        <w:spacing w:after="0"/>
      </w:pPr>
      <w:r w:rsidRPr="00A86756">
        <w:t xml:space="preserve">The </w:t>
      </w:r>
      <w:r w:rsidR="00E03BA8">
        <w:t>DESPP</w:t>
      </w:r>
      <w:r w:rsidR="00B76175">
        <w:t xml:space="preserve"> communications c</w:t>
      </w:r>
      <w:r w:rsidRPr="00A86756">
        <w:t xml:space="preserve">enter is a 24-hour facility that has the ability to facilitate communications during any major event, to include </w:t>
      </w:r>
      <w:r w:rsidR="001437B7">
        <w:t>state</w:t>
      </w:r>
      <w:r w:rsidRPr="00A86756">
        <w:t xml:space="preserve">wide interoperability, through a </w:t>
      </w:r>
      <w:r w:rsidR="00E60AC5">
        <w:t>mutual aid radio system</w:t>
      </w:r>
      <w:r w:rsidRPr="00A86756">
        <w:t>, a</w:t>
      </w:r>
      <w:r w:rsidR="00B76175">
        <w:t>s well as other means.  The c</w:t>
      </w:r>
      <w:r w:rsidRPr="00A86756">
        <w:t xml:space="preserve">enter is also responsible for the </w:t>
      </w:r>
      <w:r w:rsidR="001437B7">
        <w:t>State</w:t>
      </w:r>
      <w:r w:rsidRPr="00A86756">
        <w:t xml:space="preserve">’s </w:t>
      </w:r>
      <w:r w:rsidR="00B76175">
        <w:t>Amber alert system, utilizing the emergency broadcast system’s n</w:t>
      </w:r>
      <w:r w:rsidRPr="00A86756">
        <w:t xml:space="preserve">etwork to broadcast </w:t>
      </w:r>
      <w:r w:rsidR="001437B7">
        <w:t>state</w:t>
      </w:r>
      <w:r w:rsidRPr="00A86756">
        <w:t>wide Amber alerts.</w:t>
      </w:r>
    </w:p>
    <w:p w:rsidR="00A86756" w:rsidRPr="00A86756" w:rsidRDefault="00A86756" w:rsidP="00242AC2">
      <w:pPr>
        <w:spacing w:after="0"/>
      </w:pPr>
    </w:p>
    <w:p w:rsidR="00A86756" w:rsidRPr="00A86756" w:rsidRDefault="00A86756" w:rsidP="00242AC2">
      <w:pPr>
        <w:pStyle w:val="H4"/>
        <w:spacing w:before="0"/>
        <w:rPr>
          <w:sz w:val="18"/>
        </w:rPr>
      </w:pPr>
      <w:r w:rsidRPr="00A86756">
        <w:t xml:space="preserve">Infrastructure Planning and Facilities Management Unit </w:t>
      </w:r>
    </w:p>
    <w:p w:rsidR="00E60AC5" w:rsidRDefault="00A86756" w:rsidP="00E60AC5">
      <w:pPr>
        <w:spacing w:after="0"/>
      </w:pPr>
      <w:r w:rsidRPr="00281188">
        <w:t>The</w:t>
      </w:r>
      <w:r w:rsidRPr="00E03BA8">
        <w:rPr>
          <w:i/>
        </w:rPr>
        <w:t xml:space="preserve"> Infrastructure Planning and Facilities Management Unit</w:t>
      </w:r>
      <w:r w:rsidRPr="00A86756">
        <w:t xml:space="preserve"> maintains, repairs and oversees the renovation of all department buildings and fa</w:t>
      </w:r>
      <w:r w:rsidR="00E03BA8">
        <w:t>cilities.  It also assists the c</w:t>
      </w:r>
      <w:r w:rsidRPr="00A86756">
        <w:t xml:space="preserve">ommissioner and the Department </w:t>
      </w:r>
      <w:r w:rsidR="00E03BA8">
        <w:t>of Construction Services</w:t>
      </w:r>
      <w:r w:rsidRPr="00A86756">
        <w:t xml:space="preserve"> in coordinating capital projects, such as major repairs, major renovations and new construction throughout</w:t>
      </w:r>
      <w:r w:rsidR="00E03BA8">
        <w:t xml:space="preserve"> DESPP</w:t>
      </w:r>
      <w:r w:rsidRPr="00A86756">
        <w:t>.</w:t>
      </w:r>
    </w:p>
    <w:p w:rsidR="00E60AC5" w:rsidRDefault="00E60AC5" w:rsidP="00E60AC5">
      <w:pPr>
        <w:spacing w:after="0"/>
      </w:pPr>
    </w:p>
    <w:p w:rsidR="00A86756" w:rsidRPr="00A86756" w:rsidRDefault="00A86756" w:rsidP="00242AC2">
      <w:pPr>
        <w:pStyle w:val="H4"/>
        <w:spacing w:before="0"/>
      </w:pPr>
      <w:r w:rsidRPr="00A86756">
        <w:t>Administration and Management Support</w:t>
      </w:r>
    </w:p>
    <w:p w:rsidR="00A86756" w:rsidRPr="00A86756" w:rsidRDefault="00A86756" w:rsidP="00242AC2">
      <w:pPr>
        <w:spacing w:after="0"/>
      </w:pPr>
      <w:r w:rsidRPr="00281188">
        <w:t>The</w:t>
      </w:r>
      <w:r w:rsidRPr="00E03BA8">
        <w:rPr>
          <w:i/>
        </w:rPr>
        <w:t xml:space="preserve"> </w:t>
      </w:r>
      <w:r w:rsidRPr="00F33E44">
        <w:t>Bureau of Management Support</w:t>
      </w:r>
      <w:r w:rsidRPr="00A86756">
        <w:t xml:space="preserve"> and several other administrative units are part of the </w:t>
      </w:r>
      <w:r w:rsidRPr="00F33E44">
        <w:t>Office of the Commissioner</w:t>
      </w:r>
      <w:r w:rsidRPr="00A86756">
        <w:t xml:space="preserve">.  There are seven units, </w:t>
      </w:r>
      <w:r w:rsidR="00E60AC5">
        <w:t>including:</w:t>
      </w:r>
    </w:p>
    <w:p w:rsidR="00A86756" w:rsidRPr="00F33E44" w:rsidRDefault="00A86756" w:rsidP="00242AC2">
      <w:pPr>
        <w:pStyle w:val="ListParagraph"/>
        <w:numPr>
          <w:ilvl w:val="0"/>
          <w:numId w:val="25"/>
        </w:numPr>
        <w:spacing w:after="0"/>
        <w:ind w:left="360"/>
      </w:pPr>
      <w:r w:rsidRPr="00F33E44">
        <w:t>The Equal Opportunity Unit</w:t>
      </w:r>
      <w:r w:rsidR="00E60AC5" w:rsidRPr="00F33E44">
        <w:t>,</w:t>
      </w:r>
    </w:p>
    <w:p w:rsidR="00A86756" w:rsidRPr="00F33E44" w:rsidRDefault="00A86756" w:rsidP="00242AC2">
      <w:pPr>
        <w:pStyle w:val="ListParagraph"/>
        <w:numPr>
          <w:ilvl w:val="0"/>
          <w:numId w:val="25"/>
        </w:numPr>
        <w:spacing w:after="0"/>
        <w:ind w:left="360"/>
      </w:pPr>
      <w:r w:rsidRPr="00F33E44">
        <w:t>The Fiscal Services Uni</w:t>
      </w:r>
      <w:r w:rsidR="00DA4914" w:rsidRPr="00F33E44">
        <w:t>t</w:t>
      </w:r>
      <w:r w:rsidR="00E60AC5" w:rsidRPr="00F33E44">
        <w:t>,</w:t>
      </w:r>
    </w:p>
    <w:p w:rsidR="00A86756" w:rsidRPr="00F33E44" w:rsidRDefault="00A86756" w:rsidP="00242AC2">
      <w:pPr>
        <w:pStyle w:val="ListParagraph"/>
        <w:numPr>
          <w:ilvl w:val="0"/>
          <w:numId w:val="25"/>
        </w:numPr>
        <w:spacing w:after="0"/>
        <w:ind w:left="360"/>
      </w:pPr>
      <w:r w:rsidRPr="00F33E44">
        <w:t>The Labor Relations Unit</w:t>
      </w:r>
      <w:r w:rsidR="00E60AC5" w:rsidRPr="00F33E44">
        <w:t>,</w:t>
      </w:r>
    </w:p>
    <w:p w:rsidR="00A86756" w:rsidRPr="00F33E44" w:rsidRDefault="00A86756" w:rsidP="00242AC2">
      <w:pPr>
        <w:pStyle w:val="ListParagraph"/>
        <w:numPr>
          <w:ilvl w:val="0"/>
          <w:numId w:val="25"/>
        </w:numPr>
        <w:spacing w:after="0"/>
        <w:ind w:left="360"/>
      </w:pPr>
      <w:r w:rsidRPr="00F33E44">
        <w:t>The Human Resources Unit</w:t>
      </w:r>
      <w:r w:rsidR="00E60AC5" w:rsidRPr="00F33E44">
        <w:t>,</w:t>
      </w:r>
    </w:p>
    <w:p w:rsidR="00A86756" w:rsidRPr="00F33E44" w:rsidRDefault="00E60AC5" w:rsidP="00242AC2">
      <w:pPr>
        <w:pStyle w:val="ListParagraph"/>
        <w:numPr>
          <w:ilvl w:val="0"/>
          <w:numId w:val="25"/>
        </w:numPr>
        <w:spacing w:after="0"/>
        <w:ind w:left="360"/>
      </w:pPr>
      <w:r w:rsidRPr="00F33E44">
        <w:t>Public Information Office,</w:t>
      </w:r>
    </w:p>
    <w:p w:rsidR="00DA4914" w:rsidRPr="00F33E44" w:rsidRDefault="00DA4914" w:rsidP="00242AC2">
      <w:pPr>
        <w:pStyle w:val="ListParagraph"/>
        <w:numPr>
          <w:ilvl w:val="0"/>
          <w:numId w:val="25"/>
        </w:numPr>
        <w:spacing w:after="0"/>
        <w:ind w:left="360"/>
      </w:pPr>
      <w:r w:rsidRPr="00F33E44">
        <w:t>Professional Standards Unit</w:t>
      </w:r>
      <w:r w:rsidR="00E60AC5" w:rsidRPr="00F33E44">
        <w:t>, and</w:t>
      </w:r>
    </w:p>
    <w:p w:rsidR="00A86756" w:rsidRDefault="00DA4914" w:rsidP="00F33E44">
      <w:pPr>
        <w:pStyle w:val="ListParagraph"/>
        <w:numPr>
          <w:ilvl w:val="0"/>
          <w:numId w:val="25"/>
        </w:numPr>
        <w:spacing w:after="0"/>
        <w:ind w:left="360"/>
      </w:pPr>
      <w:r w:rsidRPr="00F33E44">
        <w:t>Legal Affairs Unit</w:t>
      </w:r>
      <w:r w:rsidR="00E60AC5" w:rsidRPr="00F33E44">
        <w:t>.</w:t>
      </w:r>
    </w:p>
    <w:p w:rsidR="00F33E44" w:rsidRPr="001263B4" w:rsidRDefault="00F33E44" w:rsidP="00F33E44">
      <w:pPr>
        <w:pStyle w:val="ListParagraph"/>
        <w:numPr>
          <w:ilvl w:val="0"/>
          <w:numId w:val="25"/>
        </w:numPr>
        <w:spacing w:after="0"/>
        <w:ind w:left="360"/>
        <w:sectPr w:rsidR="00F33E44" w:rsidRPr="001263B4" w:rsidSect="00D73ECB">
          <w:headerReference w:type="even" r:id="rId37"/>
          <w:headerReference w:type="default" r:id="rId38"/>
          <w:headerReference w:type="first" r:id="rId39"/>
          <w:type w:val="continuous"/>
          <w:pgSz w:w="12240" w:h="15840" w:code="1"/>
          <w:pgMar w:top="864" w:right="720" w:bottom="1152" w:left="720" w:header="432" w:footer="288" w:gutter="216"/>
          <w:cols w:num="2" w:space="432"/>
        </w:sectPr>
      </w:pPr>
    </w:p>
    <w:p w:rsidR="00A86756" w:rsidRPr="001263B4" w:rsidRDefault="00A86756" w:rsidP="00F33E44">
      <w:pPr>
        <w:spacing w:after="0"/>
      </w:pPr>
    </w:p>
    <w:sectPr w:rsidR="00A86756" w:rsidRPr="001263B4" w:rsidSect="00313411">
      <w:type w:val="continuous"/>
      <w:pgSz w:w="12240" w:h="15840" w:code="1"/>
      <w:pgMar w:top="864" w:right="720" w:bottom="1152" w:left="720" w:header="432" w:footer="288" w:gutter="2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E44" w:rsidRDefault="00F33E44">
      <w:pPr>
        <w:spacing w:after="0"/>
      </w:pPr>
      <w:r>
        <w:separator/>
      </w:r>
    </w:p>
  </w:endnote>
  <w:endnote w:type="continuationSeparator" w:id="0">
    <w:p w:rsidR="00F33E44" w:rsidRDefault="00F33E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1A2BD3">
    <w:pPr>
      <w:pStyle w:val="Footer"/>
      <w:framePr w:wrap="around" w:vAnchor="text" w:hAnchor="margin" w:xAlign="center" w:y="1"/>
      <w:rPr>
        <w:rStyle w:val="PageNumber"/>
      </w:rPr>
    </w:pPr>
    <w:r>
      <w:rPr>
        <w:rStyle w:val="PageNumber"/>
      </w:rPr>
      <w:fldChar w:fldCharType="begin"/>
    </w:r>
    <w:r w:rsidR="00F33E44">
      <w:rPr>
        <w:rStyle w:val="PageNumber"/>
      </w:rPr>
      <w:instrText xml:space="preserve">PAGE  </w:instrText>
    </w:r>
    <w:r>
      <w:rPr>
        <w:rStyle w:val="PageNumber"/>
      </w:rPr>
      <w:fldChar w:fldCharType="separate"/>
    </w:r>
    <w:r w:rsidR="00313411">
      <w:rPr>
        <w:rStyle w:val="PageNumber"/>
        <w:noProof/>
      </w:rPr>
      <w:t>6</w:t>
    </w:r>
    <w:r>
      <w:rPr>
        <w:rStyle w:val="PageNumber"/>
      </w:rPr>
      <w:fldChar w:fldCharType="end"/>
    </w:r>
  </w:p>
  <w:p w:rsidR="00F33E44" w:rsidRDefault="00F33E44">
    <w:pPr>
      <w:pStyle w:val="Footer"/>
      <w:tabs>
        <w:tab w:val="right" w:pos="10440"/>
      </w:tabs>
      <w:jc w:val="both"/>
    </w:pPr>
    <w:r>
      <w:t>Department of Emergency Services and Public Protection</w:t>
    </w:r>
    <w:r>
      <w:tab/>
      <w:t>Regulation and Protection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1A2BD3">
    <w:pPr>
      <w:pStyle w:val="Footer"/>
      <w:framePr w:wrap="around" w:vAnchor="text" w:hAnchor="margin" w:xAlign="center" w:y="1"/>
      <w:rPr>
        <w:rStyle w:val="PageNumber"/>
      </w:rPr>
    </w:pPr>
    <w:r>
      <w:rPr>
        <w:rStyle w:val="PageNumber"/>
      </w:rPr>
      <w:fldChar w:fldCharType="begin"/>
    </w:r>
    <w:r w:rsidR="00F33E44">
      <w:rPr>
        <w:rStyle w:val="PageNumber"/>
      </w:rPr>
      <w:instrText xml:space="preserve">PAGE  </w:instrText>
    </w:r>
    <w:r>
      <w:rPr>
        <w:rStyle w:val="PageNumber"/>
      </w:rPr>
      <w:fldChar w:fldCharType="separate"/>
    </w:r>
    <w:r w:rsidR="00313411">
      <w:rPr>
        <w:rStyle w:val="PageNumber"/>
        <w:noProof/>
      </w:rPr>
      <w:t>1</w:t>
    </w:r>
    <w:r>
      <w:rPr>
        <w:rStyle w:val="PageNumber"/>
      </w:rPr>
      <w:fldChar w:fldCharType="end"/>
    </w:r>
  </w:p>
  <w:p w:rsidR="00F33E44" w:rsidRDefault="00F33E44">
    <w:pPr>
      <w:pStyle w:val="Footer"/>
      <w:tabs>
        <w:tab w:val="right" w:pos="10530"/>
      </w:tabs>
      <w:jc w:val="both"/>
    </w:pPr>
    <w:r>
      <w:t>Regulation and Protection</w:t>
    </w:r>
    <w:r>
      <w:tab/>
      <w:t>Department of Emergency Services and Public Protection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E44" w:rsidRDefault="00F33E44">
      <w:pPr>
        <w:spacing w:after="0"/>
      </w:pPr>
      <w:r>
        <w:separator/>
      </w:r>
    </w:p>
  </w:footnote>
  <w:footnote w:type="continuationSeparator" w:id="0">
    <w:p w:rsidR="00F33E44" w:rsidRDefault="00F33E4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jc w:val="left"/>
    </w:pPr>
    <w:r>
      <w:t>Budget-in-Detail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r>
      <w:t>Budget-in-Detail</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r>
      <w:t>Budget-in-Detail</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r>
      <w:t>Budget-in-Detail</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jc w:val="right"/>
    </w:pPr>
    <w:r>
      <w:t>Budget-in-Detail</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r>
      <w:t>Budget-in-Detail</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r>
      <w:t>Budget-in-Detail</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r>
      <w:t>Budget-in-Detail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r>
      <w:t>Budget-in-Detail</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E44" w:rsidRDefault="00F33E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65C6"/>
    <w:multiLevelType w:val="hybridMultilevel"/>
    <w:tmpl w:val="93A6F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247A5"/>
    <w:multiLevelType w:val="hybridMultilevel"/>
    <w:tmpl w:val="B2ECB674"/>
    <w:lvl w:ilvl="0" w:tplc="C3EE2984">
      <w:start w:val="1"/>
      <w:numFmt w:val="bullet"/>
      <w:lvlText w:val=""/>
      <w:lvlJc w:val="left"/>
      <w:pPr>
        <w:tabs>
          <w:tab w:val="num" w:pos="360"/>
        </w:tabs>
        <w:ind w:left="360" w:hanging="360"/>
      </w:pPr>
      <w:rPr>
        <w:rFonts w:ascii="Symbol" w:hAnsi="Symbol" w:hint="default"/>
        <w:color w:val="80808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CD74EBA"/>
    <w:multiLevelType w:val="hybridMultilevel"/>
    <w:tmpl w:val="02DC2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FF4D78"/>
    <w:multiLevelType w:val="hybridMultilevel"/>
    <w:tmpl w:val="506CAD8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F4823D8"/>
    <w:multiLevelType w:val="hybridMultilevel"/>
    <w:tmpl w:val="0B620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659A0"/>
    <w:multiLevelType w:val="hybridMultilevel"/>
    <w:tmpl w:val="23141B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3CEE3F11"/>
    <w:multiLevelType w:val="hybridMultilevel"/>
    <w:tmpl w:val="FAE2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5D6869"/>
    <w:multiLevelType w:val="hybridMultilevel"/>
    <w:tmpl w:val="D272D616"/>
    <w:lvl w:ilvl="0" w:tplc="F8C8DBFC">
      <w:start w:val="1"/>
      <w:numFmt w:val="lowerLetter"/>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F386EF9"/>
    <w:multiLevelType w:val="hybridMultilevel"/>
    <w:tmpl w:val="4032328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039573F"/>
    <w:multiLevelType w:val="hybridMultilevel"/>
    <w:tmpl w:val="CE4A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F44F4"/>
    <w:multiLevelType w:val="hybridMultilevel"/>
    <w:tmpl w:val="11C64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7C01AF"/>
    <w:multiLevelType w:val="hybridMultilevel"/>
    <w:tmpl w:val="86421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0F5FC4"/>
    <w:multiLevelType w:val="hybridMultilevel"/>
    <w:tmpl w:val="22463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72DF4"/>
    <w:multiLevelType w:val="hybridMultilevel"/>
    <w:tmpl w:val="6DDE7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5F5C4A"/>
    <w:multiLevelType w:val="hybridMultilevel"/>
    <w:tmpl w:val="B25C1D1C"/>
    <w:lvl w:ilvl="0" w:tplc="CE32CDA2">
      <w:start w:val="1"/>
      <w:numFmt w:val="bullet"/>
      <w:lvlText w:val=""/>
      <w:lvlJc w:val="left"/>
      <w:pPr>
        <w:tabs>
          <w:tab w:val="num" w:pos="360"/>
        </w:tabs>
        <w:ind w:left="360" w:hanging="360"/>
      </w:pPr>
      <w:rPr>
        <w:rFonts w:ascii="Symbol" w:hAnsi="Symbol" w:hint="default"/>
        <w:color w:val="002D86"/>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A574B3"/>
    <w:multiLevelType w:val="hybridMultilevel"/>
    <w:tmpl w:val="AFDCF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750E6B"/>
    <w:multiLevelType w:val="hybridMultilevel"/>
    <w:tmpl w:val="49247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39558E"/>
    <w:multiLevelType w:val="hybridMultilevel"/>
    <w:tmpl w:val="86421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955F45"/>
    <w:multiLevelType w:val="hybridMultilevel"/>
    <w:tmpl w:val="6B2E1B8A"/>
    <w:lvl w:ilvl="0" w:tplc="CE32CDA2">
      <w:start w:val="1"/>
      <w:numFmt w:val="bullet"/>
      <w:lvlText w:val=""/>
      <w:lvlJc w:val="left"/>
      <w:pPr>
        <w:tabs>
          <w:tab w:val="num" w:pos="360"/>
        </w:tabs>
        <w:ind w:left="360" w:hanging="360"/>
      </w:pPr>
      <w:rPr>
        <w:rFonts w:ascii="Symbol" w:hAnsi="Symbol" w:hint="default"/>
        <w:color w:val="002D86"/>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5865EAD"/>
    <w:multiLevelType w:val="hybridMultilevel"/>
    <w:tmpl w:val="00365E34"/>
    <w:lvl w:ilvl="0" w:tplc="6C72A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22"/>
  </w:num>
  <w:num w:numId="2">
    <w:abstractNumId w:val="3"/>
  </w:num>
  <w:num w:numId="3">
    <w:abstractNumId w:val="16"/>
  </w:num>
  <w:num w:numId="4">
    <w:abstractNumId w:val="18"/>
  </w:num>
  <w:num w:numId="5">
    <w:abstractNumId w:val="10"/>
  </w:num>
  <w:num w:numId="6">
    <w:abstractNumId w:val="0"/>
  </w:num>
  <w:num w:numId="7">
    <w:abstractNumId w:val="2"/>
  </w:num>
  <w:num w:numId="8">
    <w:abstractNumId w:val="13"/>
  </w:num>
  <w:num w:numId="9">
    <w:abstractNumId w:val="21"/>
  </w:num>
  <w:num w:numId="10">
    <w:abstractNumId w:val="5"/>
  </w:num>
  <w:num w:numId="11">
    <w:abstractNumId w:val="3"/>
  </w:num>
  <w:num w:numId="12">
    <w:abstractNumId w:val="16"/>
  </w:num>
  <w:num w:numId="13">
    <w:abstractNumId w:val="15"/>
  </w:num>
  <w:num w:numId="14">
    <w:abstractNumId w:val="20"/>
  </w:num>
  <w:num w:numId="15">
    <w:abstractNumId w:val="12"/>
  </w:num>
  <w:num w:numId="16">
    <w:abstractNumId w:val="19"/>
  </w:num>
  <w:num w:numId="17">
    <w:abstractNumId w:val="17"/>
  </w:num>
  <w:num w:numId="18">
    <w:abstractNumId w:val="14"/>
  </w:num>
  <w:num w:numId="19">
    <w:abstractNumId w:val="1"/>
  </w:num>
  <w:num w:numId="20">
    <w:abstractNumId w:val="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7"/>
  </w:num>
  <w:num w:numId="24">
    <w:abstractNumId w:val="9"/>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evenAndOddHeaders/>
  <w:drawingGridHorizontalSpacing w:val="90"/>
  <w:displayHorizontalDrawingGridEvery w:val="2"/>
  <w:characterSpacingControl w:val="doNotCompress"/>
  <w:hdrShapeDefaults>
    <o:shapedefaults v:ext="edit" spidmax="54273"/>
  </w:hdrShapeDefaults>
  <w:footnotePr>
    <w:footnote w:id="-1"/>
    <w:footnote w:id="0"/>
  </w:footnotePr>
  <w:endnotePr>
    <w:endnote w:id="-1"/>
    <w:endnote w:id="0"/>
  </w:endnotePr>
  <w:compat/>
  <w:rsids>
    <w:rsidRoot w:val="007B5B9E"/>
    <w:rsid w:val="000240C7"/>
    <w:rsid w:val="00083BDD"/>
    <w:rsid w:val="00087C6A"/>
    <w:rsid w:val="0009152C"/>
    <w:rsid w:val="00092820"/>
    <w:rsid w:val="000D45AD"/>
    <w:rsid w:val="001015DD"/>
    <w:rsid w:val="00107956"/>
    <w:rsid w:val="00114B99"/>
    <w:rsid w:val="001263B4"/>
    <w:rsid w:val="00142E4A"/>
    <w:rsid w:val="001437B7"/>
    <w:rsid w:val="001604E6"/>
    <w:rsid w:val="0018774F"/>
    <w:rsid w:val="001A229A"/>
    <w:rsid w:val="001A2BD3"/>
    <w:rsid w:val="001E52CC"/>
    <w:rsid w:val="001F7701"/>
    <w:rsid w:val="001F77BB"/>
    <w:rsid w:val="002242A4"/>
    <w:rsid w:val="00227BDC"/>
    <w:rsid w:val="0024222A"/>
    <w:rsid w:val="00242AC2"/>
    <w:rsid w:val="00256015"/>
    <w:rsid w:val="002641AA"/>
    <w:rsid w:val="00265DBA"/>
    <w:rsid w:val="00277CF4"/>
    <w:rsid w:val="00281188"/>
    <w:rsid w:val="002B53C4"/>
    <w:rsid w:val="002D2F5E"/>
    <w:rsid w:val="002D395A"/>
    <w:rsid w:val="00303176"/>
    <w:rsid w:val="00313411"/>
    <w:rsid w:val="0031657C"/>
    <w:rsid w:val="003432FD"/>
    <w:rsid w:val="0038191B"/>
    <w:rsid w:val="003A1C80"/>
    <w:rsid w:val="003D1A81"/>
    <w:rsid w:val="003E7332"/>
    <w:rsid w:val="003F427F"/>
    <w:rsid w:val="003F6724"/>
    <w:rsid w:val="004254C0"/>
    <w:rsid w:val="004271F9"/>
    <w:rsid w:val="00460137"/>
    <w:rsid w:val="004650F4"/>
    <w:rsid w:val="00477C30"/>
    <w:rsid w:val="00480D1B"/>
    <w:rsid w:val="00495FAD"/>
    <w:rsid w:val="00497E85"/>
    <w:rsid w:val="004A3554"/>
    <w:rsid w:val="004A69C5"/>
    <w:rsid w:val="004B72C0"/>
    <w:rsid w:val="004D5095"/>
    <w:rsid w:val="004E2BF5"/>
    <w:rsid w:val="004E31BC"/>
    <w:rsid w:val="004E397B"/>
    <w:rsid w:val="004E4396"/>
    <w:rsid w:val="00537E16"/>
    <w:rsid w:val="00541B1F"/>
    <w:rsid w:val="00545CBD"/>
    <w:rsid w:val="00554AC2"/>
    <w:rsid w:val="00562142"/>
    <w:rsid w:val="00570068"/>
    <w:rsid w:val="00580CB7"/>
    <w:rsid w:val="00582392"/>
    <w:rsid w:val="005B183F"/>
    <w:rsid w:val="005D218B"/>
    <w:rsid w:val="005D3953"/>
    <w:rsid w:val="005E6AC1"/>
    <w:rsid w:val="005F5DF3"/>
    <w:rsid w:val="00611038"/>
    <w:rsid w:val="006522DF"/>
    <w:rsid w:val="00666B2D"/>
    <w:rsid w:val="006A1CBC"/>
    <w:rsid w:val="006A4125"/>
    <w:rsid w:val="006B057D"/>
    <w:rsid w:val="006B6067"/>
    <w:rsid w:val="006F6A22"/>
    <w:rsid w:val="0073060F"/>
    <w:rsid w:val="007552A8"/>
    <w:rsid w:val="00764214"/>
    <w:rsid w:val="007666E4"/>
    <w:rsid w:val="0078536A"/>
    <w:rsid w:val="007A484B"/>
    <w:rsid w:val="007B5B9E"/>
    <w:rsid w:val="007E793F"/>
    <w:rsid w:val="00801D5D"/>
    <w:rsid w:val="008054FF"/>
    <w:rsid w:val="0081252F"/>
    <w:rsid w:val="00823734"/>
    <w:rsid w:val="00837DCE"/>
    <w:rsid w:val="00840577"/>
    <w:rsid w:val="00842821"/>
    <w:rsid w:val="008430C4"/>
    <w:rsid w:val="0084601B"/>
    <w:rsid w:val="0085150D"/>
    <w:rsid w:val="0085669B"/>
    <w:rsid w:val="00866CCF"/>
    <w:rsid w:val="00870159"/>
    <w:rsid w:val="00881734"/>
    <w:rsid w:val="008B5A14"/>
    <w:rsid w:val="008C4312"/>
    <w:rsid w:val="00916A0C"/>
    <w:rsid w:val="00920D21"/>
    <w:rsid w:val="00930548"/>
    <w:rsid w:val="00930714"/>
    <w:rsid w:val="00947E75"/>
    <w:rsid w:val="00950600"/>
    <w:rsid w:val="00950A0B"/>
    <w:rsid w:val="00962589"/>
    <w:rsid w:val="00966951"/>
    <w:rsid w:val="00983FA6"/>
    <w:rsid w:val="00985748"/>
    <w:rsid w:val="0099100D"/>
    <w:rsid w:val="00993021"/>
    <w:rsid w:val="009A0DAD"/>
    <w:rsid w:val="009A20EA"/>
    <w:rsid w:val="009A43B3"/>
    <w:rsid w:val="009C7226"/>
    <w:rsid w:val="009E7535"/>
    <w:rsid w:val="00A11000"/>
    <w:rsid w:val="00A1526F"/>
    <w:rsid w:val="00A2596F"/>
    <w:rsid w:val="00A32BA5"/>
    <w:rsid w:val="00A84ED2"/>
    <w:rsid w:val="00A86756"/>
    <w:rsid w:val="00A87446"/>
    <w:rsid w:val="00A9214D"/>
    <w:rsid w:val="00A944D6"/>
    <w:rsid w:val="00AC04B8"/>
    <w:rsid w:val="00AC4147"/>
    <w:rsid w:val="00AD39BF"/>
    <w:rsid w:val="00AE234F"/>
    <w:rsid w:val="00B037BF"/>
    <w:rsid w:val="00B04F13"/>
    <w:rsid w:val="00B1742E"/>
    <w:rsid w:val="00B403D1"/>
    <w:rsid w:val="00B50339"/>
    <w:rsid w:val="00B71383"/>
    <w:rsid w:val="00B76175"/>
    <w:rsid w:val="00B85388"/>
    <w:rsid w:val="00BD72C7"/>
    <w:rsid w:val="00BE1905"/>
    <w:rsid w:val="00BF787C"/>
    <w:rsid w:val="00C00B54"/>
    <w:rsid w:val="00C06BEA"/>
    <w:rsid w:val="00C15394"/>
    <w:rsid w:val="00C26775"/>
    <w:rsid w:val="00C405B2"/>
    <w:rsid w:val="00C4322C"/>
    <w:rsid w:val="00C57D96"/>
    <w:rsid w:val="00C754F8"/>
    <w:rsid w:val="00C82B80"/>
    <w:rsid w:val="00C844F4"/>
    <w:rsid w:val="00C97536"/>
    <w:rsid w:val="00CA4CF2"/>
    <w:rsid w:val="00CE5B5D"/>
    <w:rsid w:val="00CF551B"/>
    <w:rsid w:val="00CF7C70"/>
    <w:rsid w:val="00D005BC"/>
    <w:rsid w:val="00D13126"/>
    <w:rsid w:val="00D178DD"/>
    <w:rsid w:val="00D34653"/>
    <w:rsid w:val="00D367EF"/>
    <w:rsid w:val="00D73ECB"/>
    <w:rsid w:val="00D869B4"/>
    <w:rsid w:val="00D95F8A"/>
    <w:rsid w:val="00DA4914"/>
    <w:rsid w:val="00DB578B"/>
    <w:rsid w:val="00DE2453"/>
    <w:rsid w:val="00DE32D1"/>
    <w:rsid w:val="00E03BA8"/>
    <w:rsid w:val="00E17836"/>
    <w:rsid w:val="00E25E94"/>
    <w:rsid w:val="00E3471F"/>
    <w:rsid w:val="00E4662B"/>
    <w:rsid w:val="00E5184E"/>
    <w:rsid w:val="00E60824"/>
    <w:rsid w:val="00E60AC5"/>
    <w:rsid w:val="00E63DFF"/>
    <w:rsid w:val="00E74F3B"/>
    <w:rsid w:val="00E9670F"/>
    <w:rsid w:val="00EA3CFC"/>
    <w:rsid w:val="00EA7F3E"/>
    <w:rsid w:val="00EB297D"/>
    <w:rsid w:val="00EB3879"/>
    <w:rsid w:val="00EC1E4E"/>
    <w:rsid w:val="00EC7B63"/>
    <w:rsid w:val="00F04F56"/>
    <w:rsid w:val="00F100EA"/>
    <w:rsid w:val="00F33E44"/>
    <w:rsid w:val="00F3625C"/>
    <w:rsid w:val="00F36A25"/>
    <w:rsid w:val="00F424D4"/>
    <w:rsid w:val="00F70ACF"/>
    <w:rsid w:val="00F80AF2"/>
    <w:rsid w:val="00F97F50"/>
    <w:rsid w:val="00FB0C97"/>
    <w:rsid w:val="00FC73BB"/>
    <w:rsid w:val="00FD220C"/>
    <w:rsid w:val="00FD311A"/>
    <w:rsid w:val="00FE0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095"/>
    <w:pPr>
      <w:spacing w:after="40"/>
      <w:jc w:val="both"/>
    </w:pPr>
    <w:rPr>
      <w:rFonts w:eastAsia="Times New Roman"/>
      <w:sz w:val="18"/>
    </w:rPr>
  </w:style>
  <w:style w:type="paragraph" w:styleId="Heading1">
    <w:name w:val="heading 1"/>
    <w:basedOn w:val="H1"/>
    <w:next w:val="Normal"/>
    <w:link w:val="Heading1Char"/>
    <w:qFormat/>
    <w:rsid w:val="004D5095"/>
    <w:pPr>
      <w:keepNext/>
      <w:spacing w:after="60"/>
      <w:jc w:val="left"/>
      <w:outlineLvl w:val="0"/>
    </w:pPr>
    <w:rPr>
      <w:kern w:val="28"/>
    </w:rPr>
  </w:style>
  <w:style w:type="paragraph" w:styleId="Heading2">
    <w:name w:val="heading 2"/>
    <w:basedOn w:val="Normal"/>
    <w:next w:val="Normal"/>
    <w:link w:val="Heading2Char"/>
    <w:qFormat/>
    <w:rsid w:val="004D5095"/>
    <w:pPr>
      <w:keepNext/>
      <w:spacing w:before="80" w:after="0"/>
      <w:outlineLvl w:val="1"/>
    </w:pPr>
    <w:rPr>
      <w:b/>
      <w:i/>
      <w:color w:val="002D86"/>
      <w:sz w:val="20"/>
    </w:rPr>
  </w:style>
  <w:style w:type="paragraph" w:styleId="Heading3">
    <w:name w:val="heading 3"/>
    <w:basedOn w:val="Normal"/>
    <w:next w:val="Normal"/>
    <w:link w:val="Heading3Char"/>
    <w:qFormat/>
    <w:rsid w:val="004D5095"/>
    <w:pPr>
      <w:keepNext/>
      <w:spacing w:after="60"/>
      <w:jc w:val="center"/>
      <w:outlineLvl w:val="2"/>
    </w:pPr>
    <w:rPr>
      <w:b/>
    </w:rPr>
  </w:style>
  <w:style w:type="paragraph" w:styleId="Heading4">
    <w:name w:val="heading 4"/>
    <w:basedOn w:val="Heading3"/>
    <w:next w:val="Normal"/>
    <w:link w:val="Heading4Char"/>
    <w:qFormat/>
    <w:rsid w:val="004D5095"/>
    <w:pPr>
      <w:spacing w:before="120" w:after="0"/>
      <w:jc w:val="left"/>
      <w:outlineLvl w:val="3"/>
    </w:pPr>
    <w:rPr>
      <w:b w:val="0"/>
      <w:i/>
    </w:rPr>
  </w:style>
  <w:style w:type="paragraph" w:styleId="Heading5">
    <w:name w:val="heading 5"/>
    <w:basedOn w:val="Normal"/>
    <w:next w:val="Normal"/>
    <w:link w:val="Heading5Char"/>
    <w:qFormat/>
    <w:rsid w:val="004D5095"/>
    <w:pPr>
      <w:spacing w:before="240" w:after="60"/>
      <w:outlineLvl w:val="4"/>
    </w:pPr>
    <w:rPr>
      <w:sz w:val="22"/>
    </w:rPr>
  </w:style>
  <w:style w:type="paragraph" w:styleId="Heading6">
    <w:name w:val="heading 6"/>
    <w:basedOn w:val="Normal"/>
    <w:next w:val="Normal"/>
    <w:link w:val="Heading6Char"/>
    <w:qFormat/>
    <w:rsid w:val="004D5095"/>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link w:val="Heading7Char"/>
    <w:qFormat/>
    <w:rsid w:val="004D5095"/>
    <w:pPr>
      <w:keepNext/>
      <w:outlineLvl w:val="6"/>
    </w:pPr>
    <w:rPr>
      <w:b/>
      <w:u w:val="single"/>
    </w:rPr>
  </w:style>
  <w:style w:type="paragraph" w:styleId="Heading8">
    <w:name w:val="heading 8"/>
    <w:basedOn w:val="Normal"/>
    <w:next w:val="Normal"/>
    <w:link w:val="Heading8Char"/>
    <w:qFormat/>
    <w:rsid w:val="004D5095"/>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link w:val="Heading9Char"/>
    <w:qFormat/>
    <w:rsid w:val="004D5095"/>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4D5095"/>
    <w:pPr>
      <w:spacing w:after="240"/>
      <w:jc w:val="center"/>
    </w:pPr>
    <w:rPr>
      <w:rFonts w:eastAsia="Times New Roman"/>
      <w:caps/>
      <w:noProof/>
      <w:color w:val="002D86"/>
      <w:sz w:val="40"/>
    </w:rPr>
  </w:style>
  <w:style w:type="character" w:customStyle="1" w:styleId="H1Char">
    <w:name w:val="H1 Char"/>
    <w:basedOn w:val="DefaultParagraphFont"/>
    <w:link w:val="H1"/>
    <w:rsid w:val="00FE021C"/>
    <w:rPr>
      <w:rFonts w:eastAsia="Times New Roman"/>
      <w:caps/>
      <w:noProof/>
      <w:color w:val="002D86"/>
      <w:sz w:val="40"/>
    </w:rPr>
  </w:style>
  <w:style w:type="character" w:customStyle="1" w:styleId="Heading2Char">
    <w:name w:val="Heading 2 Char"/>
    <w:basedOn w:val="DefaultParagraphFont"/>
    <w:link w:val="Heading2"/>
    <w:rsid w:val="007B5B9E"/>
    <w:rPr>
      <w:rFonts w:eastAsia="Times New Roman"/>
      <w:b/>
      <w:i/>
      <w:color w:val="002D86"/>
    </w:rPr>
  </w:style>
  <w:style w:type="paragraph" w:styleId="Header">
    <w:name w:val="header"/>
    <w:basedOn w:val="Normal"/>
    <w:link w:val="HeaderChar"/>
    <w:rsid w:val="004D5095"/>
    <w:pPr>
      <w:jc w:val="center"/>
    </w:pPr>
  </w:style>
  <w:style w:type="character" w:customStyle="1" w:styleId="HeaderChar">
    <w:name w:val="Header Char"/>
    <w:basedOn w:val="DefaultParagraphFont"/>
    <w:link w:val="Header"/>
    <w:rsid w:val="007B5B9E"/>
    <w:rPr>
      <w:rFonts w:eastAsia="Times New Roman"/>
      <w:sz w:val="18"/>
    </w:rPr>
  </w:style>
  <w:style w:type="paragraph" w:styleId="Footer">
    <w:name w:val="footer"/>
    <w:basedOn w:val="Header"/>
    <w:link w:val="FooterChar"/>
    <w:rsid w:val="004D5095"/>
  </w:style>
  <w:style w:type="character" w:customStyle="1" w:styleId="FooterChar">
    <w:name w:val="Footer Char"/>
    <w:basedOn w:val="DefaultParagraphFont"/>
    <w:link w:val="Footer"/>
    <w:rsid w:val="007B5B9E"/>
    <w:rPr>
      <w:rFonts w:eastAsia="Times New Roman"/>
      <w:sz w:val="18"/>
    </w:rPr>
  </w:style>
  <w:style w:type="character" w:styleId="PageNumber">
    <w:name w:val="page number"/>
    <w:basedOn w:val="DefaultParagraphFont"/>
    <w:rsid w:val="004D5095"/>
    <w:rPr>
      <w:rFonts w:ascii="Trebuchet MS" w:hAnsi="Trebuchet MS"/>
      <w:sz w:val="16"/>
    </w:rPr>
  </w:style>
  <w:style w:type="paragraph" w:customStyle="1" w:styleId="H2">
    <w:name w:val="H2"/>
    <w:basedOn w:val="Normal"/>
    <w:link w:val="H2Char"/>
    <w:rsid w:val="004D5095"/>
    <w:pPr>
      <w:pBdr>
        <w:bottom w:val="single" w:sz="4" w:space="1" w:color="808080"/>
      </w:pBdr>
      <w:spacing w:before="120"/>
      <w:jc w:val="left"/>
    </w:pPr>
    <w:rPr>
      <w:caps/>
      <w:noProof/>
      <w:color w:val="002D86"/>
      <w:sz w:val="24"/>
    </w:rPr>
  </w:style>
  <w:style w:type="paragraph" w:styleId="CommentText">
    <w:name w:val="annotation text"/>
    <w:basedOn w:val="Normal"/>
    <w:link w:val="CommentTextChar"/>
    <w:semiHidden/>
    <w:rsid w:val="004D5095"/>
    <w:rPr>
      <w:sz w:val="20"/>
    </w:rPr>
  </w:style>
  <w:style w:type="character" w:customStyle="1" w:styleId="CommentTextChar">
    <w:name w:val="Comment Text Char"/>
    <w:basedOn w:val="DefaultParagraphFont"/>
    <w:link w:val="CommentText"/>
    <w:semiHidden/>
    <w:rsid w:val="007B5B9E"/>
    <w:rPr>
      <w:rFonts w:eastAsia="Times New Roman"/>
    </w:rPr>
  </w:style>
  <w:style w:type="paragraph" w:customStyle="1" w:styleId="ProgramHead">
    <w:name w:val="ProgramHead"/>
    <w:basedOn w:val="H2"/>
    <w:rsid w:val="004D5095"/>
    <w:pPr>
      <w:pBdr>
        <w:bottom w:val="single" w:sz="2" w:space="1" w:color="BFBFBF"/>
      </w:pBdr>
      <w:spacing w:after="0"/>
    </w:pPr>
  </w:style>
  <w:style w:type="paragraph" w:styleId="BodyText">
    <w:name w:val="Body Text"/>
    <w:basedOn w:val="Normal"/>
    <w:link w:val="BodyTextChar"/>
    <w:rsid w:val="004D5095"/>
    <w:pPr>
      <w:ind w:right="-54"/>
    </w:pPr>
  </w:style>
  <w:style w:type="character" w:customStyle="1" w:styleId="BodyTextChar">
    <w:name w:val="Body Text Char"/>
    <w:basedOn w:val="DefaultParagraphFont"/>
    <w:link w:val="BodyText"/>
    <w:rsid w:val="007B5B9E"/>
    <w:rPr>
      <w:rFonts w:eastAsia="Times New Roman"/>
      <w:sz w:val="18"/>
    </w:rPr>
  </w:style>
  <w:style w:type="character" w:customStyle="1" w:styleId="H2Char">
    <w:name w:val="H2 Char"/>
    <w:basedOn w:val="H1Char"/>
    <w:link w:val="H2"/>
    <w:rsid w:val="007B5B9E"/>
    <w:rPr>
      <w:sz w:val="24"/>
    </w:rPr>
  </w:style>
  <w:style w:type="character" w:styleId="Hyperlink">
    <w:name w:val="Hyperlink"/>
    <w:basedOn w:val="DefaultParagraphFont"/>
    <w:rsid w:val="004D5095"/>
    <w:rPr>
      <w:rFonts w:ascii="Calibri" w:hAnsi="Calibri"/>
      <w:color w:val="17365D"/>
      <w:sz w:val="18"/>
      <w:u w:val="single"/>
    </w:rPr>
  </w:style>
  <w:style w:type="paragraph" w:styleId="BalloonText">
    <w:name w:val="Balloon Text"/>
    <w:basedOn w:val="Normal"/>
    <w:link w:val="BalloonTextChar"/>
    <w:semiHidden/>
    <w:rsid w:val="004D5095"/>
    <w:rPr>
      <w:rFonts w:ascii="Tahoma" w:hAnsi="Tahoma" w:cs="Tahoma"/>
      <w:szCs w:val="16"/>
    </w:rPr>
  </w:style>
  <w:style w:type="character" w:customStyle="1" w:styleId="BalloonTextChar">
    <w:name w:val="Balloon Text Char"/>
    <w:basedOn w:val="DefaultParagraphFont"/>
    <w:link w:val="BalloonText"/>
    <w:semiHidden/>
    <w:rsid w:val="007B5B9E"/>
    <w:rPr>
      <w:rFonts w:ascii="Tahoma" w:eastAsia="Times New Roman" w:hAnsi="Tahoma" w:cs="Tahoma"/>
      <w:sz w:val="18"/>
      <w:szCs w:val="16"/>
    </w:rPr>
  </w:style>
  <w:style w:type="paragraph" w:styleId="BodyText2">
    <w:name w:val="Body Text 2"/>
    <w:basedOn w:val="Normal"/>
    <w:link w:val="BodyText2Char"/>
    <w:rsid w:val="004D5095"/>
    <w:rPr>
      <w:kern w:val="16"/>
      <w:sz w:val="16"/>
    </w:rPr>
  </w:style>
  <w:style w:type="character" w:customStyle="1" w:styleId="BodyText2Char">
    <w:name w:val="Body Text 2 Char"/>
    <w:basedOn w:val="DefaultParagraphFont"/>
    <w:link w:val="BodyText2"/>
    <w:rsid w:val="007B5B9E"/>
    <w:rPr>
      <w:rFonts w:eastAsia="Times New Roman"/>
      <w:kern w:val="16"/>
      <w:sz w:val="16"/>
    </w:rPr>
  </w:style>
  <w:style w:type="paragraph" w:styleId="BodyText3">
    <w:name w:val="Body Text 3"/>
    <w:basedOn w:val="Normal"/>
    <w:link w:val="BodyText3Char"/>
    <w:rsid w:val="004D5095"/>
    <w:pPr>
      <w:spacing w:after="120"/>
    </w:pPr>
  </w:style>
  <w:style w:type="character" w:customStyle="1" w:styleId="BodyText3Char">
    <w:name w:val="Body Text 3 Char"/>
    <w:basedOn w:val="DefaultParagraphFont"/>
    <w:link w:val="BodyText3"/>
    <w:rsid w:val="007B5B9E"/>
    <w:rPr>
      <w:rFonts w:eastAsia="Times New Roman"/>
      <w:sz w:val="18"/>
    </w:rPr>
  </w:style>
  <w:style w:type="paragraph" w:styleId="BodyTextIndent">
    <w:name w:val="Body Text Indent"/>
    <w:basedOn w:val="Normal"/>
    <w:link w:val="BodyTextIndentChar"/>
    <w:rsid w:val="004D5095"/>
    <w:pPr>
      <w:ind w:left="720"/>
    </w:pPr>
  </w:style>
  <w:style w:type="character" w:customStyle="1" w:styleId="BodyTextIndentChar">
    <w:name w:val="Body Text Indent Char"/>
    <w:basedOn w:val="DefaultParagraphFont"/>
    <w:link w:val="BodyTextIndent"/>
    <w:rsid w:val="007B5B9E"/>
    <w:rPr>
      <w:rFonts w:eastAsia="Times New Roman"/>
      <w:sz w:val="18"/>
    </w:rPr>
  </w:style>
  <w:style w:type="paragraph" w:customStyle="1" w:styleId="Bullets">
    <w:name w:val="Bullets"/>
    <w:basedOn w:val="Normal"/>
    <w:rsid w:val="004D5095"/>
    <w:pPr>
      <w:spacing w:before="40"/>
      <w:jc w:val="left"/>
    </w:pPr>
    <w:rPr>
      <w:rFonts w:ascii="Times New Roman" w:hAnsi="Times New Roman"/>
      <w:sz w:val="22"/>
    </w:rPr>
  </w:style>
  <w:style w:type="paragraph" w:customStyle="1" w:styleId="BulletsDigest">
    <w:name w:val="Bullets Digest"/>
    <w:rsid w:val="007B5B9E"/>
    <w:pPr>
      <w:numPr>
        <w:numId w:val="1"/>
      </w:numPr>
    </w:pPr>
    <w:rPr>
      <w:rFonts w:ascii="Times New Roman" w:eastAsia="Times New Roman" w:hAnsi="Times New Roman"/>
      <w:sz w:val="24"/>
    </w:rPr>
  </w:style>
  <w:style w:type="character" w:styleId="CommentReference">
    <w:name w:val="annotation reference"/>
    <w:basedOn w:val="DefaultParagraphFont"/>
    <w:semiHidden/>
    <w:rsid w:val="004D5095"/>
    <w:rPr>
      <w:sz w:val="16"/>
      <w:szCs w:val="16"/>
    </w:rPr>
  </w:style>
  <w:style w:type="paragraph" w:styleId="DocumentMap">
    <w:name w:val="Document Map"/>
    <w:basedOn w:val="Normal"/>
    <w:link w:val="DocumentMapChar"/>
    <w:semiHidden/>
    <w:rsid w:val="004D5095"/>
    <w:pPr>
      <w:shd w:val="clear" w:color="auto" w:fill="000080"/>
    </w:pPr>
    <w:rPr>
      <w:rFonts w:ascii="Tahoma" w:hAnsi="Tahoma" w:cs="Tahoma"/>
    </w:rPr>
  </w:style>
  <w:style w:type="character" w:customStyle="1" w:styleId="DocumentMapChar">
    <w:name w:val="Document Map Char"/>
    <w:basedOn w:val="DefaultParagraphFont"/>
    <w:link w:val="DocumentMap"/>
    <w:semiHidden/>
    <w:rsid w:val="007B5B9E"/>
    <w:rPr>
      <w:rFonts w:ascii="Tahoma" w:eastAsia="Times New Roman" w:hAnsi="Tahoma" w:cs="Tahoma"/>
      <w:sz w:val="18"/>
      <w:shd w:val="clear" w:color="auto" w:fill="000080"/>
    </w:rPr>
  </w:style>
  <w:style w:type="character" w:styleId="FollowedHyperlink">
    <w:name w:val="FollowedHyperlink"/>
    <w:basedOn w:val="DefaultParagraphFont"/>
    <w:rsid w:val="004D5095"/>
    <w:rPr>
      <w:color w:val="800080"/>
      <w:u w:val="single"/>
    </w:rPr>
  </w:style>
  <w:style w:type="paragraph" w:customStyle="1" w:styleId="H2SubProgram">
    <w:name w:val="H2 SubProgram"/>
    <w:basedOn w:val="H2"/>
    <w:rsid w:val="004D5095"/>
    <w:pPr>
      <w:jc w:val="center"/>
    </w:pPr>
  </w:style>
  <w:style w:type="character" w:customStyle="1" w:styleId="Heading3Char">
    <w:name w:val="Heading 3 Char"/>
    <w:basedOn w:val="DefaultParagraphFont"/>
    <w:link w:val="Heading3"/>
    <w:rsid w:val="007B5B9E"/>
    <w:rPr>
      <w:rFonts w:eastAsia="Times New Roman"/>
      <w:b/>
      <w:sz w:val="18"/>
    </w:rPr>
  </w:style>
  <w:style w:type="paragraph" w:customStyle="1" w:styleId="H3">
    <w:name w:val="H3"/>
    <w:basedOn w:val="Heading3"/>
    <w:next w:val="Normal"/>
    <w:rsid w:val="004D5095"/>
  </w:style>
  <w:style w:type="character" w:customStyle="1" w:styleId="Heading4Char">
    <w:name w:val="Heading 4 Char"/>
    <w:basedOn w:val="DefaultParagraphFont"/>
    <w:link w:val="Heading4"/>
    <w:rsid w:val="007B5B9E"/>
    <w:rPr>
      <w:rFonts w:eastAsia="Times New Roman"/>
      <w:i/>
      <w:sz w:val="18"/>
    </w:rPr>
  </w:style>
  <w:style w:type="paragraph" w:customStyle="1" w:styleId="H4">
    <w:name w:val="H4"/>
    <w:basedOn w:val="Normal"/>
    <w:next w:val="Normal"/>
    <w:rsid w:val="004D5095"/>
    <w:pPr>
      <w:spacing w:before="80"/>
      <w:jc w:val="left"/>
    </w:pPr>
    <w:rPr>
      <w:caps/>
      <w:color w:val="002291"/>
      <w:sz w:val="20"/>
    </w:rPr>
  </w:style>
  <w:style w:type="paragraph" w:customStyle="1" w:styleId="H4Blue">
    <w:name w:val="H4Blue"/>
    <w:basedOn w:val="H4"/>
    <w:qFormat/>
    <w:rsid w:val="004D5095"/>
    <w:rPr>
      <w:color w:val="002D86"/>
    </w:rPr>
  </w:style>
  <w:style w:type="character" w:customStyle="1" w:styleId="Heading5Char">
    <w:name w:val="Heading 5 Char"/>
    <w:basedOn w:val="DefaultParagraphFont"/>
    <w:link w:val="Heading5"/>
    <w:rsid w:val="007B5B9E"/>
    <w:rPr>
      <w:rFonts w:eastAsia="Times New Roman"/>
      <w:sz w:val="22"/>
    </w:rPr>
  </w:style>
  <w:style w:type="paragraph" w:customStyle="1" w:styleId="H5">
    <w:name w:val="H5"/>
    <w:basedOn w:val="Heading5"/>
    <w:next w:val="Normal"/>
    <w:rsid w:val="004D5095"/>
  </w:style>
  <w:style w:type="paragraph" w:customStyle="1" w:styleId="H6">
    <w:name w:val="H6"/>
    <w:rsid w:val="004D5095"/>
    <w:pPr>
      <w:spacing w:before="60" w:after="60"/>
    </w:pPr>
    <w:rPr>
      <w:rFonts w:ascii="AvantGarde" w:eastAsia="Times New Roman" w:hAnsi="AvantGarde"/>
      <w:smallCaps/>
      <w:noProof/>
      <w:color w:val="000080"/>
      <w:sz w:val="24"/>
    </w:rPr>
  </w:style>
  <w:style w:type="paragraph" w:customStyle="1" w:styleId="H7">
    <w:name w:val="H7"/>
    <w:basedOn w:val="Normal"/>
    <w:rsid w:val="004D5095"/>
    <w:rPr>
      <w:sz w:val="16"/>
    </w:rPr>
  </w:style>
  <w:style w:type="paragraph" w:customStyle="1" w:styleId="H7b0">
    <w:name w:val="H7b"/>
    <w:basedOn w:val="H7"/>
    <w:rsid w:val="004D5095"/>
    <w:pPr>
      <w:jc w:val="right"/>
      <w:outlineLvl w:val="0"/>
    </w:pPr>
    <w:rPr>
      <w:rFonts w:ascii="Arial" w:hAnsi="Arial"/>
    </w:rPr>
  </w:style>
  <w:style w:type="paragraph" w:customStyle="1" w:styleId="H7B">
    <w:name w:val="H7B"/>
    <w:basedOn w:val="H7"/>
    <w:rsid w:val="004D5095"/>
    <w:pPr>
      <w:numPr>
        <w:numId w:val="11"/>
      </w:numPr>
      <w:tabs>
        <w:tab w:val="left" w:pos="144"/>
      </w:tabs>
    </w:pPr>
    <w:rPr>
      <w:b/>
      <w:sz w:val="18"/>
    </w:rPr>
  </w:style>
  <w:style w:type="character" w:customStyle="1" w:styleId="Heading1Char">
    <w:name w:val="Heading 1 Char"/>
    <w:basedOn w:val="DefaultParagraphFont"/>
    <w:link w:val="Heading1"/>
    <w:rsid w:val="007B5B9E"/>
    <w:rPr>
      <w:rFonts w:eastAsia="Times New Roman"/>
      <w:caps/>
      <w:noProof/>
      <w:color w:val="002D86"/>
      <w:kern w:val="28"/>
      <w:sz w:val="40"/>
    </w:rPr>
  </w:style>
  <w:style w:type="character" w:customStyle="1" w:styleId="Heading6Char">
    <w:name w:val="Heading 6 Char"/>
    <w:basedOn w:val="DefaultParagraphFont"/>
    <w:link w:val="Heading6"/>
    <w:rsid w:val="007B5B9E"/>
    <w:rPr>
      <w:rFonts w:eastAsia="Times New Roman"/>
      <w:b/>
      <w:color w:val="C0C0C0"/>
      <w:sz w:val="18"/>
      <w:shd w:val="pct20" w:color="000000" w:fill="FFFFFF"/>
    </w:rPr>
  </w:style>
  <w:style w:type="character" w:customStyle="1" w:styleId="Heading7Char">
    <w:name w:val="Heading 7 Char"/>
    <w:basedOn w:val="DefaultParagraphFont"/>
    <w:link w:val="Heading7"/>
    <w:rsid w:val="007B5B9E"/>
    <w:rPr>
      <w:rFonts w:eastAsia="Times New Roman"/>
      <w:b/>
      <w:sz w:val="18"/>
      <w:u w:val="single"/>
    </w:rPr>
  </w:style>
  <w:style w:type="character" w:customStyle="1" w:styleId="Heading8Char">
    <w:name w:val="Heading 8 Char"/>
    <w:basedOn w:val="DefaultParagraphFont"/>
    <w:link w:val="Heading8"/>
    <w:rsid w:val="007B5B9E"/>
    <w:rPr>
      <w:rFonts w:eastAsia="Times New Roman"/>
      <w:b/>
      <w:sz w:val="28"/>
    </w:rPr>
  </w:style>
  <w:style w:type="character" w:customStyle="1" w:styleId="Heading9Char">
    <w:name w:val="Heading 9 Char"/>
    <w:basedOn w:val="DefaultParagraphFont"/>
    <w:link w:val="Heading9"/>
    <w:rsid w:val="007B5B9E"/>
    <w:rPr>
      <w:rFonts w:eastAsia="Times New Roman"/>
      <w:b/>
      <w:sz w:val="18"/>
    </w:rPr>
  </w:style>
  <w:style w:type="paragraph" w:customStyle="1" w:styleId="Heading2Green">
    <w:name w:val="Heading2Green"/>
    <w:basedOn w:val="Heading2"/>
    <w:qFormat/>
    <w:rsid w:val="004D5095"/>
    <w:rPr>
      <w:b w:val="0"/>
      <w:color w:val="006600"/>
    </w:rPr>
  </w:style>
  <w:style w:type="character" w:styleId="IntenseEmphasis">
    <w:name w:val="Intense Emphasis"/>
    <w:basedOn w:val="DefaultParagraphFont"/>
    <w:uiPriority w:val="21"/>
    <w:qFormat/>
    <w:rsid w:val="004D5095"/>
    <w:rPr>
      <w:b/>
      <w:bCs/>
      <w:i/>
      <w:iCs/>
      <w:color w:val="4F81BD"/>
    </w:rPr>
  </w:style>
  <w:style w:type="paragraph" w:styleId="NormalWeb">
    <w:name w:val="Normal (Web)"/>
    <w:basedOn w:val="Normal"/>
    <w:rsid w:val="004D5095"/>
    <w:pPr>
      <w:spacing w:before="100" w:beforeAutospacing="1" w:after="100" w:afterAutospacing="1"/>
      <w:jc w:val="left"/>
    </w:pPr>
    <w:rPr>
      <w:rFonts w:ascii="Times New Roman" w:hAnsi="Times New Roman"/>
      <w:sz w:val="24"/>
      <w:szCs w:val="24"/>
    </w:rPr>
  </w:style>
  <w:style w:type="paragraph" w:customStyle="1" w:styleId="NormalB">
    <w:name w:val="NormalB"/>
    <w:basedOn w:val="Normal"/>
    <w:rsid w:val="004D5095"/>
    <w:pPr>
      <w:numPr>
        <w:numId w:val="12"/>
      </w:numPr>
      <w:tabs>
        <w:tab w:val="left" w:pos="144"/>
      </w:tabs>
    </w:pPr>
  </w:style>
  <w:style w:type="character" w:styleId="Strong">
    <w:name w:val="Strong"/>
    <w:basedOn w:val="DefaultParagraphFont"/>
    <w:qFormat/>
    <w:rsid w:val="004D5095"/>
    <w:rPr>
      <w:b/>
      <w:bCs/>
    </w:rPr>
  </w:style>
  <w:style w:type="paragraph" w:customStyle="1" w:styleId="StyleH1Left">
    <w:name w:val="Style H1 + Left"/>
    <w:basedOn w:val="H1"/>
    <w:rsid w:val="004D5095"/>
    <w:pPr>
      <w:jc w:val="left"/>
    </w:pPr>
    <w:rPr>
      <w:color w:val="005400"/>
    </w:rPr>
  </w:style>
  <w:style w:type="paragraph" w:customStyle="1" w:styleId="StyleHeading4">
    <w:name w:val="Style Heading 4 +"/>
    <w:basedOn w:val="Heading4"/>
    <w:rsid w:val="004D5095"/>
    <w:rPr>
      <w:bCs/>
    </w:rPr>
  </w:style>
  <w:style w:type="paragraph" w:customStyle="1" w:styleId="SubProgramHead">
    <w:name w:val="SubProgramHead"/>
    <w:basedOn w:val="ProgramHead"/>
    <w:rsid w:val="004D5095"/>
    <w:pPr>
      <w:jc w:val="center"/>
    </w:pPr>
  </w:style>
  <w:style w:type="paragraph" w:customStyle="1" w:styleId="SubprogramHead0">
    <w:name w:val="SubprogramHead"/>
    <w:basedOn w:val="Heading2"/>
    <w:rsid w:val="004D5095"/>
    <w:pPr>
      <w:spacing w:before="40"/>
    </w:pPr>
  </w:style>
  <w:style w:type="table" w:styleId="TableGrid">
    <w:name w:val="Table Grid"/>
    <w:basedOn w:val="TableNormal"/>
    <w:rsid w:val="004D5095"/>
    <w:pPr>
      <w:spacing w:after="40"/>
      <w:jc w:val="both"/>
    </w:pPr>
    <w:rPr>
      <w:rFonts w:ascii="Trebuchet MS" w:eastAsia="Times New Roman" w:hAnsi="Trebuchet MS"/>
      <w:sz w:val="16"/>
    </w:rPr>
    <w:tblPr>
      <w:tblInd w:w="0" w:type="dxa"/>
      <w:tblCellMar>
        <w:top w:w="0" w:type="dxa"/>
        <w:left w:w="108" w:type="dxa"/>
        <w:bottom w:w="0" w:type="dxa"/>
        <w:right w:w="108" w:type="dxa"/>
      </w:tblCellMar>
    </w:tblPr>
    <w:tcPr>
      <w:vAlign w:val="center"/>
    </w:tcPr>
  </w:style>
  <w:style w:type="paragraph" w:styleId="TOC1">
    <w:name w:val="toc 1"/>
    <w:basedOn w:val="Normal"/>
    <w:next w:val="Normal"/>
    <w:autoRedefine/>
    <w:semiHidden/>
    <w:rsid w:val="004D5095"/>
    <w:rPr>
      <w:rFonts w:ascii="Verdana" w:hAnsi="Verdana"/>
    </w:rPr>
  </w:style>
  <w:style w:type="paragraph" w:styleId="Revision">
    <w:name w:val="Revision"/>
    <w:hidden/>
    <w:uiPriority w:val="99"/>
    <w:semiHidden/>
    <w:rsid w:val="00537E16"/>
    <w:rPr>
      <w:rFonts w:eastAsia="Times New Roman"/>
      <w:sz w:val="18"/>
    </w:rPr>
  </w:style>
  <w:style w:type="paragraph" w:styleId="ListParagraph">
    <w:name w:val="List Paragraph"/>
    <w:basedOn w:val="Normal"/>
    <w:uiPriority w:val="34"/>
    <w:qFormat/>
    <w:rsid w:val="003432FD"/>
    <w:pPr>
      <w:ind w:left="720"/>
      <w:contextualSpacing/>
    </w:pPr>
  </w:style>
</w:styles>
</file>

<file path=word/webSettings.xml><?xml version="1.0" encoding="utf-8"?>
<w:webSettings xmlns:r="http://schemas.openxmlformats.org/officeDocument/2006/relationships" xmlns:w="http://schemas.openxmlformats.org/wordprocessingml/2006/main">
  <w:divs>
    <w:div w:id="865480381">
      <w:bodyDiv w:val="1"/>
      <w:marLeft w:val="0"/>
      <w:marRight w:val="0"/>
      <w:marTop w:val="0"/>
      <w:marBottom w:val="0"/>
      <w:divBdr>
        <w:top w:val="none" w:sz="0" w:space="0" w:color="auto"/>
        <w:left w:val="none" w:sz="0" w:space="0" w:color="auto"/>
        <w:bottom w:val="none" w:sz="0" w:space="0" w:color="auto"/>
        <w:right w:val="none" w:sz="0" w:space="0" w:color="auto"/>
      </w:divBdr>
    </w:div>
    <w:div w:id="872157406">
      <w:bodyDiv w:val="1"/>
      <w:marLeft w:val="0"/>
      <w:marRight w:val="0"/>
      <w:marTop w:val="0"/>
      <w:marBottom w:val="0"/>
      <w:divBdr>
        <w:top w:val="none" w:sz="0" w:space="0" w:color="auto"/>
        <w:left w:val="none" w:sz="0" w:space="0" w:color="auto"/>
        <w:bottom w:val="none" w:sz="0" w:space="0" w:color="auto"/>
        <w:right w:val="none" w:sz="0" w:space="0" w:color="auto"/>
      </w:divBdr>
    </w:div>
    <w:div w:id="138152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ACB10-6B02-40CC-A716-857E8C1A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6</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DRAFT - DEPARTMENT OF PUBLIC SAFETY </vt:lpstr>
    </vt:vector>
  </TitlesOfParts>
  <Company>State of Connecticut-Office of Policy &amp; Management</Company>
  <LinksUpToDate>false</LinksUpToDate>
  <CharactersWithSpaces>29505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DEPARTMENT OF PUBLIC SAFETY </dc:title>
  <dc:subject/>
  <dc:creator>Linda Lach</dc:creator>
  <cp:keywords/>
  <dc:description/>
  <cp:lastModifiedBy>Charles Pomeroy</cp:lastModifiedBy>
  <cp:revision>14</cp:revision>
  <cp:lastPrinted>2013-01-27T22:16:00Z</cp:lastPrinted>
  <dcterms:created xsi:type="dcterms:W3CDTF">2013-01-09T15:24:00Z</dcterms:created>
  <dcterms:modified xsi:type="dcterms:W3CDTF">2013-02-02T19:00:00Z</dcterms:modified>
</cp:coreProperties>
</file>