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2C9" w:rsidRDefault="004E3D2F">
      <w:pPr>
        <w:pStyle w:val="H1"/>
      </w:pPr>
      <w:r>
        <w:t xml:space="preserve">Department of Public Health </w:t>
      </w:r>
    </w:p>
    <w:p w:rsidR="00B912C9" w:rsidRDefault="00C3771A">
      <w:pPr>
        <w:pStyle w:val="H2"/>
      </w:pPr>
      <w:r>
        <w:fldChar w:fldCharType="begin"/>
      </w:r>
      <w:r w:rsidR="004E3D2F">
        <w:instrText xml:space="preserve"> XE "Public health, Department of" </w:instrText>
      </w:r>
      <w:r>
        <w:fldChar w:fldCharType="end"/>
      </w:r>
      <w:r w:rsidR="004E3D2F">
        <w:t>Agency Description</w:t>
      </w:r>
      <w:r w:rsidR="004E3D2F">
        <w:tab/>
      </w:r>
    </w:p>
    <w:p w:rsidR="00B912C9" w:rsidRDefault="00B912C9">
      <w:pPr>
        <w:numPr>
          <w:ilvl w:val="0"/>
          <w:numId w:val="15"/>
        </w:numPr>
        <w:rPr>
          <w:rFonts w:cs="Arial"/>
          <w:b/>
          <w:bCs/>
        </w:rPr>
        <w:sectPr w:rsidR="00B912C9" w:rsidSect="00EC5DE6">
          <w:headerReference w:type="even" r:id="rId8"/>
          <w:headerReference w:type="default" r:id="rId9"/>
          <w:footerReference w:type="even" r:id="rId10"/>
          <w:footerReference w:type="default" r:id="rId11"/>
          <w:type w:val="continuous"/>
          <w:pgSz w:w="12240" w:h="15840" w:code="1"/>
          <w:pgMar w:top="864" w:right="720" w:bottom="1152" w:left="720" w:header="432" w:footer="288" w:gutter="216"/>
          <w:cols w:space="720"/>
        </w:sectPr>
      </w:pPr>
    </w:p>
    <w:p w:rsidR="00B912C9" w:rsidRPr="00C408AD" w:rsidRDefault="004E3D2F">
      <w:r w:rsidRPr="00C408AD">
        <w:lastRenderedPageBreak/>
        <w:t xml:space="preserve">The Department of Public Health (DPH) is responsible for protecting the health and safety of the people of Connecticut; actively working to prevent disease and promote wellness through planning, education and programs such as prenatal care, immunizations, AIDS awareness and nutrition supplements; monitoring and assuring response to public health emergencies, infectious diseases, </w:t>
      </w:r>
      <w:r w:rsidRPr="00C408AD">
        <w:lastRenderedPageBreak/>
        <w:t>environmental and occupational health hazards; regulating health care providers such as health facilities, health professionals and emergency medical services; providing testing and monitoring support through the state laboratory</w:t>
      </w:r>
      <w:r w:rsidR="00747561">
        <w:t>,</w:t>
      </w:r>
      <w:r w:rsidRPr="00C408AD">
        <w:t xml:space="preserve"> and collecting and analyzing health data to help plan </w:t>
      </w:r>
      <w:r w:rsidR="00747561">
        <w:t>future policy</w:t>
      </w:r>
      <w:r w:rsidRPr="00C408AD">
        <w:t>.  DPH is also the repository for all birth, adoption, paternity, marriage and death certificates.</w:t>
      </w:r>
    </w:p>
    <w:p w:rsidR="00B912C9" w:rsidRPr="00C408AD" w:rsidRDefault="00B912C9">
      <w:pPr>
        <w:sectPr w:rsidR="00B912C9" w:rsidRPr="00C408AD">
          <w:type w:val="continuous"/>
          <w:pgSz w:w="12240" w:h="15840" w:code="1"/>
          <w:pgMar w:top="864" w:right="720" w:bottom="1152" w:left="720" w:header="432" w:footer="288" w:gutter="216"/>
          <w:cols w:num="2" w:space="432"/>
        </w:sectPr>
      </w:pPr>
    </w:p>
    <w:p w:rsidR="00B912C9" w:rsidRDefault="00B912C9"/>
    <w:p w:rsidR="006B2E71" w:rsidRDefault="006B2E71" w:rsidP="006B2E71">
      <w:pPr>
        <w:autoSpaceDE w:val="0"/>
        <w:autoSpaceDN w:val="0"/>
      </w:pPr>
      <w:r>
        <w:rPr>
          <w:rFonts w:ascii="Calibri-BoldItalic" w:hAnsi="Calibri-BoldItalic"/>
          <w:b/>
          <w:bCs/>
          <w:i/>
          <w:iCs/>
          <w:szCs w:val="18"/>
        </w:rPr>
        <w:t>The programs that support early childhood in Connecticut are recommended for transfer to and consolidation within the new Office of Early Childhood in the Governor’s budget as part of his proposal to restructure and transform state government.</w:t>
      </w:r>
    </w:p>
    <w:p w:rsidR="006B2E71" w:rsidRDefault="006B2E71"/>
    <w:p w:rsidR="00B912C9" w:rsidRDefault="00C3771A">
      <w:pPr>
        <w:pStyle w:val="ProgramHead"/>
      </w:pPr>
      <w:r>
        <w:fldChar w:fldCharType="begin"/>
      </w:r>
      <w:r w:rsidR="00B66F60">
        <w:instrText xml:space="preserve"> XE "dph48500 42006" </w:instrText>
      </w:r>
      <w:r>
        <w:fldChar w:fldCharType="end"/>
      </w:r>
      <w:r w:rsidR="004E3D2F">
        <w:t xml:space="preserve">Commissioner’s Programs  </w:t>
      </w:r>
    </w:p>
    <w:p w:rsidR="00B912C9" w:rsidRDefault="00B912C9">
      <w:pPr>
        <w:pStyle w:val="ProgramHead"/>
        <w:sectPr w:rsidR="00B912C9">
          <w:headerReference w:type="default" r:id="rId12"/>
          <w:footerReference w:type="default" r:id="rId13"/>
          <w:type w:val="continuous"/>
          <w:pgSz w:w="12240" w:h="15840" w:code="1"/>
          <w:pgMar w:top="864" w:right="720" w:bottom="1152" w:left="720" w:header="432" w:footer="288" w:gutter="216"/>
          <w:cols w:space="432"/>
        </w:sectPr>
      </w:pPr>
    </w:p>
    <w:p w:rsidR="00B912C9" w:rsidRDefault="004E3D2F">
      <w:pPr>
        <w:pStyle w:val="Heading2"/>
      </w:pPr>
      <w:r>
        <w:lastRenderedPageBreak/>
        <w:t>Statutory Reference</w:t>
      </w:r>
    </w:p>
    <w:p w:rsidR="00B912C9" w:rsidRPr="004D04C4" w:rsidRDefault="004E3D2F">
      <w:r w:rsidRPr="004D04C4">
        <w:t xml:space="preserve">C.G.S. Sections 19a-1a, 19a-1d, 19a-2a, 19a-4j-k, 19a-7, 19a-7a, 19a-14, 19a-25, 19a-127k, 19a-178, 19a-200 </w:t>
      </w:r>
      <w:r w:rsidRPr="00CB648F">
        <w:rPr>
          <w:i/>
        </w:rPr>
        <w:t>et seq</w:t>
      </w:r>
      <w:r w:rsidRPr="004D04C4">
        <w:t xml:space="preserve">., 19a-240 </w:t>
      </w:r>
      <w:r w:rsidRPr="00CB648F">
        <w:rPr>
          <w:i/>
        </w:rPr>
        <w:t>et seq</w:t>
      </w:r>
      <w:r w:rsidR="00CB648F">
        <w:rPr>
          <w:i/>
        </w:rPr>
        <w:t>.</w:t>
      </w:r>
      <w:r w:rsidRPr="004D04C4">
        <w:t xml:space="preserve">, 19a-634, 46b-20 </w:t>
      </w:r>
      <w:r w:rsidRPr="00CB648F">
        <w:rPr>
          <w:i/>
        </w:rPr>
        <w:t>et seq</w:t>
      </w:r>
      <w:r w:rsidRPr="004D04C4">
        <w:t>., and Sec. 19a-127l.</w:t>
      </w:r>
    </w:p>
    <w:p w:rsidR="00B912C9" w:rsidRDefault="004E3D2F">
      <w:pPr>
        <w:pStyle w:val="Heading2"/>
      </w:pPr>
      <w:r>
        <w:t>Statement of Need and Program Objectives</w:t>
      </w:r>
    </w:p>
    <w:p w:rsidR="00B912C9" w:rsidRPr="00C408AD" w:rsidRDefault="004E3D2F">
      <w:proofErr w:type="gramStart"/>
      <w:r w:rsidRPr="00C408AD">
        <w:t>To establish program direction and ensure conformance with overall agency policy.</w:t>
      </w:r>
      <w:proofErr w:type="gramEnd"/>
    </w:p>
    <w:p w:rsidR="00B912C9" w:rsidRDefault="004E3D2F">
      <w:pPr>
        <w:pStyle w:val="Heading2"/>
      </w:pPr>
      <w:r>
        <w:t>Program Description</w:t>
      </w:r>
    </w:p>
    <w:p w:rsidR="00B912C9" w:rsidRPr="00C408AD" w:rsidRDefault="004E3D2F" w:rsidP="00F57F18">
      <w:pPr>
        <w:spacing w:after="120"/>
      </w:pPr>
      <w:r w:rsidRPr="00C408AD">
        <w:t>Various offices provide support to the agency’s major programs.</w:t>
      </w:r>
    </w:p>
    <w:p w:rsidR="00B912C9" w:rsidRPr="00C408AD" w:rsidRDefault="004E3D2F" w:rsidP="00F57F18">
      <w:pPr>
        <w:spacing w:after="120"/>
      </w:pPr>
      <w:r w:rsidRPr="00D654A0">
        <w:t>The</w:t>
      </w:r>
      <w:r w:rsidRPr="004D04C4">
        <w:rPr>
          <w:rStyle w:val="Heading4Char"/>
        </w:rPr>
        <w:t xml:space="preserve"> Office of the Commissioner</w:t>
      </w:r>
      <w:r w:rsidRPr="00C408AD">
        <w:t xml:space="preserve"> establishes program direction and ensures conformance with overall agency policy.</w:t>
      </w:r>
    </w:p>
    <w:p w:rsidR="00F57F18" w:rsidRPr="00F57F18" w:rsidRDefault="00F57F18" w:rsidP="00BA3163">
      <w:r w:rsidRPr="00D654A0">
        <w:t>The</w:t>
      </w:r>
      <w:r w:rsidRPr="00BA3163">
        <w:rPr>
          <w:rStyle w:val="Heading4Char"/>
        </w:rPr>
        <w:t xml:space="preserve"> Communications Office</w:t>
      </w:r>
      <w:r w:rsidRPr="00F57F18">
        <w:rPr>
          <w:b/>
        </w:rPr>
        <w:t xml:space="preserve"> </w:t>
      </w:r>
      <w:r w:rsidRPr="00F57F18">
        <w:t>provides a full range of communication activities that serve the department and its stakeholde</w:t>
      </w:r>
      <w:r>
        <w:t xml:space="preserve">rs. Key functions </w:t>
      </w:r>
      <w:r w:rsidRPr="00F57F18">
        <w:t xml:space="preserve">include public information, freedom of information, media and community relations, marketing communications, issues </w:t>
      </w:r>
      <w:r w:rsidR="004D04C4">
        <w:t>management and public affairs, i</w:t>
      </w:r>
      <w:r w:rsidRPr="00F57F18">
        <w:t xml:space="preserve">nternet services, internal communications, and crisis and </w:t>
      </w:r>
      <w:r>
        <w:t>emergency risk communications.</w:t>
      </w:r>
    </w:p>
    <w:p w:rsidR="00F57F18" w:rsidRPr="00F57F18" w:rsidRDefault="00F57F18" w:rsidP="00BA3163">
      <w:r w:rsidRPr="00D654A0">
        <w:t>The</w:t>
      </w:r>
      <w:r w:rsidRPr="00BA3163">
        <w:rPr>
          <w:rStyle w:val="Heading4Char"/>
        </w:rPr>
        <w:t xml:space="preserve"> Government Relations Office</w:t>
      </w:r>
      <w:r w:rsidRPr="00F57F18">
        <w:t xml:space="preserve"> is responsible for legislative and regulatory information and referral activities, including the implementation of strategies to achieve the goals of the department’s legislative agenda. </w:t>
      </w:r>
      <w:r>
        <w:t xml:space="preserve"> </w:t>
      </w:r>
      <w:r w:rsidRPr="00F57F18">
        <w:t>The office tracks and analyzes public health-related legislation, ensures the implementation of approved legislation, coordinates the developm</w:t>
      </w:r>
      <w:r>
        <w:t>ent of regulations</w:t>
      </w:r>
      <w:r w:rsidRPr="00F57F18">
        <w:t xml:space="preserve"> and maintains the Public Health Code.</w:t>
      </w:r>
    </w:p>
    <w:p w:rsidR="00F57F18" w:rsidRPr="00F57F18" w:rsidRDefault="00F57F18" w:rsidP="00F57F18">
      <w:pPr>
        <w:spacing w:after="80"/>
        <w:rPr>
          <w:rFonts w:asciiTheme="minorHAnsi" w:hAnsiTheme="minorHAnsi"/>
        </w:rPr>
      </w:pPr>
      <w:r w:rsidRPr="00D654A0">
        <w:t>The</w:t>
      </w:r>
      <w:r w:rsidRPr="004D04C4">
        <w:rPr>
          <w:rStyle w:val="Heading4Char"/>
          <w:rFonts w:asciiTheme="minorHAnsi" w:hAnsiTheme="minorHAnsi"/>
        </w:rPr>
        <w:t xml:space="preserve"> Public Health Hearing Office</w:t>
      </w:r>
      <w:r w:rsidRPr="00F57F18">
        <w:rPr>
          <w:rFonts w:asciiTheme="minorHAnsi" w:hAnsiTheme="minorHAnsi" w:cs="Arial"/>
          <w:bCs/>
          <w:iCs/>
        </w:rPr>
        <w:t xml:space="preserve"> p</w:t>
      </w:r>
      <w:r w:rsidRPr="00F57F18">
        <w:rPr>
          <w:rFonts w:asciiTheme="minorHAnsi" w:hAnsiTheme="minorHAnsi" w:cs="Arial"/>
        </w:rPr>
        <w:t xml:space="preserve">resides over hearings and renders decisions in cases concerning individual healthcare providers who </w:t>
      </w:r>
      <w:r w:rsidR="00C43248">
        <w:rPr>
          <w:rFonts w:asciiTheme="minorHAnsi" w:hAnsiTheme="minorHAnsi" w:cs="Arial"/>
        </w:rPr>
        <w:t xml:space="preserve">are not overseen by </w:t>
      </w:r>
      <w:r w:rsidRPr="00F57F18">
        <w:rPr>
          <w:rFonts w:asciiTheme="minorHAnsi" w:hAnsiTheme="minorHAnsi" w:cs="Arial"/>
        </w:rPr>
        <w:t>licensing boards; orders issued by local health directors, orders concerning the Women, Infants and Children’s (W</w:t>
      </w:r>
      <w:r w:rsidR="00423B2B">
        <w:rPr>
          <w:rFonts w:asciiTheme="minorHAnsi" w:hAnsiTheme="minorHAnsi" w:cs="Arial"/>
        </w:rPr>
        <w:t xml:space="preserve">IC) Program; </w:t>
      </w:r>
      <w:r w:rsidRPr="00F57F18">
        <w:rPr>
          <w:rFonts w:asciiTheme="minorHAnsi" w:hAnsiTheme="minorHAnsi" w:cs="Arial"/>
        </w:rPr>
        <w:t>day care, you</w:t>
      </w:r>
      <w:r w:rsidR="00423B2B">
        <w:rPr>
          <w:rFonts w:asciiTheme="minorHAnsi" w:hAnsiTheme="minorHAnsi" w:cs="Arial"/>
        </w:rPr>
        <w:t>th camp, and facility licensees;</w:t>
      </w:r>
      <w:r w:rsidRPr="00F57F18">
        <w:rPr>
          <w:rFonts w:asciiTheme="minorHAnsi" w:hAnsiTheme="minorHAnsi" w:cs="Arial"/>
        </w:rPr>
        <w:t xml:space="preserve"> voluntary and involunta</w:t>
      </w:r>
      <w:r w:rsidR="00423B2B">
        <w:rPr>
          <w:rFonts w:asciiTheme="minorHAnsi" w:hAnsiTheme="minorHAnsi" w:cs="Arial"/>
        </w:rPr>
        <w:t>ry transfers of water companies;</w:t>
      </w:r>
      <w:r w:rsidRPr="00F57F18">
        <w:rPr>
          <w:rFonts w:asciiTheme="minorHAnsi" w:hAnsiTheme="minorHAnsi" w:cs="Arial"/>
        </w:rPr>
        <w:t xml:space="preserve"> o</w:t>
      </w:r>
      <w:r w:rsidR="00423B2B">
        <w:rPr>
          <w:rFonts w:asciiTheme="minorHAnsi" w:hAnsiTheme="minorHAnsi" w:cs="Arial"/>
        </w:rPr>
        <w:t>rders issued to water companies;</w:t>
      </w:r>
      <w:r w:rsidRPr="00F57F18">
        <w:rPr>
          <w:rFonts w:asciiTheme="minorHAnsi" w:hAnsiTheme="minorHAnsi" w:cs="Arial"/>
        </w:rPr>
        <w:t xml:space="preserve"> and involuntary discharges from long-te</w:t>
      </w:r>
      <w:r w:rsidR="00AB759F">
        <w:rPr>
          <w:rFonts w:asciiTheme="minorHAnsi" w:hAnsiTheme="minorHAnsi" w:cs="Arial"/>
        </w:rPr>
        <w:t>rm care facilities.  It</w:t>
      </w:r>
      <w:r w:rsidRPr="00F57F18">
        <w:rPr>
          <w:rFonts w:asciiTheme="minorHAnsi" w:hAnsiTheme="minorHAnsi" w:cs="Arial"/>
        </w:rPr>
        <w:t xml:space="preserve"> also investigates, responds t</w:t>
      </w:r>
      <w:r w:rsidR="00423B2B">
        <w:rPr>
          <w:rFonts w:asciiTheme="minorHAnsi" w:hAnsiTheme="minorHAnsi" w:cs="Arial"/>
        </w:rPr>
        <w:t>o, and represents the d</w:t>
      </w:r>
      <w:r w:rsidRPr="00F57F18">
        <w:rPr>
          <w:rFonts w:asciiTheme="minorHAnsi" w:hAnsiTheme="minorHAnsi" w:cs="Arial"/>
        </w:rPr>
        <w:t xml:space="preserve">epartment in Commission on Human </w:t>
      </w:r>
      <w:r w:rsidR="00AB759F">
        <w:rPr>
          <w:rFonts w:asciiTheme="minorHAnsi" w:hAnsiTheme="minorHAnsi" w:cs="Arial"/>
        </w:rPr>
        <w:t>Rights and Opportunities proceedings</w:t>
      </w:r>
      <w:r w:rsidRPr="00F57F18">
        <w:rPr>
          <w:rFonts w:asciiTheme="minorHAnsi" w:hAnsiTheme="minorHAnsi" w:cs="Arial"/>
        </w:rPr>
        <w:t xml:space="preserve"> </w:t>
      </w:r>
      <w:r w:rsidR="00423B2B">
        <w:rPr>
          <w:rFonts w:asciiTheme="minorHAnsi" w:hAnsiTheme="minorHAnsi" w:cs="Arial"/>
        </w:rPr>
        <w:t xml:space="preserve">and </w:t>
      </w:r>
      <w:r w:rsidRPr="00F57F18">
        <w:rPr>
          <w:rFonts w:asciiTheme="minorHAnsi" w:hAnsiTheme="minorHAnsi" w:cs="Arial"/>
        </w:rPr>
        <w:t>Office of Health</w:t>
      </w:r>
      <w:r w:rsidR="00423B2B">
        <w:rPr>
          <w:rFonts w:asciiTheme="minorHAnsi" w:hAnsiTheme="minorHAnsi" w:cs="Arial"/>
        </w:rPr>
        <w:t xml:space="preserve"> Care Access public hearings; </w:t>
      </w:r>
      <w:r w:rsidRPr="00F57F18">
        <w:rPr>
          <w:rFonts w:asciiTheme="minorHAnsi" w:hAnsiTheme="minorHAnsi" w:cs="Arial"/>
        </w:rPr>
        <w:t>provides legal and administrative support for 1</w:t>
      </w:r>
      <w:r w:rsidR="00423B2B">
        <w:rPr>
          <w:rFonts w:asciiTheme="minorHAnsi" w:hAnsiTheme="minorHAnsi" w:cs="Arial"/>
        </w:rPr>
        <w:t>4 professional licensing boards;</w:t>
      </w:r>
      <w:r w:rsidRPr="00F57F18">
        <w:rPr>
          <w:rFonts w:asciiTheme="minorHAnsi" w:hAnsiTheme="minorHAnsi" w:cs="Arial"/>
        </w:rPr>
        <w:t xml:space="preserve"> provides legal guidance on ethics question</w:t>
      </w:r>
      <w:r w:rsidR="00423B2B">
        <w:rPr>
          <w:rFonts w:asciiTheme="minorHAnsi" w:hAnsiTheme="minorHAnsi" w:cs="Arial"/>
        </w:rPr>
        <w:t>s;</w:t>
      </w:r>
      <w:r w:rsidRPr="00F57F18">
        <w:rPr>
          <w:rFonts w:asciiTheme="minorHAnsi" w:hAnsiTheme="minorHAnsi" w:cs="Arial"/>
        </w:rPr>
        <w:t xml:space="preserve"> and ensures</w:t>
      </w:r>
      <w:r w:rsidRPr="00022B0E">
        <w:rPr>
          <w:rFonts w:ascii="Book Antiqua" w:hAnsi="Book Antiqua" w:cs="Arial"/>
        </w:rPr>
        <w:t xml:space="preserve"> </w:t>
      </w:r>
      <w:r w:rsidRPr="00F57F18">
        <w:rPr>
          <w:rFonts w:asciiTheme="minorHAnsi" w:hAnsiTheme="minorHAnsi" w:cs="Arial"/>
        </w:rPr>
        <w:t>compliance with the Health Insurance Portability and Acco</w:t>
      </w:r>
      <w:r w:rsidR="001962E1">
        <w:rPr>
          <w:rFonts w:asciiTheme="minorHAnsi" w:hAnsiTheme="minorHAnsi" w:cs="Arial"/>
        </w:rPr>
        <w:t>untability Act of 1996 (HIPAA).</w:t>
      </w:r>
    </w:p>
    <w:p w:rsidR="00423B2B" w:rsidRDefault="00F57F18" w:rsidP="001962E1">
      <w:pPr>
        <w:spacing w:after="80"/>
        <w:rPr>
          <w:rFonts w:asciiTheme="minorHAnsi" w:hAnsiTheme="minorHAnsi"/>
        </w:rPr>
      </w:pPr>
      <w:r w:rsidRPr="00D654A0">
        <w:lastRenderedPageBreak/>
        <w:t>The</w:t>
      </w:r>
      <w:r w:rsidRPr="004D04C4">
        <w:rPr>
          <w:rStyle w:val="Heading4Char"/>
          <w:rFonts w:asciiTheme="minorHAnsi" w:hAnsiTheme="minorHAnsi"/>
        </w:rPr>
        <w:t xml:space="preserve"> Office of Public Health Preparedness and Response (OPHPR)</w:t>
      </w:r>
      <w:r w:rsidRPr="00F57F18">
        <w:rPr>
          <w:rFonts w:asciiTheme="minorHAnsi" w:hAnsiTheme="minorHAnsi"/>
        </w:rPr>
        <w:t xml:space="preserve"> is responsible for the design, development and implementat</w:t>
      </w:r>
      <w:r w:rsidR="00423B2B">
        <w:rPr>
          <w:rFonts w:asciiTheme="minorHAnsi" w:hAnsiTheme="minorHAnsi"/>
        </w:rPr>
        <w:t xml:space="preserve">ion of </w:t>
      </w:r>
      <w:r w:rsidRPr="00F57F18">
        <w:rPr>
          <w:rFonts w:asciiTheme="minorHAnsi" w:hAnsiTheme="minorHAnsi"/>
        </w:rPr>
        <w:t>public health em</w:t>
      </w:r>
      <w:r w:rsidR="00423B2B">
        <w:rPr>
          <w:rFonts w:asciiTheme="minorHAnsi" w:hAnsiTheme="minorHAnsi"/>
        </w:rPr>
        <w:t xml:space="preserve">ergency plans and initiatives. </w:t>
      </w:r>
      <w:r w:rsidRPr="00F57F18">
        <w:rPr>
          <w:rFonts w:asciiTheme="minorHAnsi" w:hAnsiTheme="minorHAnsi"/>
        </w:rPr>
        <w:t>The OPHPR ensures compliance with state and federal mandates with respect to public health preparedness, and is responsible for identifying and securing grants in support of the</w:t>
      </w:r>
      <w:r w:rsidR="00AB759F">
        <w:rPr>
          <w:rFonts w:asciiTheme="minorHAnsi" w:hAnsiTheme="minorHAnsi"/>
        </w:rPr>
        <w:t>se</w:t>
      </w:r>
      <w:r w:rsidR="001962E1">
        <w:rPr>
          <w:rFonts w:asciiTheme="minorHAnsi" w:hAnsiTheme="minorHAnsi"/>
        </w:rPr>
        <w:t xml:space="preserve"> initiatives.</w:t>
      </w:r>
      <w:r w:rsidR="00AB759F">
        <w:rPr>
          <w:rFonts w:asciiTheme="minorHAnsi" w:hAnsiTheme="minorHAnsi"/>
        </w:rPr>
        <w:t xml:space="preserve"> It</w:t>
      </w:r>
      <w:r w:rsidRPr="00F57F18">
        <w:rPr>
          <w:rFonts w:asciiTheme="minorHAnsi" w:hAnsiTheme="minorHAnsi"/>
        </w:rPr>
        <w:t xml:space="preserve"> provides incident command, operational management of DPH and coordination with strategic pa</w:t>
      </w:r>
      <w:r w:rsidR="001962E1">
        <w:rPr>
          <w:rFonts w:asciiTheme="minorHAnsi" w:hAnsiTheme="minorHAnsi"/>
        </w:rPr>
        <w:t>rtners in emergency situations.</w:t>
      </w:r>
      <w:r w:rsidRPr="00F57F18">
        <w:rPr>
          <w:rFonts w:asciiTheme="minorHAnsi" w:hAnsiTheme="minorHAnsi"/>
        </w:rPr>
        <w:t xml:space="preserve"> </w:t>
      </w:r>
      <w:r w:rsidR="001962E1">
        <w:rPr>
          <w:rFonts w:asciiTheme="minorHAnsi" w:hAnsiTheme="minorHAnsi"/>
        </w:rPr>
        <w:t xml:space="preserve"> </w:t>
      </w:r>
      <w:r w:rsidR="004D04C4">
        <w:rPr>
          <w:rFonts w:asciiTheme="minorHAnsi" w:hAnsiTheme="minorHAnsi"/>
        </w:rPr>
        <w:t>The o</w:t>
      </w:r>
      <w:r w:rsidR="00AB759F">
        <w:rPr>
          <w:rFonts w:asciiTheme="minorHAnsi" w:hAnsiTheme="minorHAnsi"/>
        </w:rPr>
        <w:t>ffice</w:t>
      </w:r>
      <w:r w:rsidRPr="00F57F18">
        <w:rPr>
          <w:rFonts w:asciiTheme="minorHAnsi" w:hAnsiTheme="minorHAnsi"/>
        </w:rPr>
        <w:t xml:space="preserve"> also coordinates the Centers for Disease Control and Prevention (CDC) Public Health Emergency Preparedness</w:t>
      </w:r>
      <w:r w:rsidR="00AB759F">
        <w:rPr>
          <w:rFonts w:asciiTheme="minorHAnsi" w:hAnsiTheme="minorHAnsi"/>
        </w:rPr>
        <w:t xml:space="preserve"> effort</w:t>
      </w:r>
      <w:r w:rsidRPr="00F57F18">
        <w:rPr>
          <w:rFonts w:asciiTheme="minorHAnsi" w:hAnsiTheme="minorHAnsi"/>
        </w:rPr>
        <w:t>, statewide Medical Reserve Corps and the Assistant Secretary of Preparedness and Response</w:t>
      </w:r>
      <w:r w:rsidR="001962E1">
        <w:rPr>
          <w:rFonts w:asciiTheme="minorHAnsi" w:hAnsiTheme="minorHAnsi"/>
        </w:rPr>
        <w:t xml:space="preserve"> Hospital Preparedness Program. </w:t>
      </w:r>
      <w:r w:rsidRPr="00F57F18">
        <w:rPr>
          <w:rFonts w:asciiTheme="minorHAnsi" w:hAnsiTheme="minorHAnsi"/>
        </w:rPr>
        <w:t xml:space="preserve"> In addition</w:t>
      </w:r>
      <w:r w:rsidR="00423B2B">
        <w:rPr>
          <w:rFonts w:asciiTheme="minorHAnsi" w:hAnsiTheme="minorHAnsi"/>
        </w:rPr>
        <w:t>,</w:t>
      </w:r>
      <w:r w:rsidRPr="00F57F18">
        <w:rPr>
          <w:rFonts w:asciiTheme="minorHAnsi" w:hAnsiTheme="minorHAnsi"/>
        </w:rPr>
        <w:t xml:space="preserve"> the OPHPR oversees the mobile field hospital project. </w:t>
      </w:r>
      <w:r w:rsidR="001962E1">
        <w:rPr>
          <w:rFonts w:asciiTheme="minorHAnsi" w:hAnsiTheme="minorHAnsi"/>
        </w:rPr>
        <w:t xml:space="preserve"> </w:t>
      </w:r>
      <w:r w:rsidRPr="00F57F18">
        <w:rPr>
          <w:rFonts w:asciiTheme="minorHAnsi" w:hAnsiTheme="minorHAnsi"/>
        </w:rPr>
        <w:t>This includes directing deployments when</w:t>
      </w:r>
      <w:r w:rsidR="001962E1">
        <w:rPr>
          <w:rFonts w:asciiTheme="minorHAnsi" w:hAnsiTheme="minorHAnsi"/>
        </w:rPr>
        <w:t xml:space="preserve"> required on a statewide basis.</w:t>
      </w:r>
      <w:r w:rsidRPr="00F57F18">
        <w:rPr>
          <w:rFonts w:asciiTheme="minorHAnsi" w:hAnsiTheme="minorHAnsi"/>
        </w:rPr>
        <w:t xml:space="preserve"> </w:t>
      </w:r>
    </w:p>
    <w:p w:rsidR="00F57F18" w:rsidRPr="00DF5CC0" w:rsidRDefault="00F57F18" w:rsidP="001962E1">
      <w:pPr>
        <w:spacing w:after="80"/>
        <w:rPr>
          <w:rFonts w:asciiTheme="minorHAnsi" w:hAnsiTheme="minorHAnsi"/>
          <w:b/>
        </w:rPr>
      </w:pPr>
      <w:r w:rsidRPr="00D654A0">
        <w:t>The</w:t>
      </w:r>
      <w:r w:rsidRPr="00BA3163">
        <w:rPr>
          <w:rStyle w:val="Heading4Char"/>
        </w:rPr>
        <w:t xml:space="preserve"> Office of Public Health Systems Improvement</w:t>
      </w:r>
      <w:r w:rsidR="00423B2B" w:rsidRPr="00DF5CC0">
        <w:rPr>
          <w:rFonts w:asciiTheme="minorHAnsi" w:hAnsiTheme="minorHAnsi"/>
          <w:b/>
        </w:rPr>
        <w:t xml:space="preserve"> </w:t>
      </w:r>
      <w:r w:rsidR="00234B4B">
        <w:rPr>
          <w:rFonts w:asciiTheme="minorHAnsi" w:hAnsiTheme="minorHAnsi"/>
          <w:szCs w:val="18"/>
        </w:rPr>
        <w:t>manages, coordinates</w:t>
      </w:r>
      <w:r w:rsidRPr="00DF5CC0">
        <w:rPr>
          <w:rFonts w:asciiTheme="minorHAnsi" w:hAnsiTheme="minorHAnsi"/>
          <w:szCs w:val="18"/>
        </w:rPr>
        <w:t xml:space="preserve"> an</w:t>
      </w:r>
      <w:r w:rsidR="00234B4B">
        <w:rPr>
          <w:rFonts w:asciiTheme="minorHAnsi" w:hAnsiTheme="minorHAnsi"/>
          <w:szCs w:val="18"/>
        </w:rPr>
        <w:t>d supports</w:t>
      </w:r>
      <w:r w:rsidRPr="00DF5CC0">
        <w:rPr>
          <w:rFonts w:asciiTheme="minorHAnsi" w:hAnsiTheme="minorHAnsi"/>
          <w:szCs w:val="18"/>
        </w:rPr>
        <w:t xml:space="preserve"> organization-wide and multi-sector activities that resu</w:t>
      </w:r>
      <w:r w:rsidR="00234B4B">
        <w:rPr>
          <w:rFonts w:asciiTheme="minorHAnsi" w:hAnsiTheme="minorHAnsi"/>
          <w:szCs w:val="18"/>
        </w:rPr>
        <w:t>lt in measurable improvements in</w:t>
      </w:r>
      <w:r w:rsidRPr="00DF5CC0">
        <w:rPr>
          <w:rFonts w:asciiTheme="minorHAnsi" w:hAnsiTheme="minorHAnsi"/>
          <w:szCs w:val="18"/>
        </w:rPr>
        <w:t xml:space="preserve"> public health structures, systems and outcomes. </w:t>
      </w:r>
      <w:r w:rsidR="001962E1" w:rsidRPr="00DF5CC0">
        <w:rPr>
          <w:rFonts w:asciiTheme="minorHAnsi" w:hAnsiTheme="minorHAnsi"/>
          <w:szCs w:val="18"/>
        </w:rPr>
        <w:t xml:space="preserve"> </w:t>
      </w:r>
      <w:r w:rsidRPr="00DF5CC0">
        <w:rPr>
          <w:rFonts w:asciiTheme="minorHAnsi" w:hAnsiTheme="minorHAnsi"/>
          <w:szCs w:val="18"/>
        </w:rPr>
        <w:t>Federal funding from the C</w:t>
      </w:r>
      <w:r w:rsidR="004D04C4">
        <w:rPr>
          <w:rFonts w:asciiTheme="minorHAnsi" w:hAnsiTheme="minorHAnsi"/>
          <w:szCs w:val="18"/>
        </w:rPr>
        <w:t>DC</w:t>
      </w:r>
      <w:r w:rsidR="00BF15AF">
        <w:rPr>
          <w:rFonts w:asciiTheme="minorHAnsi" w:hAnsiTheme="minorHAnsi"/>
          <w:szCs w:val="18"/>
        </w:rPr>
        <w:t xml:space="preserve"> supports</w:t>
      </w:r>
      <w:r w:rsidR="004D04C4">
        <w:rPr>
          <w:rFonts w:asciiTheme="minorHAnsi" w:hAnsiTheme="minorHAnsi"/>
          <w:szCs w:val="18"/>
        </w:rPr>
        <w:t xml:space="preserve"> a five year cooperative a</w:t>
      </w:r>
      <w:r w:rsidRPr="00DF5CC0">
        <w:rPr>
          <w:rFonts w:asciiTheme="minorHAnsi" w:hAnsiTheme="minorHAnsi"/>
          <w:szCs w:val="18"/>
        </w:rPr>
        <w:t xml:space="preserve">greement to help state agencies improve efficiency and effectiveness of public health programs and services, while enhancing readiness for national public health accreditation. </w:t>
      </w:r>
      <w:r w:rsidR="001962E1" w:rsidRPr="00DF5CC0">
        <w:rPr>
          <w:rFonts w:asciiTheme="minorHAnsi" w:hAnsiTheme="minorHAnsi"/>
          <w:szCs w:val="18"/>
        </w:rPr>
        <w:t xml:space="preserve"> </w:t>
      </w:r>
      <w:r w:rsidRPr="00DF5CC0">
        <w:rPr>
          <w:rFonts w:asciiTheme="minorHAnsi" w:hAnsiTheme="minorHAnsi"/>
          <w:szCs w:val="18"/>
        </w:rPr>
        <w:t>Specific activities include:</w:t>
      </w:r>
    </w:p>
    <w:p w:rsidR="001962E1" w:rsidRPr="00DF5CC0" w:rsidRDefault="001962E1" w:rsidP="00BF15AF">
      <w:pPr>
        <w:numPr>
          <w:ilvl w:val="0"/>
          <w:numId w:val="23"/>
        </w:numPr>
        <w:spacing w:after="0"/>
        <w:rPr>
          <w:rFonts w:asciiTheme="minorHAnsi" w:hAnsiTheme="minorHAnsi"/>
          <w:szCs w:val="18"/>
        </w:rPr>
      </w:pPr>
      <w:r w:rsidRPr="00DF5CC0">
        <w:rPr>
          <w:rFonts w:asciiTheme="minorHAnsi" w:hAnsiTheme="minorHAnsi"/>
          <w:szCs w:val="18"/>
        </w:rPr>
        <w:t xml:space="preserve">Implementing quality improvement processes and establishing an agency performance management system that are developed and managed using a data-driven focus; </w:t>
      </w:r>
    </w:p>
    <w:p w:rsidR="001962E1" w:rsidRPr="00DF5CC0" w:rsidRDefault="001962E1" w:rsidP="00BF15AF">
      <w:pPr>
        <w:numPr>
          <w:ilvl w:val="0"/>
          <w:numId w:val="23"/>
        </w:numPr>
        <w:spacing w:after="0"/>
        <w:rPr>
          <w:rFonts w:asciiTheme="minorHAnsi" w:hAnsiTheme="minorHAnsi"/>
          <w:szCs w:val="18"/>
        </w:rPr>
      </w:pPr>
      <w:r w:rsidRPr="00DF5CC0">
        <w:rPr>
          <w:rFonts w:asciiTheme="minorHAnsi" w:hAnsiTheme="minorHAnsi"/>
          <w:szCs w:val="18"/>
        </w:rPr>
        <w:t xml:space="preserve">Development of the three prerequisites for accreditation that include an agency strategic plan, statewide health assessment and statewide health improvement plan. </w:t>
      </w:r>
    </w:p>
    <w:p w:rsidR="001962E1" w:rsidRPr="00DF5CC0" w:rsidRDefault="001962E1" w:rsidP="00BF15AF">
      <w:pPr>
        <w:numPr>
          <w:ilvl w:val="0"/>
          <w:numId w:val="23"/>
        </w:numPr>
        <w:spacing w:after="0"/>
        <w:rPr>
          <w:rFonts w:asciiTheme="minorHAnsi" w:hAnsiTheme="minorHAnsi"/>
          <w:szCs w:val="18"/>
        </w:rPr>
      </w:pPr>
      <w:r w:rsidRPr="00DF5CC0">
        <w:rPr>
          <w:rFonts w:asciiTheme="minorHAnsi" w:hAnsiTheme="minorHAnsi"/>
          <w:szCs w:val="18"/>
        </w:rPr>
        <w:t xml:space="preserve">Organize, plan for, and coordinate agency activities and documentation toward meeting national accreditation standards. </w:t>
      </w:r>
    </w:p>
    <w:p w:rsidR="001962E1" w:rsidRPr="00DF5CC0" w:rsidRDefault="001962E1" w:rsidP="00BF15AF">
      <w:pPr>
        <w:numPr>
          <w:ilvl w:val="0"/>
          <w:numId w:val="23"/>
        </w:numPr>
        <w:spacing w:after="0"/>
        <w:rPr>
          <w:rFonts w:asciiTheme="minorHAnsi" w:hAnsiTheme="minorHAnsi"/>
          <w:szCs w:val="18"/>
        </w:rPr>
      </w:pPr>
      <w:r w:rsidRPr="00DF5CC0">
        <w:rPr>
          <w:rFonts w:asciiTheme="minorHAnsi" w:hAnsiTheme="minorHAnsi"/>
          <w:szCs w:val="18"/>
        </w:rPr>
        <w:t xml:space="preserve">Provide quality improvement training, coaching, and technical assistance opportunities to public health personnel. </w:t>
      </w:r>
    </w:p>
    <w:p w:rsidR="00A567BC" w:rsidRDefault="00A567BC" w:rsidP="00A567BC">
      <w:pPr>
        <w:spacing w:after="0"/>
        <w:rPr>
          <w:rFonts w:asciiTheme="minorHAnsi" w:hAnsiTheme="minorHAnsi"/>
          <w:szCs w:val="18"/>
        </w:rPr>
      </w:pPr>
    </w:p>
    <w:p w:rsidR="001962E1" w:rsidRPr="00A567BC" w:rsidRDefault="00A567BC" w:rsidP="00A567BC">
      <w:pPr>
        <w:spacing w:after="0"/>
        <w:rPr>
          <w:rFonts w:asciiTheme="minorHAnsi" w:hAnsiTheme="minorHAnsi"/>
          <w:szCs w:val="18"/>
        </w:rPr>
      </w:pPr>
      <w:r>
        <w:rPr>
          <w:rFonts w:asciiTheme="minorHAnsi" w:hAnsiTheme="minorHAnsi"/>
          <w:szCs w:val="18"/>
        </w:rPr>
        <w:t>T</w:t>
      </w:r>
      <w:r w:rsidR="001962E1" w:rsidRPr="00A567BC">
        <w:rPr>
          <w:rFonts w:asciiTheme="minorHAnsi" w:hAnsiTheme="minorHAnsi"/>
          <w:szCs w:val="18"/>
        </w:rPr>
        <w:t>hese activities are tied to grant performance measures that are monitored annually. The strategic plan and health improve</w:t>
      </w:r>
      <w:r>
        <w:rPr>
          <w:rFonts w:asciiTheme="minorHAnsi" w:hAnsiTheme="minorHAnsi"/>
          <w:szCs w:val="18"/>
        </w:rPr>
        <w:t>ment plan are under development.</w:t>
      </w:r>
    </w:p>
    <w:p w:rsidR="00F57F18" w:rsidRPr="00DF5CC0" w:rsidRDefault="00F57F18" w:rsidP="00F57F18">
      <w:pPr>
        <w:jc w:val="left"/>
        <w:rPr>
          <w:rFonts w:asciiTheme="minorHAnsi" w:hAnsiTheme="minorHAnsi"/>
        </w:rPr>
      </w:pPr>
    </w:p>
    <w:p w:rsidR="00F57F18" w:rsidRPr="00DF5CC0" w:rsidRDefault="00F57F18" w:rsidP="00F57F18">
      <w:pPr>
        <w:jc w:val="left"/>
        <w:rPr>
          <w:rFonts w:asciiTheme="minorHAnsi" w:hAnsiTheme="minorHAnsi"/>
        </w:rPr>
      </w:pPr>
    </w:p>
    <w:p w:rsidR="00F57F18" w:rsidRPr="00DF5CC0" w:rsidRDefault="00F57F18" w:rsidP="00F57F18">
      <w:pPr>
        <w:jc w:val="left"/>
        <w:rPr>
          <w:rFonts w:asciiTheme="minorHAnsi" w:hAnsiTheme="minorHAnsi"/>
        </w:rPr>
      </w:pPr>
    </w:p>
    <w:p w:rsidR="00F57F18" w:rsidRPr="00F57F18" w:rsidRDefault="00F57F18" w:rsidP="00F57F18">
      <w:pPr>
        <w:jc w:val="left"/>
        <w:rPr>
          <w:rFonts w:asciiTheme="minorHAnsi" w:hAnsiTheme="minorHAnsi"/>
        </w:rPr>
      </w:pPr>
    </w:p>
    <w:p w:rsidR="007D6E66" w:rsidRPr="00F57F18" w:rsidRDefault="007D6E66">
      <w:pPr>
        <w:spacing w:after="120"/>
        <w:jc w:val="left"/>
        <w:rPr>
          <w:rFonts w:asciiTheme="minorHAnsi" w:hAnsiTheme="minorHAnsi"/>
        </w:rPr>
        <w:sectPr w:rsidR="007D6E66" w:rsidRPr="00F57F18">
          <w:headerReference w:type="default" r:id="rId14"/>
          <w:footerReference w:type="default" r:id="rId15"/>
          <w:type w:val="continuous"/>
          <w:pgSz w:w="12240" w:h="15840" w:code="1"/>
          <w:pgMar w:top="864" w:right="720" w:bottom="1152" w:left="720" w:header="432" w:footer="288" w:gutter="216"/>
          <w:cols w:num="2" w:space="432"/>
        </w:sectPr>
      </w:pPr>
    </w:p>
    <w:p w:rsidR="00EC5DE6" w:rsidRPr="00EC5DE6" w:rsidRDefault="00EC5DE6" w:rsidP="00EC5DE6">
      <w:pPr>
        <w:spacing w:after="80"/>
        <w:rPr>
          <w:rFonts w:asciiTheme="minorHAnsi" w:hAnsiTheme="minorHAnsi" w:cs="Arial"/>
        </w:rPr>
      </w:pPr>
    </w:p>
    <w:p w:rsidR="00B912C9" w:rsidRDefault="00C3771A">
      <w:pPr>
        <w:pStyle w:val="ProgramHead"/>
      </w:pPr>
      <w:r>
        <w:fldChar w:fldCharType="begin"/>
      </w:r>
      <w:r w:rsidR="00B66F60">
        <w:instrText xml:space="preserve"> XE "dph48500 42003" </w:instrText>
      </w:r>
      <w:r>
        <w:fldChar w:fldCharType="end"/>
      </w:r>
      <w:r w:rsidR="00D52A37">
        <w:t xml:space="preserve">Public </w:t>
      </w:r>
      <w:r w:rsidR="004E3D2F">
        <w:t xml:space="preserve">Health Initiatives </w:t>
      </w:r>
    </w:p>
    <w:p w:rsidR="00B912C9" w:rsidRDefault="00B912C9">
      <w:pPr>
        <w:pStyle w:val="ProgramHead"/>
        <w:sectPr w:rsidR="00B912C9">
          <w:headerReference w:type="default" r:id="rId16"/>
          <w:footerReference w:type="default" r:id="rId17"/>
          <w:type w:val="continuous"/>
          <w:pgSz w:w="12240" w:h="15840" w:code="1"/>
          <w:pgMar w:top="864" w:right="720" w:bottom="1152" w:left="720" w:header="432" w:footer="288" w:gutter="216"/>
          <w:cols w:space="432"/>
        </w:sectPr>
      </w:pPr>
    </w:p>
    <w:p w:rsidR="00B912C9" w:rsidRDefault="004E3D2F">
      <w:pPr>
        <w:pStyle w:val="Heading2"/>
      </w:pPr>
      <w:r>
        <w:lastRenderedPageBreak/>
        <w:t xml:space="preserve">Statutory Reference </w:t>
      </w:r>
    </w:p>
    <w:p w:rsidR="00B912C9" w:rsidRPr="00F0565A" w:rsidRDefault="004E3D2F">
      <w:r w:rsidRPr="00F0565A">
        <w:t xml:space="preserve">C.G.S. Sections  7-36 </w:t>
      </w:r>
      <w:r w:rsidRPr="00CB648F">
        <w:rPr>
          <w:i/>
        </w:rPr>
        <w:t>et seq</w:t>
      </w:r>
      <w:r w:rsidRPr="00F0565A">
        <w:t>., 8-219e, 8-266-270a, 10-204a, 10-206, 10-206b, 17b-185, 17b-808, 19a-2a, 19a-7, 19a-7a, 19a-7d, 19a-7f-h, 19a-7j, 19a-25, 19a-36, 19a-48-50, 19a-53-55, 19a-56a-b, 19a-59, 19a-59b-c, 19a-61, 19a-62a, 19a-74, 19a-110, 19a-110a, 19a-111 a-b, 19a-112a, 19a-116, 19a-121, 19a-215-216, 19a-250-269, 19a-490(a), 19a-581-585, 19a-593, 20-474-482, 45a-691, and 52-146k.</w:t>
      </w:r>
    </w:p>
    <w:p w:rsidR="00B912C9" w:rsidRDefault="004E3D2F">
      <w:pPr>
        <w:pStyle w:val="Heading2"/>
      </w:pPr>
      <w:r>
        <w:t>Statement of Need and Program Objectives</w:t>
      </w:r>
    </w:p>
    <w:p w:rsidR="00B912C9" w:rsidRPr="00C408AD" w:rsidRDefault="004E3D2F">
      <w:r w:rsidRPr="00C408AD">
        <w:t xml:space="preserve">To enable data-based preventive health decision-making by collecting and analyzing data on the occurrence of potentially preventable and emerging diseases and associated risk factors.  To enhance preparedness for and response to public health emergencies involving infectious diseases by development and analysis of special surveillance systems, development of a flexible emergency response capacity, and participation in emergency response </w:t>
      </w:r>
      <w:proofErr w:type="gramStart"/>
      <w:r w:rsidRPr="00C408AD">
        <w:t>planning.</w:t>
      </w:r>
      <w:proofErr w:type="gramEnd"/>
    </w:p>
    <w:p w:rsidR="00B912C9" w:rsidRPr="00C408AD" w:rsidRDefault="004E3D2F">
      <w:r w:rsidRPr="00C408AD">
        <w:t>To promote health and prevent disease by lowering the financial barriers to care and improving access to primary and preventive health care services.  To reduce preventable chronic diseases, injuries and infectious diseases through surveillance, outbreak investigation, outreach, immunizations, education, prevention and health treatment.</w:t>
      </w:r>
    </w:p>
    <w:p w:rsidR="00B912C9" w:rsidRPr="00006E67" w:rsidRDefault="004E3D2F" w:rsidP="00006E67">
      <w:pPr>
        <w:pStyle w:val="Heading2"/>
      </w:pPr>
      <w:r w:rsidRPr="00006E67">
        <w:t>Program Description</w:t>
      </w:r>
    </w:p>
    <w:p w:rsidR="00B912C9" w:rsidRPr="00C408AD" w:rsidRDefault="007E042E" w:rsidP="00F245D2">
      <w:pPr>
        <w:spacing w:after="80"/>
      </w:pPr>
      <w:r>
        <w:t>The department</w:t>
      </w:r>
      <w:r w:rsidR="004E3D2F" w:rsidRPr="00C408AD">
        <w:t xml:space="preserve"> improves and protects the health of Connecticut's residents through promotion of primary and preventive health care at every stage of life; education of individuals and target population groups to make choices in diet, exercise and personal protective measures that enhance health, promote wellness, and reduce risk of injury and preventable disease; collection of data to assess chronic and infectious disease and injury risk factors and monitor trends to improve individual and population health; disease surveillance and linked intervention activities such as patient counseling, public education, provision of vaccines or medicines, and organization of special clinics; and planning and capacity development for emerging</w:t>
      </w:r>
      <w:r w:rsidR="004E3D2F" w:rsidRPr="001962E1">
        <w:rPr>
          <w:color w:val="FF0000"/>
        </w:rPr>
        <w:t xml:space="preserve"> </w:t>
      </w:r>
      <w:r w:rsidR="004E3D2F" w:rsidRPr="00C408AD">
        <w:lastRenderedPageBreak/>
        <w:t>disease problems such as SARS and possible bioterrorist threats such as anthrax or smallpox.</w:t>
      </w:r>
    </w:p>
    <w:p w:rsidR="001962E1" w:rsidRPr="00F245D2" w:rsidRDefault="001962E1" w:rsidP="00F245D2">
      <w:pPr>
        <w:spacing w:after="80"/>
      </w:pPr>
      <w:r w:rsidRPr="00D654A0">
        <w:t>The</w:t>
      </w:r>
      <w:r w:rsidRPr="00F0565A">
        <w:rPr>
          <w:rStyle w:val="Heading4Char"/>
        </w:rPr>
        <w:t xml:space="preserve"> Family Health Section</w:t>
      </w:r>
      <w:r w:rsidRPr="00F245D2">
        <w:t xml:space="preserve"> oversees programs and </w:t>
      </w:r>
      <w:r w:rsidRPr="004A06EB">
        <w:t>conducts surveillance activities to inform policy development and promote health equity and disease prevention</w:t>
      </w:r>
      <w:r w:rsidRPr="00F245D2">
        <w:rPr>
          <w:rStyle w:val="Heading4Char"/>
        </w:rPr>
        <w:t xml:space="preserve"> </w:t>
      </w:r>
      <w:r w:rsidRPr="00F245D2">
        <w:t>through</w:t>
      </w:r>
      <w:r w:rsidR="00286EAD">
        <w:t>out</w:t>
      </w:r>
      <w:r w:rsidRPr="00F245D2">
        <w:t xml:space="preserve"> the life c</w:t>
      </w:r>
      <w:r w:rsidR="00286EAD">
        <w:t>ourse (including pregnant women;</w:t>
      </w:r>
      <w:r w:rsidRPr="00F245D2">
        <w:t xml:space="preserve"> mothers and inf</w:t>
      </w:r>
      <w:r w:rsidR="00286EAD">
        <w:t xml:space="preserve">ants; children and adolescents, </w:t>
      </w:r>
      <w:r w:rsidR="00F0565A">
        <w:t>including c</w:t>
      </w:r>
      <w:r w:rsidRPr="00F245D2">
        <w:t xml:space="preserve">hildren and </w:t>
      </w:r>
      <w:r w:rsidR="00F0565A">
        <w:t>y</w:t>
      </w:r>
      <w:r w:rsidRPr="00F245D2">
        <w:t xml:space="preserve">outh with </w:t>
      </w:r>
      <w:r w:rsidR="00F0565A">
        <w:t>s</w:t>
      </w:r>
      <w:r w:rsidRPr="00F245D2">
        <w:t xml:space="preserve">pecial </w:t>
      </w:r>
      <w:r w:rsidR="00F0565A">
        <w:t>h</w:t>
      </w:r>
      <w:r w:rsidRPr="00F245D2">
        <w:t xml:space="preserve">ealth </w:t>
      </w:r>
      <w:r w:rsidR="00F0565A">
        <w:t>c</w:t>
      </w:r>
      <w:r w:rsidRPr="00F245D2">
        <w:t xml:space="preserve">are </w:t>
      </w:r>
      <w:r w:rsidR="00F0565A">
        <w:t>n</w:t>
      </w:r>
      <w:r w:rsidRPr="00F245D2">
        <w:t>eeds</w:t>
      </w:r>
      <w:r w:rsidR="00F0565A">
        <w:t>).  Programs include:  oral h</w:t>
      </w:r>
      <w:r w:rsidR="00286EAD">
        <w:t>ealth;</w:t>
      </w:r>
      <w:r w:rsidR="00F0565A">
        <w:t xml:space="preserve"> case m</w:t>
      </w:r>
      <w:r w:rsidRPr="00F245D2">
        <w:t>anageme</w:t>
      </w:r>
      <w:r w:rsidR="00286EAD">
        <w:t xml:space="preserve">nt for </w:t>
      </w:r>
      <w:r w:rsidR="00F0565A">
        <w:t>p</w:t>
      </w:r>
      <w:r w:rsidR="00286EAD">
        <w:t xml:space="preserve">regnant </w:t>
      </w:r>
      <w:r w:rsidR="00F0565A">
        <w:t>w</w:t>
      </w:r>
      <w:r w:rsidR="00286EAD">
        <w:t xml:space="preserve">omen and </w:t>
      </w:r>
      <w:r w:rsidR="00F0565A">
        <w:t>t</w:t>
      </w:r>
      <w:r w:rsidR="00286EAD">
        <w:t>eens;</w:t>
      </w:r>
      <w:r w:rsidRPr="00F245D2">
        <w:t xml:space="preserve"> </w:t>
      </w:r>
      <w:r w:rsidR="00F0565A">
        <w:t>c</w:t>
      </w:r>
      <w:r w:rsidRPr="00F245D2">
        <w:t xml:space="preserve">hildren and </w:t>
      </w:r>
      <w:r w:rsidR="00F0565A">
        <w:t>youth with special h</w:t>
      </w:r>
      <w:r w:rsidRPr="00F245D2">
        <w:t xml:space="preserve">ealth </w:t>
      </w:r>
      <w:r w:rsidR="00F0565A">
        <w:t>c</w:t>
      </w:r>
      <w:r w:rsidRPr="00F245D2">
        <w:t xml:space="preserve">are </w:t>
      </w:r>
      <w:r w:rsidR="00F0565A">
        <w:t>needs (medical h</w:t>
      </w:r>
      <w:r w:rsidRPr="00F245D2">
        <w:t>omes,</w:t>
      </w:r>
      <w:r w:rsidR="00F0565A">
        <w:t xml:space="preserve"> respite and extended s</w:t>
      </w:r>
      <w:r w:rsidR="00286EAD">
        <w:t>ervices);</w:t>
      </w:r>
      <w:r w:rsidR="00F0565A">
        <w:t xml:space="preserve"> community health centers; family p</w:t>
      </w:r>
      <w:r w:rsidR="00286EAD">
        <w:t xml:space="preserve">lanning; </w:t>
      </w:r>
      <w:r w:rsidR="00F0565A">
        <w:t>health a</w:t>
      </w:r>
      <w:r w:rsidRPr="00F245D2">
        <w:t>cc</w:t>
      </w:r>
      <w:r w:rsidR="00286EAD">
        <w:t xml:space="preserve">ess </w:t>
      </w:r>
      <w:r w:rsidR="00F0565A">
        <w:t>p</w:t>
      </w:r>
      <w:r w:rsidR="00286EAD">
        <w:t>rograms;</w:t>
      </w:r>
      <w:r w:rsidR="00F0565A">
        <w:t xml:space="preserve"> early h</w:t>
      </w:r>
      <w:r w:rsidRPr="00F245D2">
        <w:t>ea</w:t>
      </w:r>
      <w:r w:rsidR="00286EAD">
        <w:t xml:space="preserve">ring </w:t>
      </w:r>
      <w:r w:rsidR="00F0565A">
        <w:t>d</w:t>
      </w:r>
      <w:r w:rsidR="00286EAD">
        <w:t xml:space="preserve">etection and </w:t>
      </w:r>
      <w:r w:rsidR="00F0565A">
        <w:t>i</w:t>
      </w:r>
      <w:r w:rsidR="00286EAD">
        <w:t xml:space="preserve">ntervention; </w:t>
      </w:r>
      <w:r w:rsidR="00F0565A">
        <w:t>f</w:t>
      </w:r>
      <w:r w:rsidR="00286EAD">
        <w:t xml:space="preserve">etal </w:t>
      </w:r>
      <w:r w:rsidR="00F0565A">
        <w:t>i</w:t>
      </w:r>
      <w:r w:rsidR="00286EAD">
        <w:t xml:space="preserve">nfant </w:t>
      </w:r>
      <w:r w:rsidR="00F0565A">
        <w:t>m</w:t>
      </w:r>
      <w:r w:rsidR="00286EAD">
        <w:t xml:space="preserve">ortality </w:t>
      </w:r>
      <w:r w:rsidR="00F0565A">
        <w:t>review; intimate partner v</w:t>
      </w:r>
      <w:r w:rsidR="00286EAD">
        <w:t>iolence;</w:t>
      </w:r>
      <w:r w:rsidR="00F0565A">
        <w:t xml:space="preserve"> p</w:t>
      </w:r>
      <w:r w:rsidRPr="00F245D2">
        <w:t>rima</w:t>
      </w:r>
      <w:r w:rsidR="00F0565A">
        <w:t>ry care o</w:t>
      </w:r>
      <w:r w:rsidRPr="00F245D2">
        <w:t>ffi</w:t>
      </w:r>
      <w:r w:rsidR="00F0565A">
        <w:t>ce; school based health c</w:t>
      </w:r>
      <w:r w:rsidR="00286EAD">
        <w:t>linics;</w:t>
      </w:r>
      <w:r w:rsidR="00F0565A">
        <w:t xml:space="preserve"> sexual v</w:t>
      </w:r>
      <w:r w:rsidRPr="00F245D2">
        <w:t>iolenc</w:t>
      </w:r>
      <w:r w:rsidR="00F0565A">
        <w:t>e and rape prevention e</w:t>
      </w:r>
      <w:r w:rsidR="00286EAD">
        <w:t>ducation;</w:t>
      </w:r>
      <w:r w:rsidR="00F0565A">
        <w:t xml:space="preserve"> sickle c</w:t>
      </w:r>
      <w:r w:rsidRPr="00F245D2">
        <w:t>e</w:t>
      </w:r>
      <w:r w:rsidR="00F0565A">
        <w:t>ll disease o</w:t>
      </w:r>
      <w:r w:rsidR="00286EAD">
        <w:t xml:space="preserve">utreach and </w:t>
      </w:r>
      <w:r w:rsidR="00F0565A">
        <w:t>s</w:t>
      </w:r>
      <w:r w:rsidR="00286EAD">
        <w:t>upport;</w:t>
      </w:r>
      <w:r w:rsidRPr="00F245D2">
        <w:t xml:space="preserve"> and </w:t>
      </w:r>
      <w:r w:rsidR="00F0565A">
        <w:t>m</w:t>
      </w:r>
      <w:r w:rsidRPr="00F245D2">
        <w:t xml:space="preserve">aternal, </w:t>
      </w:r>
      <w:r w:rsidR="00F0565A">
        <w:t>infant, and e</w:t>
      </w:r>
      <w:r w:rsidRPr="00F245D2">
        <w:t xml:space="preserve">arly </w:t>
      </w:r>
      <w:r w:rsidR="00F0565A">
        <w:t>childhood home v</w:t>
      </w:r>
      <w:r w:rsidRPr="00F245D2">
        <w:t>isiting.</w:t>
      </w:r>
    </w:p>
    <w:p w:rsidR="00F245D2" w:rsidRPr="00F245D2" w:rsidRDefault="00F245D2" w:rsidP="00F245D2">
      <w:pPr>
        <w:rPr>
          <w:rFonts w:asciiTheme="minorHAnsi" w:hAnsiTheme="minorHAnsi"/>
          <w:bCs/>
        </w:rPr>
      </w:pPr>
      <w:r w:rsidRPr="00D654A0">
        <w:t>The</w:t>
      </w:r>
      <w:r w:rsidRPr="00BA3163">
        <w:rPr>
          <w:rStyle w:val="Heading4Char"/>
        </w:rPr>
        <w:t xml:space="preserve"> Community Health and Prevention Section (CHAPS)</w:t>
      </w:r>
      <w:r w:rsidRPr="00F245D2">
        <w:rPr>
          <w:rFonts w:asciiTheme="minorHAnsi" w:hAnsiTheme="minorHAnsi"/>
          <w:bCs/>
        </w:rPr>
        <w:t xml:space="preserve"> addresses chronic disease by promo</w:t>
      </w:r>
      <w:r w:rsidR="00C408AD">
        <w:rPr>
          <w:rFonts w:asciiTheme="minorHAnsi" w:hAnsiTheme="minorHAnsi"/>
          <w:bCs/>
        </w:rPr>
        <w:t>ting healthy behaviors and life</w:t>
      </w:r>
      <w:r w:rsidRPr="00F245D2">
        <w:rPr>
          <w:rFonts w:asciiTheme="minorHAnsi" w:hAnsiTheme="minorHAnsi"/>
          <w:bCs/>
        </w:rPr>
        <w:t>styles that support healthy eating and active living through education, early detection and prevention to improve the health of the overall population. CHAPS is also responsible for conducting surveillance activities to inform policy makers and the public healt</w:t>
      </w:r>
      <w:r w:rsidR="00C408AD">
        <w:rPr>
          <w:rFonts w:asciiTheme="minorHAnsi" w:hAnsiTheme="minorHAnsi"/>
          <w:bCs/>
        </w:rPr>
        <w:t xml:space="preserve">h community as well </w:t>
      </w:r>
      <w:r w:rsidR="009C610B">
        <w:rPr>
          <w:rFonts w:asciiTheme="minorHAnsi" w:hAnsiTheme="minorHAnsi"/>
          <w:bCs/>
        </w:rPr>
        <w:t xml:space="preserve">as </w:t>
      </w:r>
      <w:r w:rsidR="00C408AD">
        <w:rPr>
          <w:rFonts w:asciiTheme="minorHAnsi" w:hAnsiTheme="minorHAnsi"/>
          <w:bCs/>
        </w:rPr>
        <w:t xml:space="preserve">addressing </w:t>
      </w:r>
      <w:r w:rsidRPr="00F245D2">
        <w:rPr>
          <w:rFonts w:asciiTheme="minorHAnsi" w:hAnsiTheme="minorHAnsi"/>
          <w:bCs/>
        </w:rPr>
        <w:t>health disparities in the following programs an</w:t>
      </w:r>
      <w:r w:rsidR="00F0565A">
        <w:rPr>
          <w:rFonts w:asciiTheme="minorHAnsi" w:hAnsiTheme="minorHAnsi"/>
          <w:bCs/>
        </w:rPr>
        <w:t>d offices: asthma; c</w:t>
      </w:r>
      <w:r w:rsidR="00C408AD">
        <w:rPr>
          <w:rFonts w:asciiTheme="minorHAnsi" w:hAnsiTheme="minorHAnsi"/>
          <w:bCs/>
        </w:rPr>
        <w:t>ancer;</w:t>
      </w:r>
      <w:r w:rsidR="00F0565A">
        <w:rPr>
          <w:rFonts w:asciiTheme="minorHAnsi" w:hAnsiTheme="minorHAnsi"/>
          <w:bCs/>
        </w:rPr>
        <w:t xml:space="preserve"> d</w:t>
      </w:r>
      <w:r w:rsidRPr="00F245D2">
        <w:rPr>
          <w:rFonts w:asciiTheme="minorHAnsi" w:hAnsiTheme="minorHAnsi"/>
          <w:bCs/>
        </w:rPr>
        <w:t>iabetes</w:t>
      </w:r>
      <w:r w:rsidR="00C408AD">
        <w:rPr>
          <w:rFonts w:asciiTheme="minorHAnsi" w:hAnsiTheme="minorHAnsi"/>
          <w:bCs/>
        </w:rPr>
        <w:t>;</w:t>
      </w:r>
      <w:r w:rsidRPr="00F245D2">
        <w:rPr>
          <w:rFonts w:asciiTheme="minorHAnsi" w:hAnsiTheme="minorHAnsi"/>
          <w:bCs/>
        </w:rPr>
        <w:t xml:space="preserve"> </w:t>
      </w:r>
      <w:r w:rsidR="00F0565A">
        <w:rPr>
          <w:rFonts w:asciiTheme="minorHAnsi" w:hAnsiTheme="minorHAnsi"/>
          <w:bCs/>
        </w:rPr>
        <w:t>heart d</w:t>
      </w:r>
      <w:r w:rsidRPr="00F245D2">
        <w:rPr>
          <w:rFonts w:asciiTheme="minorHAnsi" w:hAnsiTheme="minorHAnsi"/>
          <w:bCs/>
        </w:rPr>
        <w:t>isease/</w:t>
      </w:r>
      <w:r w:rsidR="00F0565A">
        <w:rPr>
          <w:rFonts w:asciiTheme="minorHAnsi" w:hAnsiTheme="minorHAnsi"/>
          <w:bCs/>
        </w:rPr>
        <w:t>s</w:t>
      </w:r>
      <w:r w:rsidRPr="00F245D2">
        <w:rPr>
          <w:rFonts w:asciiTheme="minorHAnsi" w:hAnsiTheme="minorHAnsi"/>
          <w:bCs/>
        </w:rPr>
        <w:t>troke</w:t>
      </w:r>
      <w:r w:rsidR="00C408AD">
        <w:rPr>
          <w:rFonts w:asciiTheme="minorHAnsi" w:hAnsiTheme="minorHAnsi"/>
          <w:bCs/>
        </w:rPr>
        <w:t>;</w:t>
      </w:r>
      <w:r w:rsidRPr="00F245D2">
        <w:rPr>
          <w:rFonts w:asciiTheme="minorHAnsi" w:hAnsiTheme="minorHAnsi"/>
          <w:bCs/>
        </w:rPr>
        <w:t xml:space="preserve"> </w:t>
      </w:r>
      <w:r w:rsidR="00F0565A">
        <w:rPr>
          <w:rFonts w:asciiTheme="minorHAnsi" w:hAnsiTheme="minorHAnsi"/>
          <w:bCs/>
        </w:rPr>
        <w:t>n</w:t>
      </w:r>
      <w:r w:rsidRPr="00F245D2">
        <w:rPr>
          <w:rFonts w:asciiTheme="minorHAnsi" w:hAnsiTheme="minorHAnsi"/>
          <w:bCs/>
        </w:rPr>
        <w:t>utrition/</w:t>
      </w:r>
      <w:r w:rsidR="00F0565A">
        <w:rPr>
          <w:rFonts w:asciiTheme="minorHAnsi" w:hAnsiTheme="minorHAnsi"/>
          <w:bCs/>
        </w:rPr>
        <w:t>p</w:t>
      </w:r>
      <w:r w:rsidRPr="00F245D2">
        <w:rPr>
          <w:rFonts w:asciiTheme="minorHAnsi" w:hAnsiTheme="minorHAnsi"/>
          <w:bCs/>
        </w:rPr>
        <w:t xml:space="preserve">hysical </w:t>
      </w:r>
      <w:r w:rsidR="00F0565A">
        <w:rPr>
          <w:rFonts w:asciiTheme="minorHAnsi" w:hAnsiTheme="minorHAnsi"/>
          <w:bCs/>
        </w:rPr>
        <w:t>a</w:t>
      </w:r>
      <w:r w:rsidRPr="00F245D2">
        <w:rPr>
          <w:rFonts w:asciiTheme="minorHAnsi" w:hAnsiTheme="minorHAnsi"/>
          <w:bCs/>
        </w:rPr>
        <w:t xml:space="preserve">ctivity &amp; </w:t>
      </w:r>
      <w:r w:rsidR="00F0565A">
        <w:rPr>
          <w:rFonts w:asciiTheme="minorHAnsi" w:hAnsiTheme="minorHAnsi"/>
          <w:bCs/>
        </w:rPr>
        <w:t>o</w:t>
      </w:r>
      <w:r w:rsidRPr="00F245D2">
        <w:rPr>
          <w:rFonts w:asciiTheme="minorHAnsi" w:hAnsiTheme="minorHAnsi"/>
          <w:bCs/>
        </w:rPr>
        <w:t>besity</w:t>
      </w:r>
      <w:r w:rsidR="00C408AD">
        <w:rPr>
          <w:rFonts w:asciiTheme="minorHAnsi" w:hAnsiTheme="minorHAnsi"/>
          <w:bCs/>
        </w:rPr>
        <w:t>;</w:t>
      </w:r>
      <w:r w:rsidRPr="00F245D2">
        <w:rPr>
          <w:rFonts w:asciiTheme="minorHAnsi" w:hAnsiTheme="minorHAnsi"/>
          <w:bCs/>
        </w:rPr>
        <w:t xml:space="preserve"> </w:t>
      </w:r>
      <w:r w:rsidR="00F0565A">
        <w:rPr>
          <w:rFonts w:asciiTheme="minorHAnsi" w:hAnsiTheme="minorHAnsi"/>
          <w:bCs/>
        </w:rPr>
        <w:t>t</w:t>
      </w:r>
      <w:r w:rsidRPr="00F245D2">
        <w:rPr>
          <w:rFonts w:asciiTheme="minorHAnsi" w:hAnsiTheme="minorHAnsi"/>
          <w:bCs/>
        </w:rPr>
        <w:t>obacco</w:t>
      </w:r>
      <w:r w:rsidR="00C408AD">
        <w:rPr>
          <w:rFonts w:asciiTheme="minorHAnsi" w:hAnsiTheme="minorHAnsi"/>
          <w:bCs/>
        </w:rPr>
        <w:t>;</w:t>
      </w:r>
      <w:r w:rsidRPr="00F245D2">
        <w:rPr>
          <w:rFonts w:asciiTheme="minorHAnsi" w:hAnsiTheme="minorHAnsi"/>
          <w:bCs/>
        </w:rPr>
        <w:t xml:space="preserve"> </w:t>
      </w:r>
      <w:r w:rsidR="00F0565A">
        <w:rPr>
          <w:rFonts w:asciiTheme="minorHAnsi" w:hAnsiTheme="minorHAnsi"/>
          <w:bCs/>
        </w:rPr>
        <w:t>w</w:t>
      </w:r>
      <w:r w:rsidRPr="00F245D2">
        <w:rPr>
          <w:rFonts w:asciiTheme="minorHAnsi" w:hAnsiTheme="minorHAnsi"/>
          <w:bCs/>
        </w:rPr>
        <w:t xml:space="preserve">omen, </w:t>
      </w:r>
      <w:r w:rsidR="00F0565A">
        <w:rPr>
          <w:rFonts w:asciiTheme="minorHAnsi" w:hAnsiTheme="minorHAnsi"/>
          <w:bCs/>
        </w:rPr>
        <w:t>i</w:t>
      </w:r>
      <w:r w:rsidRPr="00F245D2">
        <w:rPr>
          <w:rFonts w:asciiTheme="minorHAnsi" w:hAnsiTheme="minorHAnsi"/>
          <w:bCs/>
        </w:rPr>
        <w:t>nfant</w:t>
      </w:r>
      <w:r w:rsidR="009C610B">
        <w:rPr>
          <w:rFonts w:asciiTheme="minorHAnsi" w:hAnsiTheme="minorHAnsi"/>
          <w:bCs/>
        </w:rPr>
        <w:t>s</w:t>
      </w:r>
      <w:r w:rsidRPr="00F245D2">
        <w:rPr>
          <w:rFonts w:asciiTheme="minorHAnsi" w:hAnsiTheme="minorHAnsi"/>
          <w:bCs/>
        </w:rPr>
        <w:t xml:space="preserve"> and </w:t>
      </w:r>
      <w:r w:rsidR="00F0565A">
        <w:rPr>
          <w:rFonts w:asciiTheme="minorHAnsi" w:hAnsiTheme="minorHAnsi"/>
          <w:bCs/>
        </w:rPr>
        <w:t>c</w:t>
      </w:r>
      <w:r w:rsidRPr="00F245D2">
        <w:rPr>
          <w:rFonts w:asciiTheme="minorHAnsi" w:hAnsiTheme="minorHAnsi"/>
          <w:bCs/>
        </w:rPr>
        <w:t>hildren (WIC)</w:t>
      </w:r>
      <w:r w:rsidR="00C408AD">
        <w:rPr>
          <w:rFonts w:asciiTheme="minorHAnsi" w:hAnsiTheme="minorHAnsi"/>
          <w:bCs/>
        </w:rPr>
        <w:t>;</w:t>
      </w:r>
      <w:r w:rsidRPr="00F245D2">
        <w:rPr>
          <w:rFonts w:asciiTheme="minorHAnsi" w:hAnsiTheme="minorHAnsi"/>
          <w:bCs/>
        </w:rPr>
        <w:t xml:space="preserve"> </w:t>
      </w:r>
      <w:r w:rsidR="00F0565A">
        <w:rPr>
          <w:rFonts w:asciiTheme="minorHAnsi" w:hAnsiTheme="minorHAnsi"/>
          <w:bCs/>
        </w:rPr>
        <w:t>g</w:t>
      </w:r>
      <w:r w:rsidRPr="00F245D2">
        <w:rPr>
          <w:rFonts w:asciiTheme="minorHAnsi" w:hAnsiTheme="minorHAnsi"/>
          <w:bCs/>
        </w:rPr>
        <w:t xml:space="preserve">enomics </w:t>
      </w:r>
      <w:r w:rsidR="00F0565A">
        <w:rPr>
          <w:rFonts w:asciiTheme="minorHAnsi" w:hAnsiTheme="minorHAnsi"/>
          <w:bCs/>
        </w:rPr>
        <w:t>o</w:t>
      </w:r>
      <w:r w:rsidRPr="00F245D2">
        <w:rPr>
          <w:rFonts w:asciiTheme="minorHAnsi" w:hAnsiTheme="minorHAnsi"/>
          <w:bCs/>
        </w:rPr>
        <w:t xml:space="preserve">ffice and the </w:t>
      </w:r>
      <w:r w:rsidR="00F0565A">
        <w:rPr>
          <w:rFonts w:asciiTheme="minorHAnsi" w:hAnsiTheme="minorHAnsi"/>
          <w:bCs/>
        </w:rPr>
        <w:t>o</w:t>
      </w:r>
      <w:r>
        <w:rPr>
          <w:rFonts w:asciiTheme="minorHAnsi" w:hAnsiTheme="minorHAnsi"/>
          <w:bCs/>
        </w:rPr>
        <w:t xml:space="preserve">ffice of </w:t>
      </w:r>
      <w:r w:rsidR="00F0565A">
        <w:rPr>
          <w:rFonts w:asciiTheme="minorHAnsi" w:hAnsiTheme="minorHAnsi"/>
          <w:bCs/>
        </w:rPr>
        <w:t>m</w:t>
      </w:r>
      <w:r>
        <w:rPr>
          <w:rFonts w:asciiTheme="minorHAnsi" w:hAnsiTheme="minorHAnsi"/>
          <w:bCs/>
        </w:rPr>
        <w:t xml:space="preserve">ulticultural </w:t>
      </w:r>
      <w:r w:rsidR="00F0565A">
        <w:rPr>
          <w:rFonts w:asciiTheme="minorHAnsi" w:hAnsiTheme="minorHAnsi"/>
          <w:bCs/>
        </w:rPr>
        <w:t>h</w:t>
      </w:r>
      <w:r>
        <w:rPr>
          <w:rFonts w:asciiTheme="minorHAnsi" w:hAnsiTheme="minorHAnsi"/>
          <w:bCs/>
        </w:rPr>
        <w:t>ealth.</w:t>
      </w:r>
    </w:p>
    <w:p w:rsidR="00B912C9" w:rsidRPr="00C408AD" w:rsidRDefault="004E3D2F" w:rsidP="00F245D2">
      <w:pPr>
        <w:spacing w:after="80"/>
      </w:pPr>
      <w:r w:rsidRPr="00D654A0">
        <w:t>The</w:t>
      </w:r>
      <w:r w:rsidRPr="00F0565A">
        <w:rPr>
          <w:rStyle w:val="Heading4Char"/>
          <w:rFonts w:asciiTheme="minorHAnsi" w:hAnsiTheme="minorHAnsi"/>
        </w:rPr>
        <w:t xml:space="preserve"> Infectious Diseases Section</w:t>
      </w:r>
      <w:r w:rsidRPr="00C408AD">
        <w:rPr>
          <w:rFonts w:asciiTheme="minorHAnsi" w:hAnsiTheme="minorHAnsi"/>
        </w:rPr>
        <w:t xml:space="preserve"> encompasses </w:t>
      </w:r>
      <w:r w:rsidR="009C610B">
        <w:rPr>
          <w:rFonts w:asciiTheme="minorHAnsi" w:hAnsiTheme="minorHAnsi"/>
        </w:rPr>
        <w:t xml:space="preserve">surveillance programs </w:t>
      </w:r>
      <w:r w:rsidRPr="00C408AD">
        <w:rPr>
          <w:rFonts w:asciiTheme="minorHAnsi" w:hAnsiTheme="minorHAnsi"/>
        </w:rPr>
        <w:t>for emerging infections and more than 50 acute</w:t>
      </w:r>
      <w:r w:rsidRPr="00C408AD">
        <w:t xml:space="preserve"> communicable diseases including conditions potentially associated with bioterrorism; outbreak detection and investigation; planning for the public health response to infectious disease emergencies and programs for the prevention of </w:t>
      </w:r>
      <w:proofErr w:type="spellStart"/>
      <w:r w:rsidRPr="00C408AD">
        <w:t>perinatal</w:t>
      </w:r>
      <w:proofErr w:type="spellEnd"/>
      <w:r w:rsidRPr="00C408AD">
        <w:t xml:space="preserve"> infectious diseases, vaccine-preventable diseases, </w:t>
      </w:r>
      <w:r w:rsidR="00F0565A">
        <w:t>human i</w:t>
      </w:r>
      <w:r w:rsidR="008977C4" w:rsidRPr="00C408AD">
        <w:t xml:space="preserve">mmunodeficiency </w:t>
      </w:r>
      <w:r w:rsidR="00F0565A">
        <w:t>v</w:t>
      </w:r>
      <w:r w:rsidR="008977C4" w:rsidRPr="00C408AD">
        <w:t xml:space="preserve">irus (HIV), hepatitis, </w:t>
      </w:r>
      <w:r w:rsidRPr="00C408AD">
        <w:t>sexually transmitted diseases and tuberculosis.</w:t>
      </w:r>
    </w:p>
    <w:p w:rsidR="00B912C9" w:rsidRPr="00C408AD" w:rsidRDefault="00B912C9">
      <w:pPr>
        <w:rPr>
          <w:rFonts w:ascii="Helvetica" w:hAnsi="Helvetica"/>
        </w:rPr>
        <w:sectPr w:rsidR="00B912C9" w:rsidRPr="00C408AD">
          <w:headerReference w:type="default" r:id="rId18"/>
          <w:footerReference w:type="default" r:id="rId19"/>
          <w:type w:val="continuous"/>
          <w:pgSz w:w="12240" w:h="15840" w:code="1"/>
          <w:pgMar w:top="864" w:right="720" w:bottom="1152" w:left="720" w:header="432" w:footer="288" w:gutter="216"/>
          <w:cols w:num="2" w:space="432"/>
        </w:sectPr>
      </w:pPr>
    </w:p>
    <w:p w:rsidR="00B912C9" w:rsidRDefault="00B912C9"/>
    <w:p w:rsidR="00B912C9" w:rsidRDefault="00C3771A">
      <w:pPr>
        <w:pStyle w:val="ProgramHead"/>
      </w:pPr>
      <w:r>
        <w:fldChar w:fldCharType="begin"/>
      </w:r>
      <w:r w:rsidR="00B66F60">
        <w:instrText xml:space="preserve"> XE "dph48500 29101" </w:instrText>
      </w:r>
      <w:r>
        <w:fldChar w:fldCharType="end"/>
      </w:r>
      <w:r w:rsidR="004E3D2F">
        <w:t xml:space="preserve">Regulatory Services </w:t>
      </w:r>
    </w:p>
    <w:p w:rsidR="00B912C9" w:rsidRPr="00C408AD" w:rsidRDefault="00B912C9">
      <w:pPr>
        <w:pStyle w:val="ProgramHead"/>
        <w:rPr>
          <w:color w:val="auto"/>
        </w:rPr>
        <w:sectPr w:rsidR="00B912C9" w:rsidRPr="00C408AD">
          <w:headerReference w:type="default" r:id="rId20"/>
          <w:footerReference w:type="default" r:id="rId21"/>
          <w:type w:val="continuous"/>
          <w:pgSz w:w="12240" w:h="15840" w:code="1"/>
          <w:pgMar w:top="864" w:right="720" w:bottom="1152" w:left="720" w:header="432" w:footer="288" w:gutter="216"/>
          <w:cols w:space="432"/>
        </w:sectPr>
      </w:pPr>
    </w:p>
    <w:p w:rsidR="00B912C9" w:rsidRPr="00C408AD" w:rsidRDefault="004E3D2F">
      <w:pPr>
        <w:pStyle w:val="Heading2"/>
        <w:rPr>
          <w:bCs/>
          <w:iCs/>
          <w:color w:val="auto"/>
        </w:rPr>
      </w:pPr>
      <w:r w:rsidRPr="00C408AD">
        <w:rPr>
          <w:color w:val="auto"/>
        </w:rPr>
        <w:lastRenderedPageBreak/>
        <w:t>Statutory Reference</w:t>
      </w:r>
    </w:p>
    <w:p w:rsidR="00B912C9" w:rsidRPr="00F0565A" w:rsidRDefault="004E3D2F">
      <w:r w:rsidRPr="00F0565A">
        <w:rPr>
          <w:rFonts w:cs="Lucida Sans Unicode"/>
        </w:rPr>
        <w:t xml:space="preserve">C.G.S. Sections 10-212a, 16-261a, 17b-748, 19a-2a, 19a-14, 19a-29a, 19a-36, 19a-77-87e, 19a-329-333, 19a-420-428, 19a-555, 20-341a-341m, 20-358-366, 20-435-442, 20-474-482, 22a-430g, 22a-434a, 25-32 </w:t>
      </w:r>
      <w:r w:rsidRPr="00CB648F">
        <w:rPr>
          <w:rFonts w:cs="Lucida Sans Unicode"/>
          <w:i/>
        </w:rPr>
        <w:t>et seq</w:t>
      </w:r>
      <w:r w:rsidRPr="00F0565A">
        <w:rPr>
          <w:rFonts w:cs="Lucida Sans Unicode"/>
        </w:rPr>
        <w:t>., 25-40, 31-40a, and 31-400.</w:t>
      </w:r>
    </w:p>
    <w:p w:rsidR="00B912C9" w:rsidRPr="00C408AD" w:rsidRDefault="004E3D2F">
      <w:pPr>
        <w:pStyle w:val="Heading2"/>
        <w:rPr>
          <w:bCs/>
          <w:iCs/>
          <w:color w:val="auto"/>
        </w:rPr>
      </w:pPr>
      <w:r w:rsidRPr="00C408AD">
        <w:rPr>
          <w:color w:val="auto"/>
        </w:rPr>
        <w:t>Statement of Need and Program Objectives</w:t>
      </w:r>
    </w:p>
    <w:p w:rsidR="00B912C9" w:rsidRPr="00C408AD" w:rsidRDefault="004E3D2F">
      <w:pPr>
        <w:spacing w:after="80"/>
      </w:pPr>
      <w:r w:rsidRPr="00C408AD">
        <w:t xml:space="preserve">To ensure the quality of environmental </w:t>
      </w:r>
      <w:r w:rsidR="0035560F" w:rsidRPr="00C408AD">
        <w:t xml:space="preserve">public health </w:t>
      </w:r>
      <w:r w:rsidRPr="00C408AD">
        <w:t xml:space="preserve">services through the development and enforcement of state and </w:t>
      </w:r>
      <w:r w:rsidR="0035560F" w:rsidRPr="00C408AD">
        <w:t xml:space="preserve">federal laws and regulations and </w:t>
      </w:r>
      <w:r w:rsidRPr="00C408AD">
        <w:t>promote the expansion or development of new services to meet consumer needs.</w:t>
      </w:r>
      <w:r w:rsidR="00D52226">
        <w:t xml:space="preserve">  To ensure </w:t>
      </w:r>
      <w:r w:rsidR="00112C61" w:rsidRPr="00C408AD">
        <w:t>qua</w:t>
      </w:r>
      <w:r w:rsidR="00D52226">
        <w:t xml:space="preserve">lity </w:t>
      </w:r>
      <w:r w:rsidR="00112C61" w:rsidRPr="00C408AD">
        <w:t>care in child day care centers and family day care homes.</w:t>
      </w:r>
    </w:p>
    <w:p w:rsidR="00B912C9" w:rsidRPr="00C408AD" w:rsidRDefault="004E3D2F">
      <w:pPr>
        <w:pStyle w:val="Heading2"/>
        <w:rPr>
          <w:color w:val="auto"/>
        </w:rPr>
      </w:pPr>
      <w:r w:rsidRPr="00C408AD">
        <w:rPr>
          <w:color w:val="auto"/>
        </w:rPr>
        <w:t>Program Description</w:t>
      </w:r>
    </w:p>
    <w:p w:rsidR="00B912C9" w:rsidRPr="00C408AD" w:rsidRDefault="0035560F">
      <w:pPr>
        <w:spacing w:after="80"/>
      </w:pPr>
      <w:r w:rsidRPr="00C408AD">
        <w:t>T</w:t>
      </w:r>
      <w:r w:rsidR="004E3D2F" w:rsidRPr="00C408AD">
        <w:t xml:space="preserve">he </w:t>
      </w:r>
      <w:r w:rsidR="004E3D2F" w:rsidRPr="00D654A0">
        <w:rPr>
          <w:rStyle w:val="Heading4Char"/>
        </w:rPr>
        <w:t>Branch of Regulatory Services</w:t>
      </w:r>
      <w:r w:rsidRPr="00C408AD">
        <w:t xml:space="preserve"> </w:t>
      </w:r>
      <w:r w:rsidR="00C35941">
        <w:t>protects the</w:t>
      </w:r>
      <w:r w:rsidR="004E3D2F" w:rsidRPr="00C408AD">
        <w:t xml:space="preserve"> public health by ensuring competent and capable child care</w:t>
      </w:r>
      <w:r w:rsidRPr="00C408AD">
        <w:t>, provision of local health services, drinking water safety,</w:t>
      </w:r>
      <w:r w:rsidR="004E3D2F" w:rsidRPr="00C408AD">
        <w:t xml:space="preserve"> </w:t>
      </w:r>
      <w:r w:rsidR="00D52226">
        <w:t xml:space="preserve">and effective </w:t>
      </w:r>
      <w:r w:rsidR="004E3D2F" w:rsidRPr="00C408AD">
        <w:t xml:space="preserve">environmental </w:t>
      </w:r>
      <w:r w:rsidRPr="00C408AD">
        <w:t xml:space="preserve">public health </w:t>
      </w:r>
      <w:r w:rsidR="004E3D2F" w:rsidRPr="00C408AD">
        <w:t xml:space="preserve">service </w:t>
      </w:r>
      <w:r w:rsidRPr="00C408AD">
        <w:t xml:space="preserve">and </w:t>
      </w:r>
      <w:r w:rsidR="004E3D2F" w:rsidRPr="00C408AD">
        <w:t>provid</w:t>
      </w:r>
      <w:r w:rsidR="00D52226">
        <w:t xml:space="preserve">ers. This is </w:t>
      </w:r>
      <w:r w:rsidRPr="00C408AD">
        <w:t>accomplished through regulation of</w:t>
      </w:r>
      <w:r w:rsidR="004E3D2F" w:rsidRPr="00C408AD">
        <w:t xml:space="preserve"> environmental </w:t>
      </w:r>
      <w:r w:rsidRPr="00C408AD">
        <w:t>services and providers,</w:t>
      </w:r>
      <w:r w:rsidR="004E3D2F" w:rsidRPr="00C408AD">
        <w:t xml:space="preserve"> child care professions</w:t>
      </w:r>
      <w:r w:rsidRPr="00C408AD">
        <w:t>, local health, drinking water,</w:t>
      </w:r>
      <w:r w:rsidR="004E3D2F" w:rsidRPr="00C408AD">
        <w:t xml:space="preserve"> and through regulatory oversight of facilities and services.</w:t>
      </w:r>
    </w:p>
    <w:p w:rsidR="00B912C9" w:rsidRPr="00C408AD" w:rsidRDefault="004E3D2F">
      <w:pPr>
        <w:spacing w:after="80"/>
      </w:pPr>
      <w:r w:rsidRPr="00C408AD">
        <w:t xml:space="preserve">The branch consists </w:t>
      </w:r>
      <w:r w:rsidR="0035560F" w:rsidRPr="00C408AD">
        <w:t>of four</w:t>
      </w:r>
      <w:r w:rsidRPr="00C408AD">
        <w:t xml:space="preserve"> major program components, which </w:t>
      </w:r>
      <w:r w:rsidR="00D52226">
        <w:t>are responsible</w:t>
      </w:r>
      <w:r w:rsidRPr="00C408AD">
        <w:t xml:space="preserve"> for implementing state and federal regulatory programs.</w:t>
      </w:r>
    </w:p>
    <w:p w:rsidR="00B912C9" w:rsidRPr="00C408AD" w:rsidRDefault="004E3D2F">
      <w:pPr>
        <w:spacing w:after="80"/>
        <w:rPr>
          <w:u w:val="single"/>
        </w:rPr>
      </w:pPr>
      <w:r w:rsidRPr="00D654A0">
        <w:lastRenderedPageBreak/>
        <w:t>The</w:t>
      </w:r>
      <w:r w:rsidRPr="00F0565A">
        <w:rPr>
          <w:rStyle w:val="Heading4Char"/>
        </w:rPr>
        <w:t xml:space="preserve"> Section of Community Based Regulation</w:t>
      </w:r>
      <w:r w:rsidRPr="00C408AD">
        <w:t xml:space="preserve"> regulates and respo</w:t>
      </w:r>
      <w:r w:rsidR="00D52226">
        <w:t xml:space="preserve">nds to complaints concerning </w:t>
      </w:r>
      <w:r w:rsidR="005D3149" w:rsidRPr="00C408AD">
        <w:t>over 1,515</w:t>
      </w:r>
      <w:r w:rsidRPr="00C408AD">
        <w:t xml:space="preserve"> group and child day care centers and 2</w:t>
      </w:r>
      <w:r w:rsidR="00B10764" w:rsidRPr="00C408AD">
        <w:t>,</w:t>
      </w:r>
      <w:r w:rsidR="005D3149" w:rsidRPr="00C408AD">
        <w:t>543</w:t>
      </w:r>
      <w:r w:rsidRPr="00C408AD">
        <w:t xml:space="preserve"> family day care homes.  The licensure process includes application review, background screening, technical assistance, on-site inspection and review of building/zoning, local health and fire safety certificates.  The section also licenses</w:t>
      </w:r>
      <w:r w:rsidR="005D3149" w:rsidRPr="00C408AD">
        <w:t xml:space="preserve"> and inspects 477</w:t>
      </w:r>
      <w:r w:rsidRPr="00C408AD">
        <w:t xml:space="preserve"> youth camps.</w:t>
      </w:r>
    </w:p>
    <w:p w:rsidR="00B912C9" w:rsidRPr="00C408AD" w:rsidRDefault="004E3D2F">
      <w:pPr>
        <w:spacing w:after="80"/>
      </w:pPr>
      <w:r w:rsidRPr="00D654A0">
        <w:t>The</w:t>
      </w:r>
      <w:r w:rsidRPr="00F0565A">
        <w:rPr>
          <w:rStyle w:val="Heading4Char"/>
        </w:rPr>
        <w:t xml:space="preserve"> Drinking Water Section</w:t>
      </w:r>
      <w:r w:rsidRPr="00C408AD">
        <w:t xml:space="preserve"> is responsible for the administration of all state and federal safe drinking</w:t>
      </w:r>
      <w:r w:rsidRPr="00A867C2">
        <w:rPr>
          <w:color w:val="FF0000"/>
        </w:rPr>
        <w:t xml:space="preserve"> </w:t>
      </w:r>
      <w:r w:rsidRPr="00C408AD">
        <w:t>water requirements.  The section holds EPA primary enfor</w:t>
      </w:r>
      <w:r w:rsidR="00D52226">
        <w:t>cement powers</w:t>
      </w:r>
      <w:r w:rsidRPr="00C408AD">
        <w:t xml:space="preserve"> and administers million</w:t>
      </w:r>
      <w:r w:rsidR="003C436B" w:rsidRPr="00C408AD">
        <w:t>s of dollars</w:t>
      </w:r>
      <w:r w:rsidRPr="00C408AD">
        <w:t xml:space="preserve"> annually in low interest loans for drinking water infrastructure improvements</w:t>
      </w:r>
      <w:r w:rsidR="00A867C2" w:rsidRPr="00C408AD">
        <w:t xml:space="preserve"> through the Drinking Water State Revolving Fund</w:t>
      </w:r>
      <w:r w:rsidR="00D52226">
        <w:t>.  It</w:t>
      </w:r>
      <w:r w:rsidRPr="00C408AD">
        <w:t xml:space="preserve"> </w:t>
      </w:r>
      <w:r w:rsidR="00D52226">
        <w:t>assures</w:t>
      </w:r>
      <w:r w:rsidRPr="00C408AD">
        <w:t xml:space="preserve"> the security, quality and adequacy of our st</w:t>
      </w:r>
      <w:r w:rsidR="00D52226">
        <w:t xml:space="preserve">ate’s public drinking water.  </w:t>
      </w:r>
      <w:r w:rsidRPr="00C408AD">
        <w:t>This is accomplished through certification, technical assistance, education, regulatory enforcement, a</w:t>
      </w:r>
      <w:r w:rsidRPr="00C408AD">
        <w:rPr>
          <w:rFonts w:cs="Lucida Sans Unicode"/>
        </w:rPr>
        <w:t>nd regional participation in drinking water forums.</w:t>
      </w:r>
      <w:r w:rsidR="00D52226">
        <w:t xml:space="preserve">  Over 2,600 entities </w:t>
      </w:r>
      <w:r w:rsidRPr="00C408AD">
        <w:t xml:space="preserve">provide drinking water to almost 2.6 million residents in Connecticut.  Homeland security efforts and emergency response to drinking water issues are </w:t>
      </w:r>
      <w:r w:rsidR="00D52226">
        <w:t>also coordinated</w:t>
      </w:r>
      <w:r w:rsidRPr="00C408AD">
        <w:t>.</w:t>
      </w:r>
    </w:p>
    <w:p w:rsidR="00501896" w:rsidRPr="00C408AD" w:rsidRDefault="004E3D2F" w:rsidP="00A304B2">
      <w:pPr>
        <w:spacing w:after="80"/>
      </w:pPr>
      <w:r w:rsidRPr="00D654A0">
        <w:t>The</w:t>
      </w:r>
      <w:r w:rsidRPr="00F0565A">
        <w:rPr>
          <w:rStyle w:val="Heading4Char"/>
        </w:rPr>
        <w:t xml:space="preserve"> Environmental Health Section</w:t>
      </w:r>
      <w:r w:rsidRPr="00C408AD">
        <w:rPr>
          <w:rFonts w:cs="Lucida Sans Unicode"/>
        </w:rPr>
        <w:t xml:space="preserve"> is comprised of multiple programs that work closely with local health de</w:t>
      </w:r>
      <w:r w:rsidR="00A867C2" w:rsidRPr="00C408AD">
        <w:rPr>
          <w:rFonts w:cs="Lucida Sans Unicode"/>
        </w:rPr>
        <w:t xml:space="preserve">partments and sister agencies. </w:t>
      </w:r>
      <w:r w:rsidR="00501896" w:rsidRPr="00C408AD">
        <w:rPr>
          <w:rFonts w:cs="Lucida Sans Unicode"/>
        </w:rPr>
        <w:t xml:space="preserve"> </w:t>
      </w:r>
      <w:r w:rsidRPr="00C408AD">
        <w:rPr>
          <w:rFonts w:cs="Lucida Sans Unicode"/>
        </w:rPr>
        <w:t>Section responsibilities include initial licensure and regulatory oversight of 8</w:t>
      </w:r>
      <w:r w:rsidR="00D243D5" w:rsidRPr="00C408AD">
        <w:rPr>
          <w:rFonts w:cs="Lucida Sans Unicode"/>
        </w:rPr>
        <w:t>,</w:t>
      </w:r>
      <w:r w:rsidR="00A867C2" w:rsidRPr="00C408AD">
        <w:rPr>
          <w:rFonts w:cs="Lucida Sans Unicode"/>
        </w:rPr>
        <w:t>8</w:t>
      </w:r>
      <w:r w:rsidRPr="00C408AD">
        <w:rPr>
          <w:rFonts w:cs="Lucida Sans Unicode"/>
        </w:rPr>
        <w:t>00 environmental health pra</w:t>
      </w:r>
      <w:r w:rsidR="00A867C2" w:rsidRPr="00C408AD">
        <w:rPr>
          <w:rFonts w:cs="Lucida Sans Unicode"/>
        </w:rPr>
        <w:t xml:space="preserve">ctitioners, certification of </w:t>
      </w:r>
      <w:r w:rsidR="00A867C2" w:rsidRPr="00C408AD">
        <w:rPr>
          <w:rFonts w:cs="Lucida Sans Unicode"/>
        </w:rPr>
        <w:lastRenderedPageBreak/>
        <w:t xml:space="preserve">180 </w:t>
      </w:r>
      <w:r w:rsidRPr="00C408AD">
        <w:rPr>
          <w:rFonts w:cs="Lucida Sans Unicode"/>
        </w:rPr>
        <w:t xml:space="preserve">environmental laboratories, </w:t>
      </w:r>
      <w:r w:rsidR="00A867C2" w:rsidRPr="00C408AD">
        <w:rPr>
          <w:rFonts w:cs="Lucida Sans Unicode"/>
        </w:rPr>
        <w:t xml:space="preserve">the ongoing training and </w:t>
      </w:r>
      <w:r w:rsidR="008E14BB" w:rsidRPr="00C408AD">
        <w:rPr>
          <w:rFonts w:cs="Lucida Sans Unicode"/>
        </w:rPr>
        <w:t xml:space="preserve">certification of 375 local health officials to inspect food service establishments, the ongoing training and </w:t>
      </w:r>
      <w:r w:rsidR="00A867C2" w:rsidRPr="00C408AD">
        <w:rPr>
          <w:rFonts w:cs="Lucida Sans Unicode"/>
        </w:rPr>
        <w:t xml:space="preserve">annual refresher courses in lead inspection for approximately 250 local health officials so that they can conduct lead inspections in response to childhood lead poisoning cases, </w:t>
      </w:r>
      <w:r w:rsidRPr="00C408AD">
        <w:rPr>
          <w:rFonts w:cs="Lucida Sans Unicode"/>
        </w:rPr>
        <w:t>and the training and certification of approximately 55 local health officials annually to review and approve subsurface sewage disposal systems.  In addition to ensuring compliance with asbestos, lead, private well, sub-surface sewage disposal</w:t>
      </w:r>
      <w:r w:rsidR="00A304B2" w:rsidRPr="00C408AD">
        <w:rPr>
          <w:rFonts w:cs="Lucida Sans Unicode"/>
        </w:rPr>
        <w:t xml:space="preserve"> s</w:t>
      </w:r>
      <w:r w:rsidRPr="00C408AD">
        <w:t xml:space="preserve">ystem, radon and food safety regulations and/or control strategies and providing technical assistance to the workforce and others, the section approves new public swimming pools plus ensures the safe use of swimming areas. </w:t>
      </w:r>
    </w:p>
    <w:p w:rsidR="00B912C9" w:rsidRPr="00C408AD" w:rsidRDefault="004E3D2F" w:rsidP="00A304B2">
      <w:pPr>
        <w:spacing w:after="80"/>
      </w:pPr>
      <w:r w:rsidRPr="00C408AD">
        <w:t xml:space="preserve">Section </w:t>
      </w:r>
      <w:proofErr w:type="gramStart"/>
      <w:r w:rsidRPr="00C408AD">
        <w:t>staff also review</w:t>
      </w:r>
      <w:proofErr w:type="gramEnd"/>
      <w:r w:rsidRPr="00C408AD">
        <w:t xml:space="preserve"> and approve certain traditional subsurface sewage systems, as well as proprietary subsurface sewage c</w:t>
      </w:r>
      <w:r w:rsidR="00501896" w:rsidRPr="00C408AD">
        <w:t>omponents and leaching systems.</w:t>
      </w:r>
      <w:r w:rsidRPr="00C408AD">
        <w:t xml:space="preserve"> </w:t>
      </w:r>
      <w:proofErr w:type="gramStart"/>
      <w:r w:rsidRPr="00C408AD">
        <w:t>Staff within the section’s environmental and occupational health assessment program are</w:t>
      </w:r>
      <w:proofErr w:type="gramEnd"/>
      <w:r w:rsidRPr="00C408AD">
        <w:t xml:space="preserve"> responsible for providing technical assistance on a variety of topics, the assessment of risk from environmental and toxic hazards, and the investigation of outbreaks or unusual occurrences of illness that may be related to environmental or occupational exposure and </w:t>
      </w:r>
      <w:r w:rsidRPr="00C408AD">
        <w:lastRenderedPageBreak/>
        <w:t>measures for prevention of additional cases.</w:t>
      </w:r>
      <w:r w:rsidR="00C04B14" w:rsidRPr="00C408AD">
        <w:t xml:space="preserve">  </w:t>
      </w:r>
      <w:r w:rsidR="00E05B96" w:rsidRPr="00C408AD">
        <w:t>Funds for</w:t>
      </w:r>
      <w:r w:rsidR="00C04B14" w:rsidRPr="00C408AD">
        <w:t xml:space="preserve"> lead </w:t>
      </w:r>
      <w:r w:rsidR="00D52226">
        <w:t>poisoning prevention programs are awarded</w:t>
      </w:r>
      <w:r w:rsidR="00C04B14" w:rsidRPr="00C408AD">
        <w:t xml:space="preserve"> to local health departments who test all children under the</w:t>
      </w:r>
      <w:r w:rsidR="00501896" w:rsidRPr="00C408AD">
        <w:t xml:space="preserve"> age of two for lead poisoning.</w:t>
      </w:r>
      <w:r w:rsidR="00C04B14" w:rsidRPr="00C408AD">
        <w:t xml:space="preserve"> </w:t>
      </w:r>
      <w:r w:rsidR="00501896" w:rsidRPr="00C408AD">
        <w:t xml:space="preserve"> </w:t>
      </w:r>
      <w:r w:rsidR="00C04B14" w:rsidRPr="00C408AD">
        <w:t xml:space="preserve">If a child is found to be </w:t>
      </w:r>
      <w:proofErr w:type="gramStart"/>
      <w:r w:rsidR="00C04B14" w:rsidRPr="00C408AD">
        <w:t>lead</w:t>
      </w:r>
      <w:proofErr w:type="gramEnd"/>
      <w:r w:rsidR="00C04B14" w:rsidRPr="00C408AD">
        <w:t xml:space="preserve"> poisoned, an epidemiological investigation and an environmental assessment </w:t>
      </w:r>
      <w:r w:rsidR="00E05B96" w:rsidRPr="00C408AD">
        <w:t>are</w:t>
      </w:r>
      <w:r w:rsidR="003A258F" w:rsidRPr="00C408AD">
        <w:t xml:space="preserve"> conducted </w:t>
      </w:r>
      <w:r w:rsidR="00C04B14" w:rsidRPr="00C408AD">
        <w:t xml:space="preserve">of the </w:t>
      </w:r>
      <w:r w:rsidR="00501896" w:rsidRPr="00C408AD">
        <w:t>property where the child lives.</w:t>
      </w:r>
      <w:r w:rsidR="00C04B14" w:rsidRPr="00C408AD">
        <w:t xml:space="preserve"> DPH follows up to assist the local department with abatement and additional follow-up measures as appropriate.</w:t>
      </w:r>
      <w:r w:rsidR="0052417C" w:rsidRPr="00C408AD">
        <w:t xml:space="preserve">  </w:t>
      </w:r>
    </w:p>
    <w:p w:rsidR="00A867C2" w:rsidRPr="007E042E" w:rsidRDefault="00A867C2" w:rsidP="00A304B2">
      <w:pPr>
        <w:spacing w:after="80"/>
        <w:rPr>
          <w:rFonts w:asciiTheme="minorHAnsi" w:hAnsiTheme="minorHAnsi"/>
        </w:rPr>
      </w:pPr>
      <w:r w:rsidRPr="00D654A0">
        <w:t>The</w:t>
      </w:r>
      <w:r w:rsidRPr="000928A3">
        <w:rPr>
          <w:rStyle w:val="Heading4Char"/>
          <w:rFonts w:asciiTheme="minorHAnsi" w:hAnsiTheme="minorHAnsi"/>
        </w:rPr>
        <w:t xml:space="preserve"> Office of Local Health Administration</w:t>
      </w:r>
      <w:r w:rsidRPr="000928A3">
        <w:rPr>
          <w:rFonts w:asciiTheme="minorHAnsi" w:hAnsiTheme="minorHAnsi"/>
          <w:b/>
          <w:i/>
        </w:rPr>
        <w:t xml:space="preserve"> </w:t>
      </w:r>
      <w:r w:rsidRPr="00C408AD">
        <w:rPr>
          <w:rFonts w:asciiTheme="minorHAnsi" w:hAnsiTheme="minorHAnsi"/>
        </w:rPr>
        <w:t>serves as the primary i</w:t>
      </w:r>
      <w:r w:rsidR="00BB55E3">
        <w:rPr>
          <w:rFonts w:asciiTheme="minorHAnsi" w:hAnsiTheme="minorHAnsi"/>
        </w:rPr>
        <w:t xml:space="preserve">nterface between DPH </w:t>
      </w:r>
      <w:r w:rsidRPr="00C408AD">
        <w:rPr>
          <w:rFonts w:asciiTheme="minorHAnsi" w:hAnsiTheme="minorHAnsi"/>
        </w:rPr>
        <w:t xml:space="preserve">and Connecticut’s local </w:t>
      </w:r>
      <w:r w:rsidR="00D52226">
        <w:rPr>
          <w:rFonts w:asciiTheme="minorHAnsi" w:hAnsiTheme="minorHAnsi"/>
        </w:rPr>
        <w:t>health departments (LHDs). R</w:t>
      </w:r>
      <w:r w:rsidRPr="00C408AD">
        <w:rPr>
          <w:rFonts w:asciiTheme="minorHAnsi" w:hAnsiTheme="minorHAnsi"/>
        </w:rPr>
        <w:t>espons</w:t>
      </w:r>
      <w:r w:rsidR="000239B1">
        <w:rPr>
          <w:rFonts w:asciiTheme="minorHAnsi" w:hAnsiTheme="minorHAnsi"/>
        </w:rPr>
        <w:t>ibilities include advising the c</w:t>
      </w:r>
      <w:r w:rsidRPr="00C408AD">
        <w:rPr>
          <w:rFonts w:asciiTheme="minorHAnsi" w:hAnsiTheme="minorHAnsi"/>
        </w:rPr>
        <w:t>ommissioner on the approval of appointments of local directors of health and acting directors of health; administering per</w:t>
      </w:r>
      <w:r w:rsidRPr="008B2158">
        <w:rPr>
          <w:rFonts w:asciiTheme="minorHAnsi" w:hAnsiTheme="minorHAnsi"/>
          <w:color w:val="FF0000"/>
        </w:rPr>
        <w:t xml:space="preserve"> </w:t>
      </w:r>
      <w:r w:rsidRPr="00C408AD">
        <w:rPr>
          <w:rFonts w:asciiTheme="minorHAnsi" w:hAnsiTheme="minorHAnsi"/>
        </w:rPr>
        <w:t>capita grants-in-aid for LHDs; and providing technical assistance and consultation to DPH programs, local health directors, local officials and residents on lo</w:t>
      </w:r>
      <w:r w:rsidR="000239B1">
        <w:rPr>
          <w:rFonts w:asciiTheme="minorHAnsi" w:hAnsiTheme="minorHAnsi"/>
        </w:rPr>
        <w:t>cal public health issues.  The o</w:t>
      </w:r>
      <w:r w:rsidRPr="00C408AD">
        <w:rPr>
          <w:rFonts w:asciiTheme="minorHAnsi" w:hAnsiTheme="minorHAnsi"/>
        </w:rPr>
        <w:t>ffice maintains</w:t>
      </w:r>
      <w:r w:rsidR="000239B1">
        <w:rPr>
          <w:rFonts w:asciiTheme="minorHAnsi" w:hAnsiTheme="minorHAnsi"/>
        </w:rPr>
        <w:t xml:space="preserve"> and develops Connecticut’s health alert n</w:t>
      </w:r>
      <w:r w:rsidRPr="00C408AD">
        <w:rPr>
          <w:rFonts w:asciiTheme="minorHAnsi" w:hAnsiTheme="minorHAnsi"/>
        </w:rPr>
        <w:t>etwork (HAN) and assists local health departments with the develop</w:t>
      </w:r>
      <w:r w:rsidR="000239B1">
        <w:rPr>
          <w:rFonts w:asciiTheme="minorHAnsi" w:hAnsiTheme="minorHAnsi"/>
        </w:rPr>
        <w:t>ment of local HAN systems. It</w:t>
      </w:r>
      <w:r w:rsidRPr="00C408AD">
        <w:rPr>
          <w:rFonts w:asciiTheme="minorHAnsi" w:hAnsiTheme="minorHAnsi"/>
        </w:rPr>
        <w:t xml:space="preserve"> also provides guidance to local health departments to become full-time health departments if they are part-time</w:t>
      </w:r>
      <w:r w:rsidR="008B2158" w:rsidRPr="00C408AD">
        <w:rPr>
          <w:rFonts w:asciiTheme="minorHAnsi" w:hAnsiTheme="minorHAnsi"/>
        </w:rPr>
        <w:t>,</w:t>
      </w:r>
      <w:r w:rsidRPr="00C408AD">
        <w:rPr>
          <w:rFonts w:asciiTheme="minorHAnsi" w:hAnsiTheme="minorHAnsi"/>
        </w:rPr>
        <w:t xml:space="preserve"> and to form and/or join other health districts.</w:t>
      </w:r>
    </w:p>
    <w:p w:rsidR="0052417C" w:rsidRDefault="0052417C" w:rsidP="00A304B2">
      <w:pPr>
        <w:spacing w:after="80"/>
        <w:sectPr w:rsidR="0052417C">
          <w:headerReference w:type="default" r:id="rId22"/>
          <w:footerReference w:type="default" r:id="rId23"/>
          <w:type w:val="continuous"/>
          <w:pgSz w:w="12240" w:h="15840" w:code="1"/>
          <w:pgMar w:top="864" w:right="720" w:bottom="1152" w:left="720" w:header="432" w:footer="288" w:gutter="216"/>
          <w:cols w:num="2" w:space="432"/>
        </w:sectPr>
      </w:pPr>
    </w:p>
    <w:p w:rsidR="00B912C9" w:rsidRDefault="00B912C9"/>
    <w:p w:rsidR="00B912C9" w:rsidRDefault="00C3771A">
      <w:pPr>
        <w:pStyle w:val="ProgramHead"/>
      </w:pPr>
      <w:r>
        <w:fldChar w:fldCharType="begin"/>
      </w:r>
      <w:r w:rsidR="00B66F60">
        <w:instrText xml:space="preserve"> XE "dph48500 42005" </w:instrText>
      </w:r>
      <w:r>
        <w:fldChar w:fldCharType="end"/>
      </w:r>
      <w:r w:rsidR="004E3D2F">
        <w:t xml:space="preserve">Laboratory Services </w:t>
      </w:r>
    </w:p>
    <w:p w:rsidR="00B912C9" w:rsidRDefault="00B912C9">
      <w:pPr>
        <w:pStyle w:val="ProgramHead"/>
        <w:sectPr w:rsidR="00B912C9">
          <w:headerReference w:type="default" r:id="rId24"/>
          <w:footerReference w:type="default" r:id="rId25"/>
          <w:type w:val="continuous"/>
          <w:pgSz w:w="12240" w:h="15840" w:code="1"/>
          <w:pgMar w:top="864" w:right="720" w:bottom="1152" w:left="720" w:header="432" w:footer="288" w:gutter="216"/>
          <w:cols w:space="432"/>
        </w:sectPr>
      </w:pPr>
    </w:p>
    <w:p w:rsidR="00B912C9" w:rsidRDefault="004E3D2F">
      <w:pPr>
        <w:pStyle w:val="Heading2"/>
      </w:pPr>
      <w:r>
        <w:lastRenderedPageBreak/>
        <w:t>Statutory Reference</w:t>
      </w:r>
    </w:p>
    <w:p w:rsidR="00B912C9" w:rsidRPr="002F6014" w:rsidRDefault="004E3D2F">
      <w:r w:rsidRPr="002F6014">
        <w:rPr>
          <w:rFonts w:cs="Lucida Sans Unicode"/>
        </w:rPr>
        <w:t xml:space="preserve">C.G.S. </w:t>
      </w:r>
      <w:r w:rsidRPr="002F6014">
        <w:t>Sections 19a-26, 19a-29, 19a-55, 19a-111a-b; and 25-40</w:t>
      </w:r>
      <w:r w:rsidR="002F6014">
        <w:t>.</w:t>
      </w:r>
    </w:p>
    <w:p w:rsidR="00B912C9" w:rsidRDefault="004E3D2F">
      <w:pPr>
        <w:pStyle w:val="Heading2"/>
      </w:pPr>
      <w:r>
        <w:t xml:space="preserve">Statement of Need and Program Objectives </w:t>
      </w:r>
    </w:p>
    <w:p w:rsidR="00B912C9" w:rsidRPr="00C408AD" w:rsidRDefault="004E3D2F">
      <w:pPr>
        <w:spacing w:after="80"/>
      </w:pPr>
      <w:r w:rsidRPr="00C408AD">
        <w:t>To protect the health and safety of Connecticut residents by providing high quality, timely and cost-effective laboratory services for detection of infectious</w:t>
      </w:r>
      <w:r w:rsidR="00436419" w:rsidRPr="00C408AD">
        <w:t xml:space="preserve"> disease agents</w:t>
      </w:r>
      <w:r w:rsidRPr="00C408AD">
        <w:t>, genetic</w:t>
      </w:r>
      <w:r w:rsidR="00436419" w:rsidRPr="00C408AD">
        <w:t>/metabolic</w:t>
      </w:r>
      <w:r w:rsidRPr="00C408AD">
        <w:t xml:space="preserve"> diseases and environmental</w:t>
      </w:r>
      <w:r w:rsidR="00436419" w:rsidRPr="00C408AD">
        <w:t xml:space="preserve"> chemicals and toxins</w:t>
      </w:r>
      <w:r w:rsidRPr="00C408AD">
        <w:t xml:space="preserve">.  </w:t>
      </w:r>
      <w:proofErr w:type="gramStart"/>
      <w:r w:rsidRPr="00C408AD">
        <w:t>To provide scientific expertise to health and environmental agencies for assessment and program planning.</w:t>
      </w:r>
      <w:proofErr w:type="gramEnd"/>
    </w:p>
    <w:p w:rsidR="00B912C9" w:rsidRDefault="004E3D2F">
      <w:pPr>
        <w:pStyle w:val="Heading2"/>
      </w:pPr>
      <w:r>
        <w:t>Program Description</w:t>
      </w:r>
    </w:p>
    <w:p w:rsidR="00B912C9" w:rsidRPr="00C408AD" w:rsidRDefault="004E3D2F">
      <w:pPr>
        <w:spacing w:after="80"/>
      </w:pPr>
      <w:r w:rsidRPr="00C408AD">
        <w:t>The public health laboratory supports the needs of all communit</w:t>
      </w:r>
      <w:r w:rsidR="00626A14">
        <w:t>i</w:t>
      </w:r>
      <w:r w:rsidR="008E43AA">
        <w:t>es in the state by analyzing</w:t>
      </w:r>
      <w:r w:rsidRPr="00C408AD">
        <w:t xml:space="preserve"> human clinical specimens and environmental samples submitted by federal and state agencies, local health departments, the health care community</w:t>
      </w:r>
      <w:r w:rsidR="00436419" w:rsidRPr="00C408AD">
        <w:t xml:space="preserve"> and water utilities</w:t>
      </w:r>
      <w:r w:rsidRPr="00C408AD">
        <w:t>.  Analytical data are used to monitor for agents harmful to the public, identify the cause of outbreaks, and assure that control m</w:t>
      </w:r>
      <w:r w:rsidR="005B59DB">
        <w:t xml:space="preserve">easures are effective. </w:t>
      </w:r>
      <w:r w:rsidRPr="00C408AD">
        <w:t>The laboratory is comprised of the following testing units:</w:t>
      </w:r>
    </w:p>
    <w:p w:rsidR="00BA7F12" w:rsidRPr="005B59DB" w:rsidRDefault="00BA7F12" w:rsidP="00BA7F12">
      <w:pPr>
        <w:spacing w:after="80"/>
        <w:rPr>
          <w:rFonts w:asciiTheme="minorHAnsi" w:hAnsiTheme="minorHAnsi"/>
        </w:rPr>
      </w:pPr>
      <w:r w:rsidRPr="000239B1">
        <w:rPr>
          <w:rStyle w:val="Heading4Char"/>
          <w:rFonts w:asciiTheme="minorHAnsi" w:hAnsiTheme="minorHAnsi"/>
        </w:rPr>
        <w:t>Biological Science Services</w:t>
      </w:r>
      <w:r w:rsidRPr="005B59DB">
        <w:rPr>
          <w:rStyle w:val="Heading4Char"/>
          <w:rFonts w:asciiTheme="minorHAnsi" w:hAnsiTheme="minorHAnsi"/>
        </w:rPr>
        <w:t xml:space="preserve"> </w:t>
      </w:r>
      <w:r w:rsidRPr="005B59DB">
        <w:rPr>
          <w:rFonts w:asciiTheme="minorHAnsi" w:hAnsiTheme="minorHAnsi"/>
        </w:rPr>
        <w:t xml:space="preserve">tests for infectious agents in humans, animals, food and water and provides reference testing in support of epidemiological surveillance and outbreak investigations. Laboratory services include testing for infectious disease agents, such as tuberculosis, influenza, </w:t>
      </w:r>
      <w:proofErr w:type="spellStart"/>
      <w:r w:rsidRPr="005B59DB">
        <w:rPr>
          <w:rFonts w:asciiTheme="minorHAnsi" w:hAnsiTheme="minorHAnsi"/>
        </w:rPr>
        <w:t>norovirus</w:t>
      </w:r>
      <w:proofErr w:type="spellEnd"/>
      <w:r w:rsidRPr="005B59DB">
        <w:rPr>
          <w:rFonts w:asciiTheme="minorHAnsi" w:hAnsiTheme="minorHAnsi"/>
        </w:rPr>
        <w:t xml:space="preserve">, and sexually transmitted diseases. The laboratory also exclusively provides testing for rabies virus, DNA fingerprinting of </w:t>
      </w:r>
      <w:r w:rsidR="00FC2EED" w:rsidRPr="005B59DB">
        <w:rPr>
          <w:rFonts w:asciiTheme="minorHAnsi" w:hAnsiTheme="minorHAnsi"/>
        </w:rPr>
        <w:t>food borne</w:t>
      </w:r>
      <w:r w:rsidRPr="005B59DB">
        <w:rPr>
          <w:rFonts w:asciiTheme="minorHAnsi" w:hAnsiTheme="minorHAnsi"/>
        </w:rPr>
        <w:t xml:space="preserve"> pathogens, and testing of all Connecticut newborns for the presence of approximately 45 inherited disorders that cause severe mental and/or physical </w:t>
      </w:r>
      <w:r w:rsidRPr="005B59DB">
        <w:rPr>
          <w:rFonts w:asciiTheme="minorHAnsi" w:hAnsiTheme="minorHAnsi"/>
        </w:rPr>
        <w:lastRenderedPageBreak/>
        <w:t>illnesses. The laborator</w:t>
      </w:r>
      <w:r w:rsidR="000239B1">
        <w:rPr>
          <w:rFonts w:asciiTheme="minorHAnsi" w:hAnsiTheme="minorHAnsi"/>
        </w:rPr>
        <w:t>y is designated as the state’s biological terrorism r</w:t>
      </w:r>
      <w:r w:rsidRPr="005B59DB">
        <w:rPr>
          <w:rFonts w:asciiTheme="minorHAnsi" w:hAnsiTheme="minorHAnsi"/>
        </w:rPr>
        <w:t xml:space="preserve">esponse </w:t>
      </w:r>
      <w:r w:rsidR="000239B1">
        <w:rPr>
          <w:rFonts w:asciiTheme="minorHAnsi" w:hAnsiTheme="minorHAnsi"/>
        </w:rPr>
        <w:t>l</w:t>
      </w:r>
      <w:r w:rsidRPr="005B59DB">
        <w:rPr>
          <w:rFonts w:asciiTheme="minorHAnsi" w:hAnsiTheme="minorHAnsi"/>
        </w:rPr>
        <w:t xml:space="preserve">aboratory and is certified to analyze samples for all biological </w:t>
      </w:r>
      <w:r w:rsidR="000239B1">
        <w:rPr>
          <w:rFonts w:asciiTheme="minorHAnsi" w:hAnsiTheme="minorHAnsi"/>
        </w:rPr>
        <w:t>w</w:t>
      </w:r>
      <w:r w:rsidRPr="005B59DB">
        <w:rPr>
          <w:rFonts w:asciiTheme="minorHAnsi" w:hAnsiTheme="minorHAnsi"/>
        </w:rPr>
        <w:t xml:space="preserve">eapons of </w:t>
      </w:r>
      <w:r w:rsidR="000239B1">
        <w:rPr>
          <w:rFonts w:asciiTheme="minorHAnsi" w:hAnsiTheme="minorHAnsi"/>
        </w:rPr>
        <w:t>m</w:t>
      </w:r>
      <w:r w:rsidRPr="005B59DB">
        <w:rPr>
          <w:rFonts w:asciiTheme="minorHAnsi" w:hAnsiTheme="minorHAnsi"/>
        </w:rPr>
        <w:t xml:space="preserve">ass </w:t>
      </w:r>
      <w:r w:rsidR="000239B1">
        <w:rPr>
          <w:rFonts w:asciiTheme="minorHAnsi" w:hAnsiTheme="minorHAnsi"/>
        </w:rPr>
        <w:t>d</w:t>
      </w:r>
      <w:r w:rsidRPr="005B59DB">
        <w:rPr>
          <w:rFonts w:asciiTheme="minorHAnsi" w:hAnsiTheme="minorHAnsi"/>
        </w:rPr>
        <w:t>estruction</w:t>
      </w:r>
      <w:r w:rsidR="005B59DB">
        <w:rPr>
          <w:rFonts w:asciiTheme="minorHAnsi" w:hAnsiTheme="minorHAnsi"/>
        </w:rPr>
        <w:t xml:space="preserve"> (WMD)</w:t>
      </w:r>
      <w:r w:rsidR="000239B1">
        <w:rPr>
          <w:rFonts w:asciiTheme="minorHAnsi" w:hAnsiTheme="minorHAnsi"/>
        </w:rPr>
        <w:t xml:space="preserve"> identified by the C</w:t>
      </w:r>
      <w:r w:rsidRPr="005B59DB">
        <w:rPr>
          <w:rFonts w:asciiTheme="minorHAnsi" w:hAnsiTheme="minorHAnsi"/>
        </w:rPr>
        <w:t xml:space="preserve">enters for Disease Control and Prevention. </w:t>
      </w:r>
      <w:r w:rsidR="000239B1">
        <w:rPr>
          <w:rFonts w:asciiTheme="minorHAnsi" w:hAnsiTheme="minorHAnsi"/>
        </w:rPr>
        <w:t>The laboratory responds to all b</w:t>
      </w:r>
      <w:r w:rsidRPr="005B59DB">
        <w:rPr>
          <w:rFonts w:asciiTheme="minorHAnsi" w:hAnsiTheme="minorHAnsi"/>
        </w:rPr>
        <w:t>ioterrorism threats and provide</w:t>
      </w:r>
      <w:r w:rsidR="000239B1">
        <w:rPr>
          <w:rFonts w:asciiTheme="minorHAnsi" w:hAnsiTheme="minorHAnsi"/>
        </w:rPr>
        <w:t>s identification services for “white p</w:t>
      </w:r>
      <w:r w:rsidRPr="005B59DB">
        <w:rPr>
          <w:rFonts w:asciiTheme="minorHAnsi" w:hAnsiTheme="minorHAnsi"/>
        </w:rPr>
        <w:t>owder” events for the Federal Bureau of Investigation.</w:t>
      </w:r>
    </w:p>
    <w:p w:rsidR="00BA7F12" w:rsidRPr="005B59DB" w:rsidRDefault="00BA7F12" w:rsidP="007E042E">
      <w:pPr>
        <w:spacing w:after="80"/>
        <w:rPr>
          <w:rFonts w:asciiTheme="minorHAnsi" w:hAnsiTheme="minorHAnsi"/>
        </w:rPr>
      </w:pPr>
      <w:r w:rsidRPr="000239B1">
        <w:rPr>
          <w:rStyle w:val="Heading4Char"/>
          <w:rFonts w:asciiTheme="minorHAnsi" w:hAnsiTheme="minorHAnsi"/>
        </w:rPr>
        <w:t>Environmental Chemistry Services</w:t>
      </w:r>
      <w:r w:rsidRPr="005B59DB">
        <w:rPr>
          <w:rStyle w:val="Heading4Char"/>
          <w:rFonts w:asciiTheme="minorHAnsi" w:hAnsiTheme="minorHAnsi"/>
        </w:rPr>
        <w:t xml:space="preserve"> </w:t>
      </w:r>
      <w:r w:rsidRPr="005B59DB">
        <w:rPr>
          <w:rFonts w:asciiTheme="minorHAnsi" w:hAnsiTheme="minorHAnsi"/>
        </w:rPr>
        <w:t>tests for over 100 toxic chemicals in housing and schools, public drinking water supplies and private wells; in rivers, lake</w:t>
      </w:r>
      <w:r w:rsidR="005B59DB">
        <w:rPr>
          <w:rFonts w:asciiTheme="minorHAnsi" w:hAnsiTheme="minorHAnsi"/>
        </w:rPr>
        <w:t xml:space="preserve">s and streams; in wastewater </w:t>
      </w:r>
      <w:r w:rsidRPr="005B59DB">
        <w:rPr>
          <w:rFonts w:asciiTheme="minorHAnsi" w:hAnsiTheme="minorHAnsi"/>
        </w:rPr>
        <w:t>and soils; in consumer products and other materials where there is potential human exposure. This section also provides analytical support by testing environmental samples collected for investigations involving elevated blood levels in children. The laboratory also tests environmental samples such as old paint, folk medicines or other environmental sources implicated in exposures to children with elevated levels of lead in blood.</w:t>
      </w:r>
    </w:p>
    <w:p w:rsidR="00BA7F12" w:rsidRPr="005B59DB" w:rsidRDefault="00BA7F12" w:rsidP="007E042E">
      <w:pPr>
        <w:spacing w:after="80"/>
        <w:rPr>
          <w:rFonts w:asciiTheme="minorHAnsi" w:hAnsiTheme="minorHAnsi"/>
        </w:rPr>
      </w:pPr>
      <w:r w:rsidRPr="005B59DB">
        <w:rPr>
          <w:rFonts w:asciiTheme="minorHAnsi" w:hAnsiTheme="minorHAnsi"/>
        </w:rPr>
        <w:t>Other services include monitoring of the nuclear power industry, serving on the state’s nuclear response team, and maintaining preparedness and capabilities to respond to radiation or other toxins in food or environmental samples</w:t>
      </w:r>
      <w:r w:rsidR="00FC2EED" w:rsidRPr="005B59DB">
        <w:rPr>
          <w:rFonts w:asciiTheme="minorHAnsi" w:hAnsiTheme="minorHAnsi"/>
        </w:rPr>
        <w:t>.</w:t>
      </w:r>
      <w:r w:rsidRPr="005B59DB">
        <w:rPr>
          <w:rFonts w:asciiTheme="minorHAnsi" w:hAnsiTheme="minorHAnsi"/>
        </w:rPr>
        <w:t xml:space="preserve"> The laboratory is </w:t>
      </w:r>
      <w:r w:rsidR="000239B1">
        <w:rPr>
          <w:rFonts w:asciiTheme="minorHAnsi" w:hAnsiTheme="minorHAnsi"/>
        </w:rPr>
        <w:t>also designated as the state’s chemical t</w:t>
      </w:r>
      <w:r w:rsidRPr="005B59DB">
        <w:rPr>
          <w:rFonts w:asciiTheme="minorHAnsi" w:hAnsiTheme="minorHAnsi"/>
        </w:rPr>
        <w:t xml:space="preserve">errorism </w:t>
      </w:r>
      <w:r w:rsidR="000239B1">
        <w:rPr>
          <w:rFonts w:asciiTheme="minorHAnsi" w:hAnsiTheme="minorHAnsi"/>
        </w:rPr>
        <w:t>r</w:t>
      </w:r>
      <w:r w:rsidRPr="005B59DB">
        <w:rPr>
          <w:rFonts w:asciiTheme="minorHAnsi" w:hAnsiTheme="minorHAnsi"/>
        </w:rPr>
        <w:t xml:space="preserve">esponse </w:t>
      </w:r>
      <w:r w:rsidR="000239B1">
        <w:rPr>
          <w:rFonts w:asciiTheme="minorHAnsi" w:hAnsiTheme="minorHAnsi"/>
        </w:rPr>
        <w:t>l</w:t>
      </w:r>
      <w:r w:rsidR="004128CF" w:rsidRPr="005B59DB">
        <w:rPr>
          <w:rFonts w:asciiTheme="minorHAnsi" w:hAnsiTheme="minorHAnsi"/>
        </w:rPr>
        <w:t>aboratory to</w:t>
      </w:r>
      <w:r w:rsidRPr="005B59DB">
        <w:rPr>
          <w:rFonts w:asciiTheme="minorHAnsi" w:hAnsiTheme="minorHAnsi"/>
        </w:rPr>
        <w:t xml:space="preserve"> provide testing of clinical specimens in the event of a terrorist attack</w:t>
      </w:r>
      <w:r w:rsidR="005B59DB">
        <w:rPr>
          <w:rFonts w:asciiTheme="minorHAnsi" w:hAnsiTheme="minorHAnsi"/>
        </w:rPr>
        <w:t xml:space="preserve"> involving chemical agents or WMDs</w:t>
      </w:r>
      <w:r w:rsidRPr="005B59DB">
        <w:rPr>
          <w:rFonts w:asciiTheme="minorHAnsi" w:hAnsiTheme="minorHAnsi"/>
        </w:rPr>
        <w:t>.</w:t>
      </w:r>
    </w:p>
    <w:p w:rsidR="00B10764" w:rsidRPr="005B59DB" w:rsidRDefault="00436419" w:rsidP="007E042E">
      <w:pPr>
        <w:rPr>
          <w:rFonts w:asciiTheme="minorHAnsi" w:hAnsiTheme="minorHAnsi"/>
        </w:rPr>
      </w:pPr>
      <w:r w:rsidRPr="005B59DB">
        <w:rPr>
          <w:rFonts w:asciiTheme="minorHAnsi" w:hAnsiTheme="minorHAnsi"/>
        </w:rPr>
        <w:t xml:space="preserve">The </w:t>
      </w:r>
      <w:r w:rsidR="00B10764" w:rsidRPr="005B59DB">
        <w:rPr>
          <w:rFonts w:asciiTheme="minorHAnsi" w:hAnsiTheme="minorHAnsi"/>
        </w:rPr>
        <w:t xml:space="preserve">new </w:t>
      </w:r>
      <w:r w:rsidRPr="005B59DB">
        <w:rPr>
          <w:rFonts w:asciiTheme="minorHAnsi" w:hAnsiTheme="minorHAnsi"/>
        </w:rPr>
        <w:t xml:space="preserve">Dr. Katherine A. Kelly State </w:t>
      </w:r>
      <w:r w:rsidR="00B27B38" w:rsidRPr="005B59DB">
        <w:rPr>
          <w:rFonts w:asciiTheme="minorHAnsi" w:hAnsiTheme="minorHAnsi"/>
        </w:rPr>
        <w:t xml:space="preserve">Public </w:t>
      </w:r>
      <w:r w:rsidR="00B10764" w:rsidRPr="005B59DB">
        <w:rPr>
          <w:rFonts w:asciiTheme="minorHAnsi" w:hAnsiTheme="minorHAnsi"/>
        </w:rPr>
        <w:t xml:space="preserve">Health Laboratory </w:t>
      </w:r>
      <w:r w:rsidRPr="005B59DB">
        <w:rPr>
          <w:rFonts w:asciiTheme="minorHAnsi" w:hAnsiTheme="minorHAnsi"/>
        </w:rPr>
        <w:t>was completed in Rocky Hill and became operational in July 2012.</w:t>
      </w:r>
    </w:p>
    <w:p w:rsidR="00207026" w:rsidRPr="005B59DB" w:rsidRDefault="00207026">
      <w:pPr>
        <w:rPr>
          <w:rFonts w:asciiTheme="minorHAnsi" w:hAnsiTheme="minorHAnsi"/>
          <w:color w:val="FF0000"/>
        </w:rPr>
        <w:sectPr w:rsidR="00207026" w:rsidRPr="005B59DB">
          <w:type w:val="continuous"/>
          <w:pgSz w:w="12240" w:h="15840" w:code="1"/>
          <w:pgMar w:top="864" w:right="720" w:bottom="1152" w:left="720" w:header="432" w:footer="288" w:gutter="216"/>
          <w:cols w:num="2" w:space="720"/>
        </w:sectPr>
      </w:pPr>
    </w:p>
    <w:p w:rsidR="00B912C9" w:rsidRPr="005B59DB" w:rsidRDefault="00B912C9">
      <w:pPr>
        <w:rPr>
          <w:rFonts w:asciiTheme="minorHAnsi" w:hAnsiTheme="minorHAnsi"/>
        </w:rPr>
      </w:pPr>
    </w:p>
    <w:p w:rsidR="00B912C9" w:rsidRDefault="00C3771A">
      <w:pPr>
        <w:pStyle w:val="ProgramHead"/>
      </w:pPr>
      <w:r w:rsidRPr="002671B1">
        <w:fldChar w:fldCharType="begin"/>
      </w:r>
      <w:r w:rsidR="00B66F60" w:rsidRPr="002671B1">
        <w:instrText xml:space="preserve"> XE "dph48500 29120" </w:instrText>
      </w:r>
      <w:r w:rsidRPr="002671B1">
        <w:fldChar w:fldCharType="end"/>
      </w:r>
      <w:r w:rsidR="004E3D2F" w:rsidRPr="002671B1">
        <w:t xml:space="preserve">HEALTHCARE </w:t>
      </w:r>
      <w:r w:rsidR="00B93DA1">
        <w:t>QUALITY AND SAFETY</w:t>
      </w:r>
      <w:r w:rsidR="00B66F60">
        <w:t xml:space="preserve"> </w:t>
      </w:r>
    </w:p>
    <w:p w:rsidR="00B912C9" w:rsidRDefault="00B912C9">
      <w:pPr>
        <w:pStyle w:val="ProgramHead"/>
        <w:sectPr w:rsidR="00B912C9">
          <w:type w:val="continuous"/>
          <w:pgSz w:w="12240" w:h="15840" w:code="1"/>
          <w:pgMar w:top="864" w:right="720" w:bottom="1152" w:left="720" w:header="432" w:footer="288" w:gutter="216"/>
          <w:cols w:space="432" w:equalWidth="0">
            <w:col w:w="10584" w:space="720"/>
          </w:cols>
        </w:sectPr>
      </w:pPr>
    </w:p>
    <w:p w:rsidR="00B912C9" w:rsidRDefault="004E3D2F">
      <w:pPr>
        <w:pStyle w:val="Heading2"/>
      </w:pPr>
      <w:r>
        <w:lastRenderedPageBreak/>
        <w:t xml:space="preserve">Statutory Reference  </w:t>
      </w:r>
    </w:p>
    <w:p w:rsidR="00B912C9" w:rsidRPr="002F6014" w:rsidRDefault="004E3D2F">
      <w:r w:rsidRPr="002F6014">
        <w:t>C.G.S. Sections 19a-14, 19a-17, 19a-30, 19a-88, 19a-127l-n, 19a-490-560, and Chapters 369-381a, 383-388, and 398-399.</w:t>
      </w:r>
    </w:p>
    <w:p w:rsidR="00B912C9" w:rsidRDefault="004E3D2F">
      <w:pPr>
        <w:pStyle w:val="Heading2"/>
      </w:pPr>
      <w:r>
        <w:lastRenderedPageBreak/>
        <w:t>Statement of Need and Program Objectives</w:t>
      </w:r>
    </w:p>
    <w:p w:rsidR="00B912C9" w:rsidRPr="00C408AD" w:rsidRDefault="004E3D2F">
      <w:pPr>
        <w:spacing w:after="80"/>
      </w:pPr>
      <w:r w:rsidRPr="00C408AD">
        <w:t>To protect the health and safety of the people of Connecticut through the regulatory oversight of health care professi</w:t>
      </w:r>
      <w:r w:rsidR="00C439B6" w:rsidRPr="00C408AD">
        <w:t xml:space="preserve">onals and </w:t>
      </w:r>
      <w:r w:rsidR="00A45467">
        <w:t>f</w:t>
      </w:r>
      <w:r w:rsidR="004128CF">
        <w:t>acilities;</w:t>
      </w:r>
      <w:r w:rsidR="00C439B6" w:rsidRPr="00C408AD">
        <w:t xml:space="preserve"> and to ensure</w:t>
      </w:r>
      <w:r w:rsidRPr="00C408AD">
        <w:t xml:space="preserve"> that regulatory</w:t>
      </w:r>
      <w:r w:rsidR="00A45467">
        <w:t xml:space="preserve"> oversight is fair, educational</w:t>
      </w:r>
      <w:r w:rsidRPr="00C408AD">
        <w:t xml:space="preserve"> and transparent.</w:t>
      </w:r>
    </w:p>
    <w:p w:rsidR="00B912C9" w:rsidRDefault="004E3D2F">
      <w:pPr>
        <w:pStyle w:val="Heading2"/>
      </w:pPr>
      <w:r>
        <w:lastRenderedPageBreak/>
        <w:t xml:space="preserve">Program Description </w:t>
      </w:r>
    </w:p>
    <w:p w:rsidR="00B912C9" w:rsidRPr="00C408AD" w:rsidRDefault="004E3D2F">
      <w:pPr>
        <w:spacing w:after="80"/>
      </w:pPr>
      <w:r w:rsidRPr="00C408AD">
        <w:t>Regulatory oversight of health care professionals, providers and facilities is consolidated in the Branch of Healthcare Systems.  Oversight is accomplished via programs that regulate entry through licensure/certification; monitor compliance with applicable state and federal laws and regulations; investigate complaints, incidents and adverse events and implement disciplinary or corrective action against licensees who do not conform to established standards of care.  The branch also provides educational programs and technical assistance to regulated professions and industries on emerging trends and best practices.</w:t>
      </w:r>
    </w:p>
    <w:p w:rsidR="00404F88" w:rsidRDefault="004E3D2F">
      <w:pPr>
        <w:spacing w:after="80"/>
      </w:pPr>
      <w:r w:rsidRPr="00D654A0">
        <w:t>The</w:t>
      </w:r>
      <w:r w:rsidRPr="002F6014">
        <w:rPr>
          <w:rStyle w:val="Heading4Char"/>
        </w:rPr>
        <w:t xml:space="preserve"> Facility Licensing and Investigations Section</w:t>
      </w:r>
      <w:r w:rsidRPr="00C408AD">
        <w:t xml:space="preserve"> licenses Connecticut’s healthcare institutions and certifies them for Medicare and Medicaid participation. The section investigates consumer complaints involving health care facilities and monitors their ongoing compliance with laws and regulations.  </w:t>
      </w:r>
      <w:r w:rsidR="00C408AD">
        <w:t>It</w:t>
      </w:r>
      <w:r w:rsidRPr="00C408AD">
        <w:t xml:space="preserve"> regulates health care and treatment services as well as physical environment and fire safety in a range of health care settings such as hospitals, long-term care facilities, outpatient clinics, </w:t>
      </w:r>
      <w:proofErr w:type="spellStart"/>
      <w:r w:rsidRPr="00C408AD">
        <w:t>hemodialysis</w:t>
      </w:r>
      <w:proofErr w:type="spellEnd"/>
      <w:r w:rsidRPr="00C408AD">
        <w:t xml:space="preserve"> units, surgical centers, home health and hospice provid</w:t>
      </w:r>
      <w:r w:rsidR="00E50489">
        <w:t xml:space="preserve">ers and clinical laboratories. </w:t>
      </w:r>
      <w:r w:rsidRPr="00C408AD">
        <w:t>Direct surveilla</w:t>
      </w:r>
      <w:r w:rsidR="00404F88">
        <w:t xml:space="preserve">nce </w:t>
      </w:r>
      <w:r w:rsidRPr="00C408AD">
        <w:t>is accomplished through on-site inspections conducted in accordance with regularly sch</w:t>
      </w:r>
      <w:r w:rsidR="00E50489">
        <w:t xml:space="preserve">eduled licensure requirements.  </w:t>
      </w:r>
    </w:p>
    <w:p w:rsidR="00B912C9" w:rsidRPr="00C408AD" w:rsidRDefault="004E3D2F">
      <w:pPr>
        <w:spacing w:after="80"/>
      </w:pPr>
      <w:r w:rsidRPr="00C408AD">
        <w:t xml:space="preserve">As the designated state survey agency, the section is under contract with the Centers for Medicare and Medicaid (CMS) and the Connecticut Department of Social Services to administer the federal </w:t>
      </w:r>
      <w:r w:rsidR="00C408AD">
        <w:t xml:space="preserve">certification </w:t>
      </w:r>
      <w:r w:rsidRPr="00C408AD">
        <w:t>program for 3,180 health care providers and suppliers.  On-site inspections determine</w:t>
      </w:r>
      <w:r w:rsidRPr="00D50E04">
        <w:rPr>
          <w:color w:val="FF0000"/>
        </w:rPr>
        <w:t xml:space="preserve"> </w:t>
      </w:r>
      <w:r w:rsidRPr="00C408AD">
        <w:t>compliance with federal requirements and eligibility for Medicare and Medicaid reimbursement.</w:t>
      </w:r>
    </w:p>
    <w:p w:rsidR="00B912C9" w:rsidRPr="00C408AD" w:rsidRDefault="004E3D2F">
      <w:pPr>
        <w:spacing w:after="80"/>
      </w:pPr>
      <w:r w:rsidRPr="00D654A0">
        <w:t>The</w:t>
      </w:r>
      <w:r w:rsidRPr="0063760E">
        <w:rPr>
          <w:rStyle w:val="Heading4Char"/>
        </w:rPr>
        <w:t xml:space="preserve"> Practitioner Licensing and Investigations Section</w:t>
      </w:r>
      <w:r w:rsidRPr="00C408AD">
        <w:t xml:space="preserve"> licenses, </w:t>
      </w:r>
      <w:r w:rsidR="00D50E04" w:rsidRPr="00C408AD">
        <w:t>certifies and registers over 200</w:t>
      </w:r>
      <w:r w:rsidRPr="00C408AD">
        <w:t xml:space="preserve">,000 health practitioners in 55 </w:t>
      </w:r>
      <w:r w:rsidRPr="00C408AD">
        <w:lastRenderedPageBreak/>
        <w:t xml:space="preserve">professions and investigates consumer complaints and other practice related issues involving these practitioners.  The section receives and processes all licensure and renewal applications and administers examinations. Regulated health care practitioners include professions such as physicians, dentists, nurses, behavioral health practitioners, veterinarians, chiropractors, rehabilitation practitioners and podiatrists.  The section is also responsible for </w:t>
      </w:r>
      <w:r w:rsidR="00D50E04" w:rsidRPr="00C408AD">
        <w:t xml:space="preserve">inspecting funeral homes and optical shops, </w:t>
      </w:r>
      <w:r w:rsidRPr="00C408AD">
        <w:t>maintaining the</w:t>
      </w:r>
      <w:r w:rsidR="00D50E04" w:rsidRPr="00C408AD">
        <w:t xml:space="preserve"> Connecticut</w:t>
      </w:r>
      <w:r w:rsidRPr="00C408AD">
        <w:t xml:space="preserve"> nurse aide registry and the physician profile program</w:t>
      </w:r>
      <w:r w:rsidR="00D50E04" w:rsidRPr="00C408AD">
        <w:t xml:space="preserve"> and inspecting and reviewing health professional education programs for nurses, nurse aides and barbers/hairdressers</w:t>
      </w:r>
      <w:r w:rsidRPr="00C408AD">
        <w:t>.</w:t>
      </w:r>
    </w:p>
    <w:p w:rsidR="009060A5" w:rsidRPr="0012425D" w:rsidRDefault="009060A5">
      <w:pPr>
        <w:spacing w:after="80"/>
        <w:rPr>
          <w:rFonts w:asciiTheme="minorHAnsi" w:hAnsiTheme="minorHAnsi"/>
        </w:rPr>
      </w:pPr>
      <w:r w:rsidRPr="002F6014">
        <w:rPr>
          <w:rFonts w:asciiTheme="minorHAnsi" w:hAnsiTheme="minorHAnsi"/>
          <w:i/>
        </w:rPr>
        <w:t xml:space="preserve">The </w:t>
      </w:r>
      <w:r w:rsidRPr="00D777C7">
        <w:rPr>
          <w:rStyle w:val="Heading4Char"/>
        </w:rPr>
        <w:t>Office of Licensure Regulation and Compliance</w:t>
      </w:r>
      <w:r w:rsidRPr="009060A5">
        <w:rPr>
          <w:rFonts w:asciiTheme="minorHAnsi" w:hAnsiTheme="minorHAnsi"/>
        </w:rPr>
        <w:t xml:space="preserve"> provides prosecutorial, regulatory, and legislative support to the branch, as well as prosecuto</w:t>
      </w:r>
      <w:r w:rsidR="00C408AD">
        <w:rPr>
          <w:rFonts w:asciiTheme="minorHAnsi" w:hAnsiTheme="minorHAnsi"/>
        </w:rPr>
        <w:t>rial support to environmental, d</w:t>
      </w:r>
      <w:r w:rsidRPr="009060A5">
        <w:rPr>
          <w:rFonts w:asciiTheme="minorHAnsi" w:hAnsiTheme="minorHAnsi"/>
        </w:rPr>
        <w:t>ay</w:t>
      </w:r>
      <w:r w:rsidR="00C408AD">
        <w:rPr>
          <w:rFonts w:asciiTheme="minorHAnsi" w:hAnsiTheme="minorHAnsi"/>
        </w:rPr>
        <w:t xml:space="preserve"> care and </w:t>
      </w:r>
      <w:r w:rsidRPr="009060A5">
        <w:rPr>
          <w:rFonts w:asciiTheme="minorHAnsi" w:hAnsiTheme="minorHAnsi"/>
        </w:rPr>
        <w:t>WIC hearings.  The office also process</w:t>
      </w:r>
      <w:r w:rsidR="00C408AD">
        <w:rPr>
          <w:rFonts w:asciiTheme="minorHAnsi" w:hAnsiTheme="minorHAnsi"/>
        </w:rPr>
        <w:t>es</w:t>
      </w:r>
      <w:r w:rsidRPr="009060A5">
        <w:rPr>
          <w:rFonts w:asciiTheme="minorHAnsi" w:hAnsiTheme="minorHAnsi"/>
        </w:rPr>
        <w:t xml:space="preserve"> criminal background checks annually for nursing h</w:t>
      </w:r>
      <w:r w:rsidR="00C408AD">
        <w:rPr>
          <w:rFonts w:asciiTheme="minorHAnsi" w:hAnsiTheme="minorHAnsi"/>
        </w:rPr>
        <w:t xml:space="preserve">ome administrators and </w:t>
      </w:r>
      <w:r w:rsidRPr="009060A5">
        <w:rPr>
          <w:rFonts w:asciiTheme="minorHAnsi" w:hAnsiTheme="minorHAnsi"/>
        </w:rPr>
        <w:t>l</w:t>
      </w:r>
      <w:r w:rsidR="00C408AD">
        <w:rPr>
          <w:rFonts w:asciiTheme="minorHAnsi" w:hAnsiTheme="minorHAnsi"/>
        </w:rPr>
        <w:t>ong-term care employees, as well as</w:t>
      </w:r>
      <w:r w:rsidRPr="009060A5">
        <w:rPr>
          <w:rFonts w:asciiTheme="minorHAnsi" w:hAnsiTheme="minorHAnsi"/>
        </w:rPr>
        <w:t xml:space="preserve"> child day care provider</w:t>
      </w:r>
      <w:r w:rsidR="00C408AD">
        <w:rPr>
          <w:rFonts w:asciiTheme="minorHAnsi" w:hAnsiTheme="minorHAnsi"/>
        </w:rPr>
        <w:t>s.</w:t>
      </w:r>
    </w:p>
    <w:p w:rsidR="009060A5" w:rsidRPr="009060A5" w:rsidRDefault="009060A5" w:rsidP="00C408AD">
      <w:pPr>
        <w:rPr>
          <w:rFonts w:asciiTheme="minorHAnsi" w:hAnsiTheme="minorHAnsi"/>
        </w:rPr>
      </w:pPr>
      <w:r w:rsidRPr="00D654A0">
        <w:t>The</w:t>
      </w:r>
      <w:r w:rsidRPr="002F6014">
        <w:rPr>
          <w:rStyle w:val="Heading4Char"/>
          <w:rFonts w:asciiTheme="minorHAnsi" w:hAnsiTheme="minorHAnsi"/>
        </w:rPr>
        <w:t xml:space="preserve"> Office of Emergency Medical Services</w:t>
      </w:r>
      <w:r w:rsidRPr="009060A5">
        <w:rPr>
          <w:rFonts w:asciiTheme="minorHAnsi" w:hAnsiTheme="minorHAnsi"/>
        </w:rPr>
        <w:t xml:space="preserve"> administers and enforces emergency medical services statutes, regulations, programs and policies.  Responsibilities include: </w:t>
      </w:r>
    </w:p>
    <w:p w:rsidR="009060A5" w:rsidRPr="009060A5" w:rsidRDefault="009060A5" w:rsidP="00C408AD">
      <w:pPr>
        <w:numPr>
          <w:ilvl w:val="0"/>
          <w:numId w:val="24"/>
        </w:numPr>
        <w:ind w:left="270" w:hanging="270"/>
        <w:rPr>
          <w:rFonts w:asciiTheme="minorHAnsi" w:hAnsiTheme="minorHAnsi"/>
        </w:rPr>
      </w:pPr>
      <w:r w:rsidRPr="009060A5">
        <w:rPr>
          <w:rFonts w:asciiTheme="minorHAnsi" w:hAnsiTheme="minorHAnsi"/>
        </w:rPr>
        <w:t xml:space="preserve">Developing the statewide emergency medical services plan and training curriculum; </w:t>
      </w:r>
    </w:p>
    <w:p w:rsidR="009060A5" w:rsidRPr="009060A5" w:rsidRDefault="009060A5" w:rsidP="00C408AD">
      <w:pPr>
        <w:numPr>
          <w:ilvl w:val="0"/>
          <w:numId w:val="24"/>
        </w:numPr>
        <w:ind w:left="270" w:hanging="270"/>
        <w:rPr>
          <w:rFonts w:asciiTheme="minorHAnsi" w:hAnsiTheme="minorHAnsi"/>
        </w:rPr>
      </w:pPr>
      <w:r w:rsidRPr="009060A5">
        <w:rPr>
          <w:rFonts w:asciiTheme="minorHAnsi" w:hAnsiTheme="minorHAnsi"/>
        </w:rPr>
        <w:t>Approving and overseeing the five regional emergency medical services council work plans and contracts;</w:t>
      </w:r>
    </w:p>
    <w:p w:rsidR="009060A5" w:rsidRPr="009060A5" w:rsidRDefault="009060A5" w:rsidP="00C408AD">
      <w:pPr>
        <w:numPr>
          <w:ilvl w:val="0"/>
          <w:numId w:val="24"/>
        </w:numPr>
        <w:ind w:left="270" w:hanging="270"/>
        <w:rPr>
          <w:rFonts w:asciiTheme="minorHAnsi" w:hAnsiTheme="minorHAnsi"/>
        </w:rPr>
      </w:pPr>
      <w:r w:rsidRPr="009060A5">
        <w:rPr>
          <w:rFonts w:asciiTheme="minorHAnsi" w:hAnsiTheme="minorHAnsi"/>
        </w:rPr>
        <w:t>Regulatory oversi</w:t>
      </w:r>
      <w:r w:rsidR="00404F88">
        <w:rPr>
          <w:rFonts w:asciiTheme="minorHAnsi" w:hAnsiTheme="minorHAnsi"/>
        </w:rPr>
        <w:t xml:space="preserve">ght of </w:t>
      </w:r>
      <w:r w:rsidR="00D543B0">
        <w:rPr>
          <w:rFonts w:asciiTheme="minorHAnsi" w:hAnsiTheme="minorHAnsi"/>
        </w:rPr>
        <w:t xml:space="preserve">licensed/certified </w:t>
      </w:r>
      <w:r w:rsidRPr="009060A5">
        <w:rPr>
          <w:rFonts w:asciiTheme="minorHAnsi" w:hAnsiTheme="minorHAnsi"/>
        </w:rPr>
        <w:t>emergency response person</w:t>
      </w:r>
      <w:r w:rsidR="00D543B0">
        <w:rPr>
          <w:rFonts w:asciiTheme="minorHAnsi" w:hAnsiTheme="minorHAnsi"/>
        </w:rPr>
        <w:t>nel and</w:t>
      </w:r>
      <w:r w:rsidRPr="009060A5">
        <w:rPr>
          <w:rFonts w:asciiTheme="minorHAnsi" w:hAnsiTheme="minorHAnsi"/>
        </w:rPr>
        <w:t xml:space="preserve"> provider organizations, and approving sponsor hospital designations;</w:t>
      </w:r>
    </w:p>
    <w:p w:rsidR="009060A5" w:rsidRPr="009060A5" w:rsidRDefault="009060A5" w:rsidP="00C408AD">
      <w:pPr>
        <w:numPr>
          <w:ilvl w:val="0"/>
          <w:numId w:val="24"/>
        </w:numPr>
        <w:ind w:left="270" w:hanging="270"/>
        <w:rPr>
          <w:rFonts w:asciiTheme="minorHAnsi" w:hAnsiTheme="minorHAnsi"/>
        </w:rPr>
      </w:pPr>
      <w:r w:rsidRPr="009060A5">
        <w:rPr>
          <w:rFonts w:asciiTheme="minorHAnsi" w:hAnsiTheme="minorHAnsi"/>
        </w:rPr>
        <w:t>Conducting complaint investigations; and</w:t>
      </w:r>
    </w:p>
    <w:p w:rsidR="00B912C9" w:rsidRPr="007E042E" w:rsidRDefault="009060A5" w:rsidP="007E042E">
      <w:pPr>
        <w:numPr>
          <w:ilvl w:val="0"/>
          <w:numId w:val="24"/>
        </w:numPr>
        <w:ind w:left="270" w:hanging="270"/>
        <w:rPr>
          <w:rFonts w:asciiTheme="minorHAnsi" w:hAnsiTheme="minorHAnsi"/>
        </w:rPr>
      </w:pPr>
      <w:r w:rsidRPr="009060A5">
        <w:rPr>
          <w:rFonts w:asciiTheme="minorHAnsi" w:hAnsiTheme="minorHAnsi"/>
        </w:rPr>
        <w:t>Coordination of emergency planning and response with the</w:t>
      </w:r>
      <w:r w:rsidR="00934CC9">
        <w:rPr>
          <w:rFonts w:asciiTheme="minorHAnsi" w:hAnsiTheme="minorHAnsi"/>
        </w:rPr>
        <w:t xml:space="preserve"> Department of Emergency Services and Public Protection (DESPP</w:t>
      </w:r>
      <w:r w:rsidRPr="009060A5">
        <w:rPr>
          <w:rFonts w:asciiTheme="minorHAnsi" w:hAnsiTheme="minorHAnsi"/>
        </w:rPr>
        <w:t>).</w:t>
      </w:r>
    </w:p>
    <w:p w:rsidR="00B912C9" w:rsidRDefault="00B912C9">
      <w:pPr>
        <w:sectPr w:rsidR="00B912C9">
          <w:headerReference w:type="default" r:id="rId26"/>
          <w:footerReference w:type="default" r:id="rId27"/>
          <w:type w:val="continuous"/>
          <w:pgSz w:w="12240" w:h="15840" w:code="1"/>
          <w:pgMar w:top="864" w:right="720" w:bottom="1152" w:left="720" w:header="432" w:footer="288" w:gutter="216"/>
          <w:cols w:num="2" w:space="432" w:equalWidth="0">
            <w:col w:w="4932" w:space="720"/>
            <w:col w:w="4932"/>
          </w:cols>
        </w:sectPr>
      </w:pPr>
    </w:p>
    <w:p w:rsidR="00B912C9" w:rsidRDefault="00B912C9"/>
    <w:p w:rsidR="00B912C9" w:rsidRDefault="00C3771A">
      <w:pPr>
        <w:pStyle w:val="ProgramHead"/>
      </w:pPr>
      <w:r>
        <w:fldChar w:fldCharType="begin"/>
      </w:r>
      <w:r w:rsidR="00B66F60">
        <w:instrText xml:space="preserve"> XE "dph48500 14000" </w:instrText>
      </w:r>
      <w:r>
        <w:fldChar w:fldCharType="end"/>
      </w:r>
      <w:r w:rsidR="00B66F60">
        <w:t xml:space="preserve"> </w:t>
      </w:r>
      <w:r w:rsidR="004E3D2F">
        <w:t xml:space="preserve">Agency Management Services </w:t>
      </w:r>
    </w:p>
    <w:p w:rsidR="00B66F60" w:rsidRDefault="00B66F60">
      <w:pPr>
        <w:pStyle w:val="ProgramHead"/>
        <w:sectPr w:rsidR="00B66F60">
          <w:headerReference w:type="default" r:id="rId28"/>
          <w:footerReference w:type="default" r:id="rId29"/>
          <w:type w:val="continuous"/>
          <w:pgSz w:w="12240" w:h="15840" w:code="1"/>
          <w:pgMar w:top="864" w:right="720" w:bottom="1152" w:left="720" w:header="432" w:footer="288" w:gutter="216"/>
          <w:cols w:space="432"/>
        </w:sectPr>
      </w:pPr>
    </w:p>
    <w:p w:rsidR="00B912C9" w:rsidRDefault="004E3D2F">
      <w:pPr>
        <w:pStyle w:val="Heading2"/>
      </w:pPr>
      <w:r>
        <w:lastRenderedPageBreak/>
        <w:t>Statutory Reference:</w:t>
      </w:r>
    </w:p>
    <w:p w:rsidR="00B912C9" w:rsidRPr="002F6014" w:rsidRDefault="004E3D2F">
      <w:r w:rsidRPr="002F6014">
        <w:t>C.G.S. Section</w:t>
      </w:r>
      <w:r w:rsidR="008B16FD">
        <w:t>s</w:t>
      </w:r>
      <w:r w:rsidRPr="002F6014">
        <w:t xml:space="preserve"> 19a-72 through 74</w:t>
      </w:r>
      <w:r w:rsidR="002F6014">
        <w:t>.</w:t>
      </w:r>
    </w:p>
    <w:p w:rsidR="00B912C9" w:rsidRDefault="004E3D2F">
      <w:pPr>
        <w:pStyle w:val="Heading2"/>
      </w:pPr>
      <w:r>
        <w:t>Statement of Need and Program Objectives</w:t>
      </w:r>
    </w:p>
    <w:p w:rsidR="00B912C9" w:rsidRPr="0012425D" w:rsidRDefault="004E3D2F">
      <w:r w:rsidRPr="0012425D">
        <w:rPr>
          <w:rFonts w:cs="Arial"/>
          <w:bCs/>
        </w:rPr>
        <w:t>To assure that department-wide administrative activities are coordinated and accomplished in an effective and efficient manner.</w:t>
      </w:r>
    </w:p>
    <w:p w:rsidR="00B912C9" w:rsidRDefault="004E3D2F">
      <w:pPr>
        <w:pStyle w:val="Heading2"/>
      </w:pPr>
      <w:r>
        <w:t>Program Description</w:t>
      </w:r>
    </w:p>
    <w:p w:rsidR="00B912C9" w:rsidRPr="00D543B0" w:rsidRDefault="004E3D2F">
      <w:pPr>
        <w:rPr>
          <w:rFonts w:asciiTheme="minorHAnsi" w:hAnsiTheme="minorHAnsi" w:cs="Arial"/>
        </w:rPr>
      </w:pPr>
      <w:r w:rsidRPr="00D654A0">
        <w:t>The</w:t>
      </w:r>
      <w:r w:rsidRPr="002F6014">
        <w:rPr>
          <w:rStyle w:val="Heading4Char"/>
          <w:rFonts w:asciiTheme="minorHAnsi" w:hAnsiTheme="minorHAnsi"/>
        </w:rPr>
        <w:t xml:space="preserve"> Contracts and Grants Management Section</w:t>
      </w:r>
      <w:r w:rsidRPr="00D543B0">
        <w:rPr>
          <w:rFonts w:asciiTheme="minorHAnsi" w:hAnsiTheme="minorHAnsi" w:cs="Arial"/>
          <w:bCs/>
          <w:iCs/>
        </w:rPr>
        <w:t xml:space="preserve"> </w:t>
      </w:r>
      <w:r w:rsidRPr="00D543B0">
        <w:rPr>
          <w:rFonts w:asciiTheme="minorHAnsi" w:hAnsiTheme="minorHAnsi" w:cs="Arial"/>
        </w:rPr>
        <w:t>provides oversight and administration of a</w:t>
      </w:r>
      <w:r w:rsidR="00D543B0" w:rsidRPr="00D543B0">
        <w:rPr>
          <w:rFonts w:asciiTheme="minorHAnsi" w:hAnsiTheme="minorHAnsi" w:cs="Arial"/>
        </w:rPr>
        <w:t>pproximately 650 contracts (</w:t>
      </w:r>
      <w:r w:rsidR="00784815" w:rsidRPr="00D543B0">
        <w:rPr>
          <w:rFonts w:asciiTheme="minorHAnsi" w:hAnsiTheme="minorHAnsi" w:cs="Arial"/>
        </w:rPr>
        <w:t>annual funding of approximately $13</w:t>
      </w:r>
      <w:r w:rsidRPr="00D543B0">
        <w:rPr>
          <w:rFonts w:asciiTheme="minorHAnsi" w:hAnsiTheme="minorHAnsi" w:cs="Arial"/>
        </w:rPr>
        <w:t>5 million</w:t>
      </w:r>
      <w:r w:rsidR="00D543B0" w:rsidRPr="00D543B0">
        <w:rPr>
          <w:rFonts w:asciiTheme="minorHAnsi" w:hAnsiTheme="minorHAnsi" w:cs="Arial"/>
        </w:rPr>
        <w:t xml:space="preserve">, </w:t>
      </w:r>
      <w:r w:rsidR="00784815" w:rsidRPr="00D543B0">
        <w:rPr>
          <w:rFonts w:asciiTheme="minorHAnsi" w:hAnsiTheme="minorHAnsi" w:cs="Arial"/>
        </w:rPr>
        <w:t>and contractually obligated funding of approximately $422 million</w:t>
      </w:r>
      <w:r w:rsidR="00D543B0" w:rsidRPr="00D543B0">
        <w:rPr>
          <w:rFonts w:asciiTheme="minorHAnsi" w:hAnsiTheme="minorHAnsi" w:cs="Arial"/>
        </w:rPr>
        <w:t>)</w:t>
      </w:r>
      <w:r w:rsidR="00D543B0">
        <w:rPr>
          <w:rFonts w:asciiTheme="minorHAnsi" w:hAnsiTheme="minorHAnsi" w:cs="Arial"/>
        </w:rPr>
        <w:t xml:space="preserve">; </w:t>
      </w:r>
      <w:r w:rsidRPr="00D543B0">
        <w:rPr>
          <w:rFonts w:asciiTheme="minorHAnsi" w:hAnsiTheme="minorHAnsi" w:cs="Arial"/>
        </w:rPr>
        <w:t>support services to the department in the following contracting areas:</w:t>
      </w:r>
      <w:r w:rsidRPr="00D543B0">
        <w:rPr>
          <w:rFonts w:asciiTheme="minorHAnsi" w:hAnsiTheme="minorHAnsi" w:cs="Arial"/>
          <w:color w:val="FF0000"/>
        </w:rPr>
        <w:t xml:space="preserve"> </w:t>
      </w:r>
      <w:r w:rsidRPr="00D543B0">
        <w:rPr>
          <w:rFonts w:asciiTheme="minorHAnsi" w:hAnsiTheme="minorHAnsi" w:cs="Arial"/>
        </w:rPr>
        <w:t>training/education, fiscal oversight, compliance with state and federal regulat</w:t>
      </w:r>
      <w:r w:rsidR="00D543B0">
        <w:rPr>
          <w:rFonts w:asciiTheme="minorHAnsi" w:hAnsiTheme="minorHAnsi" w:cs="Arial"/>
        </w:rPr>
        <w:t xml:space="preserve">ions, contract budget planning; </w:t>
      </w:r>
      <w:r w:rsidRPr="00D543B0">
        <w:rPr>
          <w:rFonts w:asciiTheme="minorHAnsi" w:hAnsiTheme="minorHAnsi" w:cs="Arial"/>
        </w:rPr>
        <w:t xml:space="preserve">and </w:t>
      </w:r>
      <w:r w:rsidR="00784815" w:rsidRPr="00D543B0">
        <w:rPr>
          <w:rFonts w:asciiTheme="minorHAnsi" w:hAnsiTheme="minorHAnsi" w:cs="Arial"/>
        </w:rPr>
        <w:t xml:space="preserve">serves as contract management </w:t>
      </w:r>
      <w:r w:rsidRPr="00D543B0">
        <w:rPr>
          <w:rFonts w:asciiTheme="minorHAnsi" w:hAnsiTheme="minorHAnsi" w:cs="Arial"/>
        </w:rPr>
        <w:t>liaison with the Office</w:t>
      </w:r>
      <w:r w:rsidR="00D543B0">
        <w:rPr>
          <w:rFonts w:asciiTheme="minorHAnsi" w:hAnsiTheme="minorHAnsi" w:cs="Arial"/>
        </w:rPr>
        <w:t xml:space="preserve"> of Policy Management, the Office o</w:t>
      </w:r>
      <w:r w:rsidRPr="00D543B0">
        <w:rPr>
          <w:rFonts w:asciiTheme="minorHAnsi" w:hAnsiTheme="minorHAnsi" w:cs="Arial"/>
        </w:rPr>
        <w:t>f the Attorney General, and the Department of Administrative Services.</w:t>
      </w:r>
    </w:p>
    <w:p w:rsidR="00B912C9" w:rsidRPr="00D543B0" w:rsidRDefault="004E3D2F">
      <w:pPr>
        <w:rPr>
          <w:rFonts w:asciiTheme="minorHAnsi" w:hAnsiTheme="minorHAnsi" w:cs="Arial"/>
        </w:rPr>
      </w:pPr>
      <w:r w:rsidRPr="00D654A0">
        <w:t>The</w:t>
      </w:r>
      <w:r w:rsidRPr="002F6014">
        <w:rPr>
          <w:rStyle w:val="Heading4Char"/>
          <w:rFonts w:asciiTheme="minorHAnsi" w:hAnsiTheme="minorHAnsi"/>
        </w:rPr>
        <w:t xml:space="preserve"> Fiscal Office</w:t>
      </w:r>
      <w:r w:rsidRPr="00D543B0">
        <w:rPr>
          <w:rFonts w:asciiTheme="minorHAnsi" w:hAnsiTheme="minorHAnsi"/>
          <w:bCs/>
          <w:iCs/>
        </w:rPr>
        <w:t xml:space="preserve"> administers</w:t>
      </w:r>
      <w:r w:rsidRPr="00D543B0">
        <w:rPr>
          <w:rFonts w:asciiTheme="minorHAnsi" w:hAnsiTheme="minorHAnsi"/>
        </w:rPr>
        <w:t xml:space="preserve"> budget planning and preparation, monitoring of state and federal grant expenditures, revenue accounting, accounts payable/receivable, and pu</w:t>
      </w:r>
      <w:r w:rsidR="00D543B0">
        <w:rPr>
          <w:rFonts w:asciiTheme="minorHAnsi" w:hAnsiTheme="minorHAnsi"/>
        </w:rPr>
        <w:t>rchasing, including emphasis on</w:t>
      </w:r>
      <w:r w:rsidRPr="00D543B0">
        <w:rPr>
          <w:rFonts w:asciiTheme="minorHAnsi" w:hAnsiTheme="minorHAnsi"/>
        </w:rPr>
        <w:t xml:space="preserve"> procurement from small and minority-owned vendors; provides mail services and inventory control; provides agency grantees and their auditors a single point of contact for </w:t>
      </w:r>
      <w:r w:rsidRPr="00D543B0">
        <w:rPr>
          <w:rFonts w:asciiTheme="minorHAnsi" w:hAnsiTheme="minorHAnsi"/>
        </w:rPr>
        <w:lastRenderedPageBreak/>
        <w:t>accounting and audit issues related to grants and contracts; provides technical assistance to contracting units within the department</w:t>
      </w:r>
      <w:r w:rsidR="00D543B0">
        <w:rPr>
          <w:rFonts w:asciiTheme="minorHAnsi" w:hAnsiTheme="minorHAnsi"/>
        </w:rPr>
        <w:t>;</w:t>
      </w:r>
      <w:r w:rsidRPr="00D543B0">
        <w:rPr>
          <w:rFonts w:asciiTheme="minorHAnsi" w:hAnsiTheme="minorHAnsi"/>
        </w:rPr>
        <w:t xml:space="preserve"> and monitors the final financial settlement of agency grants and contracts.</w:t>
      </w:r>
    </w:p>
    <w:p w:rsidR="00B912C9" w:rsidRPr="00D543B0" w:rsidRDefault="004E3D2F">
      <w:pPr>
        <w:spacing w:after="80"/>
        <w:rPr>
          <w:rFonts w:asciiTheme="minorHAnsi" w:hAnsiTheme="minorHAnsi"/>
        </w:rPr>
      </w:pPr>
      <w:r w:rsidRPr="00D654A0">
        <w:t>The</w:t>
      </w:r>
      <w:r w:rsidRPr="002F6014">
        <w:rPr>
          <w:rStyle w:val="Heading4Char"/>
          <w:rFonts w:asciiTheme="minorHAnsi" w:hAnsiTheme="minorHAnsi"/>
        </w:rPr>
        <w:t xml:space="preserve"> Human Resources Section</w:t>
      </w:r>
      <w:r w:rsidRPr="00D543B0">
        <w:rPr>
          <w:rFonts w:asciiTheme="minorHAnsi" w:hAnsiTheme="minorHAnsi" w:cs="Arial"/>
          <w:bCs/>
          <w:iCs/>
        </w:rPr>
        <w:t xml:space="preserve"> </w:t>
      </w:r>
      <w:r w:rsidRPr="00D543B0">
        <w:rPr>
          <w:rFonts w:asciiTheme="minorHAnsi" w:hAnsiTheme="minorHAnsi" w:cs="Arial"/>
        </w:rPr>
        <w:t>provides comprehensive personnel management to the department, including labor relations for seven bargaining units and managerial/confidential employees, recruitment, merit system administration, performance appraisal review, statistical personnel status reports, payroll, fringe benefit administration, classification work f</w:t>
      </w:r>
      <w:r w:rsidR="002F6014">
        <w:rPr>
          <w:rFonts w:asciiTheme="minorHAnsi" w:hAnsiTheme="minorHAnsi" w:cs="Arial"/>
        </w:rPr>
        <w:t>or appropriate job titles, and performance assessment and recognition s</w:t>
      </w:r>
      <w:r w:rsidRPr="00D543B0">
        <w:rPr>
          <w:rFonts w:asciiTheme="minorHAnsi" w:hAnsiTheme="minorHAnsi" w:cs="Arial"/>
        </w:rPr>
        <w:t>ystem for managers</w:t>
      </w:r>
      <w:r w:rsidRPr="00D543B0">
        <w:rPr>
          <w:rFonts w:asciiTheme="minorHAnsi" w:hAnsiTheme="minorHAnsi"/>
        </w:rPr>
        <w:t>.</w:t>
      </w:r>
    </w:p>
    <w:p w:rsidR="00B912C9" w:rsidRPr="007E042E" w:rsidRDefault="005B2D2B" w:rsidP="007E042E">
      <w:pPr>
        <w:rPr>
          <w:rFonts w:asciiTheme="minorHAnsi" w:hAnsiTheme="minorHAnsi"/>
          <w:bCs/>
        </w:rPr>
      </w:pPr>
      <w:r w:rsidRPr="00D654A0">
        <w:t>The</w:t>
      </w:r>
      <w:r w:rsidRPr="002F6014">
        <w:rPr>
          <w:rFonts w:asciiTheme="minorHAnsi" w:hAnsiTheme="minorHAnsi"/>
          <w:bCs/>
          <w:i/>
        </w:rPr>
        <w:t xml:space="preserve"> </w:t>
      </w:r>
      <w:r w:rsidR="003D1485" w:rsidRPr="00D777C7">
        <w:rPr>
          <w:rStyle w:val="Heading4Char"/>
        </w:rPr>
        <w:t>Informatics Section</w:t>
      </w:r>
      <w:r w:rsidR="003D1485" w:rsidRPr="00D543B0">
        <w:rPr>
          <w:rFonts w:asciiTheme="minorHAnsi" w:hAnsiTheme="minorHAnsi"/>
          <w:b/>
          <w:bCs/>
        </w:rPr>
        <w:t xml:space="preserve"> </w:t>
      </w:r>
      <w:r w:rsidR="003D1485" w:rsidRPr="00D543B0">
        <w:rPr>
          <w:rFonts w:asciiTheme="minorHAnsi" w:hAnsiTheme="minorHAnsi"/>
          <w:bCs/>
        </w:rPr>
        <w:t>works both independently and in conjunction with the Department of Administrative Services, Bureau of Enterprise</w:t>
      </w:r>
      <w:r w:rsidR="003D1485" w:rsidRPr="0012425D">
        <w:rPr>
          <w:rFonts w:asciiTheme="minorHAnsi" w:hAnsiTheme="minorHAnsi"/>
          <w:bCs/>
        </w:rPr>
        <w:t xml:space="preserve"> Systems and Technology (DAS/BEST) to provide the highest quali</w:t>
      </w:r>
      <w:r w:rsidR="00D543B0">
        <w:rPr>
          <w:rFonts w:asciiTheme="minorHAnsi" w:hAnsiTheme="minorHAnsi"/>
          <w:bCs/>
        </w:rPr>
        <w:t xml:space="preserve">ty support </w:t>
      </w:r>
      <w:r w:rsidR="00496DEB" w:rsidRPr="0012425D">
        <w:rPr>
          <w:rFonts w:asciiTheme="minorHAnsi" w:hAnsiTheme="minorHAnsi"/>
          <w:bCs/>
        </w:rPr>
        <w:t xml:space="preserve">services. </w:t>
      </w:r>
      <w:r w:rsidR="00D543B0">
        <w:rPr>
          <w:rFonts w:asciiTheme="minorHAnsi" w:hAnsiTheme="minorHAnsi"/>
          <w:bCs/>
        </w:rPr>
        <w:t xml:space="preserve"> </w:t>
      </w:r>
      <w:r w:rsidR="00496DEB" w:rsidRPr="0012425D">
        <w:rPr>
          <w:rFonts w:asciiTheme="minorHAnsi" w:hAnsiTheme="minorHAnsi"/>
          <w:bCs/>
        </w:rPr>
        <w:t>S</w:t>
      </w:r>
      <w:r w:rsidR="003D1485" w:rsidRPr="0012425D">
        <w:rPr>
          <w:rFonts w:asciiTheme="minorHAnsi" w:hAnsiTheme="minorHAnsi"/>
          <w:bCs/>
        </w:rPr>
        <w:t xml:space="preserve">ervices are delivered through two divisions, </w:t>
      </w:r>
      <w:r w:rsidR="00496DEB" w:rsidRPr="0012425D">
        <w:rPr>
          <w:rFonts w:asciiTheme="minorHAnsi" w:hAnsiTheme="minorHAnsi"/>
          <w:bCs/>
        </w:rPr>
        <w:t>Infrastructure and Development, which</w:t>
      </w:r>
      <w:r w:rsidR="003D1485" w:rsidRPr="0012425D">
        <w:rPr>
          <w:rFonts w:asciiTheme="minorHAnsi" w:hAnsiTheme="minorHAnsi"/>
          <w:bCs/>
        </w:rPr>
        <w:t xml:space="preserve"> work </w:t>
      </w:r>
      <w:r w:rsidR="00D543B0">
        <w:rPr>
          <w:rFonts w:asciiTheme="minorHAnsi" w:hAnsiTheme="minorHAnsi"/>
          <w:bCs/>
        </w:rPr>
        <w:t xml:space="preserve">closely together to provide </w:t>
      </w:r>
      <w:r w:rsidR="00496DEB" w:rsidRPr="0012425D">
        <w:rPr>
          <w:rFonts w:asciiTheme="minorHAnsi" w:hAnsiTheme="minorHAnsi"/>
          <w:bCs/>
        </w:rPr>
        <w:t xml:space="preserve">information technology </w:t>
      </w:r>
      <w:r w:rsidR="003D1485" w:rsidRPr="0012425D">
        <w:rPr>
          <w:rFonts w:asciiTheme="minorHAnsi" w:hAnsiTheme="minorHAnsi"/>
          <w:bCs/>
        </w:rPr>
        <w:t>functionality and dir</w:t>
      </w:r>
      <w:r w:rsidR="00496DEB" w:rsidRPr="0012425D">
        <w:rPr>
          <w:rFonts w:asciiTheme="minorHAnsi" w:hAnsiTheme="minorHAnsi"/>
          <w:bCs/>
        </w:rPr>
        <w:t>ection</w:t>
      </w:r>
      <w:r w:rsidR="003D1485" w:rsidRPr="0012425D">
        <w:rPr>
          <w:rFonts w:asciiTheme="minorHAnsi" w:hAnsiTheme="minorHAnsi"/>
          <w:bCs/>
        </w:rPr>
        <w:t xml:space="preserve"> to the agency and external entities </w:t>
      </w:r>
      <w:r w:rsidR="00D543B0">
        <w:rPr>
          <w:rFonts w:asciiTheme="minorHAnsi" w:hAnsiTheme="minorHAnsi"/>
          <w:bCs/>
        </w:rPr>
        <w:t>having</w:t>
      </w:r>
      <w:r w:rsidR="003D1485" w:rsidRPr="0012425D">
        <w:rPr>
          <w:rFonts w:asciiTheme="minorHAnsi" w:hAnsiTheme="minorHAnsi"/>
          <w:bCs/>
        </w:rPr>
        <w:t xml:space="preserve"> interfaces to DPH</w:t>
      </w:r>
      <w:r w:rsidR="00496DEB" w:rsidRPr="0012425D">
        <w:rPr>
          <w:rFonts w:asciiTheme="minorHAnsi" w:hAnsiTheme="minorHAnsi"/>
          <w:bCs/>
        </w:rPr>
        <w:t>’s</w:t>
      </w:r>
      <w:r w:rsidR="003D1485" w:rsidRPr="0012425D">
        <w:rPr>
          <w:rFonts w:asciiTheme="minorHAnsi" w:hAnsiTheme="minorHAnsi"/>
          <w:bCs/>
        </w:rPr>
        <w:t xml:space="preserve"> internal systems. Responsibilities include strategic planning, maintaining critical agency infrastructure, providing platform services, operations services, networking services, application services and security services.</w:t>
      </w:r>
    </w:p>
    <w:p w:rsidR="00B912C9" w:rsidRPr="0012425D" w:rsidRDefault="00B912C9">
      <w:pPr>
        <w:spacing w:after="80"/>
        <w:jc w:val="left"/>
        <w:sectPr w:rsidR="00B912C9" w:rsidRPr="0012425D">
          <w:footerReference w:type="default" r:id="rId30"/>
          <w:type w:val="continuous"/>
          <w:pgSz w:w="12240" w:h="15840" w:code="1"/>
          <w:pgMar w:top="864" w:right="720" w:bottom="1152" w:left="720" w:header="432" w:footer="288" w:gutter="216"/>
          <w:cols w:num="2" w:space="432" w:equalWidth="0">
            <w:col w:w="4932" w:space="720"/>
            <w:col w:w="4932"/>
          </w:cols>
        </w:sectPr>
      </w:pPr>
    </w:p>
    <w:p w:rsidR="00B912C9" w:rsidRDefault="00B912C9" w:rsidP="006E7313">
      <w:pPr>
        <w:spacing w:after="0"/>
      </w:pPr>
    </w:p>
    <w:p w:rsidR="00B912C9" w:rsidRDefault="00C3771A">
      <w:pPr>
        <w:pStyle w:val="ProgramHead"/>
      </w:pPr>
      <w:r>
        <w:lastRenderedPageBreak/>
        <w:fldChar w:fldCharType="begin"/>
      </w:r>
      <w:r w:rsidR="00B66F60">
        <w:instrText xml:space="preserve"> XE "dph48500 42007" </w:instrText>
      </w:r>
      <w:r>
        <w:fldChar w:fldCharType="end"/>
      </w:r>
      <w:r w:rsidR="00B93DA1">
        <w:t>HEALTH STATISTICS AND SURVEILLANCE</w:t>
      </w:r>
      <w:r w:rsidR="004E3D2F">
        <w:t xml:space="preserve"> </w:t>
      </w:r>
    </w:p>
    <w:p w:rsidR="00B912C9" w:rsidRDefault="00B912C9">
      <w:pPr>
        <w:pStyle w:val="Heading2"/>
        <w:sectPr w:rsidR="00B912C9">
          <w:type w:val="continuous"/>
          <w:pgSz w:w="12240" w:h="15840" w:code="1"/>
          <w:pgMar w:top="864" w:right="720" w:bottom="1152" w:left="720" w:header="432" w:footer="288" w:gutter="216"/>
          <w:cols w:space="432"/>
        </w:sectPr>
      </w:pPr>
    </w:p>
    <w:p w:rsidR="00B912C9" w:rsidRDefault="004E3D2F">
      <w:pPr>
        <w:pStyle w:val="Heading2"/>
      </w:pPr>
      <w:r>
        <w:lastRenderedPageBreak/>
        <w:t>Statutory Reference</w:t>
      </w:r>
    </w:p>
    <w:p w:rsidR="00B912C9" w:rsidRPr="002F6014" w:rsidRDefault="004E3D2F">
      <w:r w:rsidRPr="002F6014">
        <w:t>C.G.S. Section</w:t>
      </w:r>
      <w:r w:rsidR="008B16FD">
        <w:t>s</w:t>
      </w:r>
      <w:r w:rsidRPr="002F6014">
        <w:t xml:space="preserve"> 7-42, </w:t>
      </w:r>
      <w:r w:rsidR="001046AC" w:rsidRPr="002F6014">
        <w:t xml:space="preserve">7-50, 7-51, </w:t>
      </w:r>
      <w:r w:rsidRPr="002F6014">
        <w:t>7-62b, 7-73, 19a-2a, 19a-7(a), 19a-32C, 19a-41, 19a-42, 19a-45, 19a-127(k), 19a-322, 19a-127</w:t>
      </w:r>
      <w:r w:rsidR="002F6014">
        <w:t>.</w:t>
      </w:r>
    </w:p>
    <w:p w:rsidR="00B912C9" w:rsidRDefault="004E3D2F">
      <w:pPr>
        <w:pStyle w:val="Heading2"/>
      </w:pPr>
      <w:r>
        <w:t>Statement of Need and Program Objectives</w:t>
      </w:r>
    </w:p>
    <w:p w:rsidR="00B912C9" w:rsidRPr="0012425D" w:rsidRDefault="004E3D2F">
      <w:r w:rsidRPr="0012425D">
        <w:t xml:space="preserve">To provide comprehensive health </w:t>
      </w:r>
      <w:r w:rsidR="001046AC" w:rsidRPr="0012425D">
        <w:t xml:space="preserve">data </w:t>
      </w:r>
      <w:proofErr w:type="gramStart"/>
      <w:r w:rsidRPr="0012425D">
        <w:t>planning</w:t>
      </w:r>
      <w:r w:rsidR="001046AC" w:rsidRPr="0012425D">
        <w:t>,</w:t>
      </w:r>
      <w:proofErr w:type="gramEnd"/>
      <w:r w:rsidR="001046AC" w:rsidRPr="0012425D">
        <w:t xml:space="preserve"> population health status monitoring and </w:t>
      </w:r>
      <w:r w:rsidRPr="0012425D">
        <w:t>support t</w:t>
      </w:r>
      <w:r w:rsidR="00D543B0">
        <w:t>o DPH staff and local, regional</w:t>
      </w:r>
      <w:r w:rsidRPr="0012425D">
        <w:t xml:space="preserve"> and state partners.</w:t>
      </w:r>
    </w:p>
    <w:p w:rsidR="00B912C9" w:rsidRDefault="004E3D2F" w:rsidP="007E042E">
      <w:pPr>
        <w:pStyle w:val="Heading2"/>
        <w:spacing w:before="0"/>
      </w:pPr>
      <w:r>
        <w:t xml:space="preserve">Program Description </w:t>
      </w:r>
    </w:p>
    <w:p w:rsidR="001046AC" w:rsidRPr="0012425D" w:rsidRDefault="001046AC" w:rsidP="007E042E">
      <w:pPr>
        <w:spacing w:after="0"/>
        <w:rPr>
          <w:rFonts w:asciiTheme="minorHAnsi" w:hAnsiTheme="minorHAnsi"/>
        </w:rPr>
      </w:pPr>
      <w:r w:rsidRPr="00D654A0">
        <w:t>The</w:t>
      </w:r>
      <w:r w:rsidRPr="002F6014">
        <w:rPr>
          <w:rFonts w:asciiTheme="minorHAnsi" w:hAnsiTheme="minorHAnsi"/>
          <w:i/>
        </w:rPr>
        <w:t xml:space="preserve"> </w:t>
      </w:r>
      <w:r w:rsidRPr="00D654A0">
        <w:rPr>
          <w:rStyle w:val="Heading4Char"/>
        </w:rPr>
        <w:t>Health Statistics and Surveillance Section (HSS)</w:t>
      </w:r>
      <w:r w:rsidRPr="0012425D">
        <w:rPr>
          <w:rFonts w:asciiTheme="minorHAnsi" w:hAnsiTheme="minorHAnsi"/>
        </w:rPr>
        <w:t xml:space="preserve"> is responsible for data collection, analysis and dissemination of a wide range of critical public health data. </w:t>
      </w:r>
      <w:r w:rsidR="00280AF4" w:rsidRPr="0012425D">
        <w:rPr>
          <w:rFonts w:asciiTheme="minorHAnsi" w:hAnsiTheme="minorHAnsi"/>
        </w:rPr>
        <w:t xml:space="preserve"> </w:t>
      </w:r>
      <w:r w:rsidRPr="0012425D">
        <w:rPr>
          <w:rFonts w:asciiTheme="minorHAnsi" w:hAnsiTheme="minorHAnsi"/>
        </w:rPr>
        <w:t>HSS assure</w:t>
      </w:r>
      <w:r w:rsidR="00D543B0">
        <w:rPr>
          <w:rFonts w:asciiTheme="minorHAnsi" w:hAnsiTheme="minorHAnsi"/>
        </w:rPr>
        <w:t>s</w:t>
      </w:r>
      <w:r w:rsidRPr="0012425D">
        <w:rPr>
          <w:rFonts w:asciiTheme="minorHAnsi" w:hAnsiTheme="minorHAnsi"/>
        </w:rPr>
        <w:t xml:space="preserve"> that access to certified copies of vital records is efficient, and that comprehensive and accurate population health statistics that portray the health status of Connecticut’s population are accessible to the public, health care providers,</w:t>
      </w:r>
      <w:r w:rsidR="00280AF4" w:rsidRPr="0012425D">
        <w:rPr>
          <w:rFonts w:asciiTheme="minorHAnsi" w:hAnsiTheme="minorHAnsi"/>
        </w:rPr>
        <w:t xml:space="preserve"> researchers, and legislators.  </w:t>
      </w:r>
      <w:r w:rsidRPr="0012425D">
        <w:rPr>
          <w:rFonts w:asciiTheme="minorHAnsi" w:hAnsiTheme="minorHAnsi"/>
        </w:rPr>
        <w:t>HHS collects and analyzes data in six areas: vital records (births, deaths, marriages and fetal deaths); current behavioral risk factor population surveys for adults and for youth;  inpatient hospitalizations; adverse event reports from hospitals and healthcare facilities; reports on all newly diagnosed cancer cases; and annual state-town population estimates.</w:t>
      </w:r>
    </w:p>
    <w:p w:rsidR="00280AF4" w:rsidRPr="0012425D" w:rsidRDefault="001046AC" w:rsidP="001046AC">
      <w:pPr>
        <w:spacing w:after="80"/>
        <w:rPr>
          <w:rFonts w:asciiTheme="minorHAnsi" w:hAnsiTheme="minorHAnsi" w:cs="Lucida Sans Unicode"/>
        </w:rPr>
      </w:pPr>
      <w:r w:rsidRPr="00D654A0">
        <w:lastRenderedPageBreak/>
        <w:t>The</w:t>
      </w:r>
      <w:r w:rsidRPr="002F6014">
        <w:rPr>
          <w:rFonts w:asciiTheme="minorHAnsi" w:hAnsiTheme="minorHAnsi" w:cs="Lucida Sans Unicode"/>
          <w:i/>
        </w:rPr>
        <w:t xml:space="preserve"> </w:t>
      </w:r>
      <w:r w:rsidR="00D654A0" w:rsidRPr="00D654A0">
        <w:rPr>
          <w:rStyle w:val="Heading4Char"/>
        </w:rPr>
        <w:t>S</w:t>
      </w:r>
      <w:r w:rsidRPr="00D654A0">
        <w:rPr>
          <w:rStyle w:val="Heading4Char"/>
        </w:rPr>
        <w:t>tatewide Vital Records Section</w:t>
      </w:r>
      <w:r w:rsidRPr="0012425D">
        <w:rPr>
          <w:rFonts w:asciiTheme="minorHAnsi" w:hAnsiTheme="minorHAnsi" w:cs="Lucida Sans Unicode"/>
        </w:rPr>
        <w:t xml:space="preserve"> registers births, deaths and marriages; maintains the state paternity registry and collaborates with the Department of Social Services and obstetric hospitals to encourage unwed couples to establish paternity; processes all adoptions for Connecticut-born children, foreign-born children adopted by Connecticut residents, and adoptions finalize</w:t>
      </w:r>
      <w:r w:rsidR="00280AF4" w:rsidRPr="0012425D">
        <w:rPr>
          <w:rFonts w:asciiTheme="minorHAnsi" w:hAnsiTheme="minorHAnsi" w:cs="Lucida Sans Unicode"/>
        </w:rPr>
        <w:t>d in Connecticut.  The section</w:t>
      </w:r>
      <w:r w:rsidRPr="0012425D">
        <w:rPr>
          <w:rFonts w:asciiTheme="minorHAnsi" w:hAnsiTheme="minorHAnsi" w:cs="Lucida Sans Unicode"/>
        </w:rPr>
        <w:t xml:space="preserve"> issues certified copies of birth, marriage, deaths and fetal deaths upon request from eligible parties.  </w:t>
      </w:r>
    </w:p>
    <w:p w:rsidR="00280AF4" w:rsidRPr="0012425D" w:rsidRDefault="001046AC" w:rsidP="001046AC">
      <w:pPr>
        <w:spacing w:after="80"/>
        <w:rPr>
          <w:rFonts w:asciiTheme="minorHAnsi" w:hAnsiTheme="minorHAnsi" w:cs="Lucida Sans Unicode"/>
        </w:rPr>
      </w:pPr>
      <w:r w:rsidRPr="00D654A0">
        <w:t>The</w:t>
      </w:r>
      <w:r w:rsidRPr="002F6014">
        <w:rPr>
          <w:rFonts w:asciiTheme="minorHAnsi" w:hAnsiTheme="minorHAnsi" w:cs="Lucida Sans Unicode"/>
          <w:i/>
        </w:rPr>
        <w:t xml:space="preserve"> </w:t>
      </w:r>
      <w:r w:rsidRPr="00D654A0">
        <w:rPr>
          <w:rStyle w:val="Heading4Char"/>
        </w:rPr>
        <w:t>Connecticut Tumor Registry</w:t>
      </w:r>
      <w:r w:rsidRPr="0012425D">
        <w:rPr>
          <w:rFonts w:asciiTheme="minorHAnsi" w:hAnsiTheme="minorHAnsi" w:cs="Lucida Sans Unicode"/>
        </w:rPr>
        <w:t xml:space="preserve"> is an electronic database of information on over 735,000 cancers diagnosed in Connecticut r</w:t>
      </w:r>
      <w:r w:rsidR="00D543B0">
        <w:rPr>
          <w:rFonts w:asciiTheme="minorHAnsi" w:hAnsiTheme="minorHAnsi" w:cs="Lucida Sans Unicode"/>
        </w:rPr>
        <w:t xml:space="preserve">esidents from 1935 through 2010.  It </w:t>
      </w:r>
      <w:r w:rsidRPr="0012425D">
        <w:rPr>
          <w:rFonts w:asciiTheme="minorHAnsi" w:hAnsiTheme="minorHAnsi" w:cs="Lucida Sans Unicode"/>
        </w:rPr>
        <w:t>is used by researchers to examine cancer patterns, risk factors and other cancer concerns in Connecticut.  With continuing support from t</w:t>
      </w:r>
      <w:r w:rsidR="00280AF4" w:rsidRPr="0012425D">
        <w:rPr>
          <w:rFonts w:asciiTheme="minorHAnsi" w:hAnsiTheme="minorHAnsi" w:cs="Lucida Sans Unicode"/>
        </w:rPr>
        <w:t>he National Cancer Institute, the state</w:t>
      </w:r>
      <w:r w:rsidRPr="0012425D">
        <w:rPr>
          <w:rFonts w:asciiTheme="minorHAnsi" w:hAnsiTheme="minorHAnsi" w:cs="Lucida Sans Unicode"/>
        </w:rPr>
        <w:t xml:space="preserve"> has the oldest cancer registry in the nation. </w:t>
      </w:r>
      <w:r w:rsidR="00280AF4" w:rsidRPr="0012425D">
        <w:rPr>
          <w:rFonts w:asciiTheme="minorHAnsi" w:hAnsiTheme="minorHAnsi" w:cs="Lucida Sans Unicode"/>
        </w:rPr>
        <w:t xml:space="preserve"> </w:t>
      </w:r>
    </w:p>
    <w:p w:rsidR="00D243D5" w:rsidRPr="007E042E" w:rsidRDefault="00280AF4" w:rsidP="007E042E">
      <w:pPr>
        <w:spacing w:after="80"/>
        <w:rPr>
          <w:rFonts w:asciiTheme="minorHAnsi" w:hAnsiTheme="minorHAnsi" w:cs="Lucida Sans Unicode"/>
        </w:rPr>
      </w:pPr>
      <w:r w:rsidRPr="00D654A0">
        <w:t>The</w:t>
      </w:r>
      <w:r w:rsidRPr="002F6014">
        <w:rPr>
          <w:rFonts w:asciiTheme="minorHAnsi" w:hAnsiTheme="minorHAnsi" w:cs="Lucida Sans Unicode"/>
          <w:i/>
        </w:rPr>
        <w:t xml:space="preserve"> </w:t>
      </w:r>
      <w:r w:rsidRPr="00D654A0">
        <w:rPr>
          <w:rStyle w:val="Heading4Char"/>
        </w:rPr>
        <w:t>Health Survey U</w:t>
      </w:r>
      <w:r w:rsidR="001046AC" w:rsidRPr="00D654A0">
        <w:rPr>
          <w:rStyle w:val="Heading4Char"/>
        </w:rPr>
        <w:t>nit</w:t>
      </w:r>
      <w:r w:rsidR="001046AC" w:rsidRPr="0012425D">
        <w:rPr>
          <w:rFonts w:asciiTheme="minorHAnsi" w:hAnsiTheme="minorHAnsi" w:cs="Lucida Sans Unicode"/>
        </w:rPr>
        <w:t xml:space="preserve"> administers the national Behavioral Risk Factor Surveillance Survey system (BRFSS) and student health survey Youth Behavior Component (YBC) of the Connecticut School Health Survey (CSHS), which provides current data on risk behaviors and healt</w:t>
      </w:r>
      <w:r w:rsidR="00624A39">
        <w:rPr>
          <w:rFonts w:asciiTheme="minorHAnsi" w:hAnsiTheme="minorHAnsi" w:cs="Lucida Sans Unicode"/>
        </w:rPr>
        <w:t>h care practices that affect our</w:t>
      </w:r>
      <w:r w:rsidR="001046AC" w:rsidRPr="0012425D">
        <w:rPr>
          <w:rFonts w:asciiTheme="minorHAnsi" w:hAnsiTheme="minorHAnsi" w:cs="Lucida Sans Unicode"/>
        </w:rPr>
        <w:t xml:space="preserve"> population’s health.  The analysis of these health data is used internally and externally to identify strategic health care needs withi</w:t>
      </w:r>
      <w:r w:rsidRPr="0012425D">
        <w:rPr>
          <w:rFonts w:asciiTheme="minorHAnsi" w:hAnsiTheme="minorHAnsi" w:cs="Lucida Sans Unicode"/>
        </w:rPr>
        <w:t>n Connecticut and to monitor progress in meeting those needs</w:t>
      </w:r>
      <w:r w:rsidR="001046AC" w:rsidRPr="0012425D">
        <w:rPr>
          <w:rFonts w:asciiTheme="minorHAnsi" w:hAnsiTheme="minorHAnsi" w:cs="Lucida Sans Unicode"/>
        </w:rPr>
        <w:t xml:space="preserve">. </w:t>
      </w:r>
    </w:p>
    <w:p w:rsidR="0052417C" w:rsidRDefault="0052417C">
      <w:pPr>
        <w:rPr>
          <w:rFonts w:cs="Lucida Sans Unicode"/>
        </w:rPr>
        <w:sectPr w:rsidR="0052417C">
          <w:type w:val="continuous"/>
          <w:pgSz w:w="12240" w:h="15840" w:code="1"/>
          <w:pgMar w:top="864" w:right="720" w:bottom="1152" w:left="720" w:header="432" w:footer="288" w:gutter="216"/>
          <w:cols w:num="2" w:space="432" w:equalWidth="0">
            <w:col w:w="4932" w:space="720"/>
            <w:col w:w="4932"/>
          </w:cols>
        </w:sectPr>
      </w:pPr>
    </w:p>
    <w:p w:rsidR="00B912C9" w:rsidRDefault="00B912C9"/>
    <w:p w:rsidR="00B912C9" w:rsidRDefault="00C3771A">
      <w:pPr>
        <w:pStyle w:val="ProgramHead"/>
      </w:pPr>
      <w:r>
        <w:fldChar w:fldCharType="begin"/>
      </w:r>
      <w:r w:rsidR="006E7313">
        <w:instrText xml:space="preserve"> XE "dph48500 42009</w:instrText>
      </w:r>
      <w:r w:rsidR="00B66F60">
        <w:instrText xml:space="preserve">" </w:instrText>
      </w:r>
      <w:r>
        <w:fldChar w:fldCharType="end"/>
      </w:r>
      <w:r w:rsidR="004E3D2F">
        <w:t>O</w:t>
      </w:r>
      <w:r w:rsidR="00C62BF4">
        <w:t xml:space="preserve">FFICE OF </w:t>
      </w:r>
      <w:r w:rsidR="004E3D2F">
        <w:t>H</w:t>
      </w:r>
      <w:r w:rsidR="00C62BF4">
        <w:t xml:space="preserve">EALTH </w:t>
      </w:r>
      <w:r w:rsidR="004E3D2F">
        <w:t>C</w:t>
      </w:r>
      <w:r w:rsidR="00C62BF4">
        <w:t xml:space="preserve">ARE </w:t>
      </w:r>
      <w:r w:rsidR="004E3D2F">
        <w:t>A</w:t>
      </w:r>
      <w:r w:rsidR="00C62BF4">
        <w:t>CCESS</w:t>
      </w:r>
      <w:r w:rsidR="004E3D2F">
        <w:t xml:space="preserve"> </w:t>
      </w:r>
    </w:p>
    <w:p w:rsidR="00B912C9" w:rsidRDefault="00B912C9">
      <w:pPr>
        <w:pStyle w:val="Heading2"/>
        <w:sectPr w:rsidR="00B912C9">
          <w:type w:val="continuous"/>
          <w:pgSz w:w="12240" w:h="15840" w:code="1"/>
          <w:pgMar w:top="864" w:right="720" w:bottom="1152" w:left="720" w:header="432" w:footer="288" w:gutter="216"/>
          <w:cols w:space="432"/>
        </w:sectPr>
      </w:pPr>
    </w:p>
    <w:p w:rsidR="00B912C9" w:rsidRDefault="004E3D2F">
      <w:pPr>
        <w:pStyle w:val="Heading2"/>
      </w:pPr>
      <w:r>
        <w:lastRenderedPageBreak/>
        <w:t>Statutory Reference</w:t>
      </w:r>
    </w:p>
    <w:p w:rsidR="00B912C9" w:rsidRPr="002F6014" w:rsidRDefault="00D73D09">
      <w:r w:rsidRPr="002F6014">
        <w:t>C</w:t>
      </w:r>
      <w:r w:rsidR="00CB648F">
        <w:t>.</w:t>
      </w:r>
      <w:r w:rsidRPr="002F6014">
        <w:t>G</w:t>
      </w:r>
      <w:r w:rsidR="00CB648F">
        <w:t>.</w:t>
      </w:r>
      <w:r w:rsidRPr="002F6014">
        <w:t>S</w:t>
      </w:r>
      <w:r w:rsidR="00CB648F">
        <w:t>.</w:t>
      </w:r>
      <w:r w:rsidRPr="002F6014">
        <w:t xml:space="preserve"> Section</w:t>
      </w:r>
      <w:r w:rsidR="00CB648F">
        <w:t>s</w:t>
      </w:r>
      <w:r w:rsidRPr="002F6014">
        <w:t xml:space="preserve"> </w:t>
      </w:r>
      <w:r w:rsidR="00DB2964" w:rsidRPr="002F6014">
        <w:t>19a-612</w:t>
      </w:r>
      <w:r w:rsidR="003D5F80" w:rsidRPr="002F6014">
        <w:t xml:space="preserve"> through 689</w:t>
      </w:r>
      <w:r w:rsidR="002F6014">
        <w:t>.</w:t>
      </w:r>
    </w:p>
    <w:p w:rsidR="00B912C9" w:rsidRDefault="004E3D2F">
      <w:pPr>
        <w:pStyle w:val="Heading2"/>
      </w:pPr>
      <w:r>
        <w:t>Statement of Need and Program Objectives</w:t>
      </w:r>
    </w:p>
    <w:p w:rsidR="00C62BF4" w:rsidRPr="0012425D" w:rsidRDefault="004E3D2F" w:rsidP="0012425D">
      <w:pPr>
        <w:spacing w:after="80"/>
      </w:pPr>
      <w:r w:rsidRPr="0012425D">
        <w:t>The mission of the Office of Health Care Access (OHCA) is to ensure that the citizens of Connecticut have access to a quality health care delivery system</w:t>
      </w:r>
      <w:r w:rsidR="00624A39">
        <w:t>; to provide quality information;</w:t>
      </w:r>
      <w:r w:rsidR="00C62BF4" w:rsidRPr="0012425D">
        <w:t xml:space="preserve"> to p</w:t>
      </w:r>
      <w:r w:rsidR="00624A39">
        <w:t>romote sound health care policy;</w:t>
      </w:r>
      <w:r w:rsidR="00C62BF4" w:rsidRPr="0012425D">
        <w:t xml:space="preserve"> and to support the development of an effective and efficient health care system for Connecticut.</w:t>
      </w:r>
    </w:p>
    <w:p w:rsidR="00B912C9" w:rsidRPr="0012425D" w:rsidRDefault="004E3D2F">
      <w:pPr>
        <w:pStyle w:val="Heading2"/>
        <w:rPr>
          <w:color w:val="auto"/>
        </w:rPr>
      </w:pPr>
      <w:r w:rsidRPr="0012425D">
        <w:rPr>
          <w:color w:val="auto"/>
        </w:rPr>
        <w:t xml:space="preserve">Program Description </w:t>
      </w:r>
    </w:p>
    <w:p w:rsidR="00B912C9" w:rsidRDefault="004E3D2F" w:rsidP="00624A39">
      <w:pPr>
        <w:spacing w:after="80"/>
      </w:pPr>
      <w:r w:rsidRPr="0012425D">
        <w:t xml:space="preserve">The </w:t>
      </w:r>
      <w:r w:rsidR="002F6014">
        <w:t>o</w:t>
      </w:r>
      <w:r w:rsidRPr="0012425D">
        <w:t>ffice fulfills its mission by designing and directing health car</w:t>
      </w:r>
      <w:r w:rsidR="00A61300" w:rsidRPr="0012425D">
        <w:t>e system development, advising executive and legislative b</w:t>
      </w:r>
      <w:r w:rsidRPr="0012425D">
        <w:t>ranch policy makers on health care issues, and informing the public and industry of statewide and national trends.</w:t>
      </w:r>
    </w:p>
    <w:p w:rsidR="00B912C9" w:rsidRPr="0012425D" w:rsidRDefault="004E3D2F" w:rsidP="00624A39">
      <w:pPr>
        <w:spacing w:after="80"/>
      </w:pPr>
      <w:r w:rsidRPr="0012425D">
        <w:t>Health care accou</w:t>
      </w:r>
      <w:r w:rsidR="00BC547F">
        <w:t>nts for slightly more than</w:t>
      </w:r>
      <w:r w:rsidRPr="0012425D">
        <w:t xml:space="preserve"> one-third </w:t>
      </w:r>
      <w:r w:rsidR="007E042E">
        <w:t xml:space="preserve">of the state’s overall budget. </w:t>
      </w:r>
      <w:r w:rsidRPr="0012425D">
        <w:t>OHCA’s research, analysis, regulatory and reporting functions help Connecticut policy makers and industry leaders to monitor the health care delivery system</w:t>
      </w:r>
      <w:r w:rsidR="00A61300" w:rsidRPr="0012425D">
        <w:t>,</w:t>
      </w:r>
      <w:r w:rsidRPr="0012425D">
        <w:t xml:space="preserve"> identify areas of potential </w:t>
      </w:r>
      <w:r w:rsidRPr="0012425D">
        <w:lastRenderedPageBreak/>
        <w:t>need, formulate appropriate solutions, and better coordinate state policy and actions to control cost and increase quality.</w:t>
      </w:r>
    </w:p>
    <w:p w:rsidR="00B912C9" w:rsidRPr="0012425D" w:rsidRDefault="004E3D2F" w:rsidP="00EE350A">
      <w:pPr>
        <w:spacing w:after="80"/>
      </w:pPr>
      <w:r w:rsidRPr="0012425D">
        <w:t>OHCA gathers, verifies, analyzes and reports on a wide rang</w:t>
      </w:r>
      <w:r w:rsidR="00624A39">
        <w:t>e of hospital financial data</w:t>
      </w:r>
      <w:r w:rsidRPr="0012425D">
        <w:t xml:space="preserve">. </w:t>
      </w:r>
      <w:r w:rsidR="00624A39">
        <w:t xml:space="preserve"> This i</w:t>
      </w:r>
      <w:r w:rsidRPr="0012425D">
        <w:t xml:space="preserve">nformation includes hospital expenses and revenues, uncompensated care volumes, Disproportionate Share </w:t>
      </w:r>
      <w:r w:rsidR="002F6014">
        <w:t xml:space="preserve">Hospital </w:t>
      </w:r>
      <w:r w:rsidRPr="0012425D">
        <w:t>and other financial data as needed.</w:t>
      </w:r>
    </w:p>
    <w:p w:rsidR="00B912C9" w:rsidRPr="0012425D" w:rsidRDefault="004E3D2F" w:rsidP="00EE350A">
      <w:pPr>
        <w:spacing w:after="80"/>
      </w:pPr>
      <w:r w:rsidRPr="0012425D">
        <w:t xml:space="preserve">OHCA also analyzes and interprets data related to hospital and health care utilization, and communicates regularly with legislators, health care policy makers, the health care industry and the general public.  By analyzing this data, OHCA can identify areas needing better </w:t>
      </w:r>
      <w:r w:rsidR="00EE350A" w:rsidRPr="0012425D">
        <w:t>coordination or a different</w:t>
      </w:r>
      <w:r w:rsidRPr="0012425D">
        <w:t xml:space="preserve"> configuration of resources and services, and articulate more effective strategies. </w:t>
      </w:r>
    </w:p>
    <w:p w:rsidR="00B66F60" w:rsidRPr="0012425D" w:rsidRDefault="004E3D2F" w:rsidP="00EE350A">
      <w:pPr>
        <w:spacing w:after="80"/>
      </w:pPr>
      <w:r w:rsidRPr="0012425D">
        <w:t>OHCA also assists in health system planning while limiting excess system capacity and ensuring accessible health care</w:t>
      </w:r>
      <w:r w:rsidR="002F6014">
        <w:t xml:space="preserve"> through administration of the certificate of n</w:t>
      </w:r>
      <w:r w:rsidRPr="0012425D">
        <w:t xml:space="preserve">eed (CON) program for hospitals and health care facilities.  An important aspect of the CON process is the provision for public comment, offering Connecticut residents a voice in directing the development of the </w:t>
      </w:r>
      <w:r w:rsidR="002F6014">
        <w:t>s</w:t>
      </w:r>
      <w:r w:rsidRPr="0012425D">
        <w:t>tate’s health care delivery system.</w:t>
      </w:r>
    </w:p>
    <w:p w:rsidR="00B66F60" w:rsidRPr="0012425D" w:rsidRDefault="00B66F60">
      <w:pPr>
        <w:sectPr w:rsidR="00B66F60" w:rsidRPr="0012425D" w:rsidSect="00B912C9">
          <w:type w:val="continuous"/>
          <w:pgSz w:w="12240" w:h="15840" w:code="1"/>
          <w:pgMar w:top="864" w:right="720" w:bottom="1152" w:left="720" w:header="432" w:footer="288" w:gutter="216"/>
          <w:cols w:num="2" w:space="432" w:equalWidth="0">
            <w:col w:w="4932" w:space="720"/>
            <w:col w:w="4932"/>
          </w:cols>
          <w:docGrid w:linePitch="360"/>
        </w:sectPr>
      </w:pPr>
    </w:p>
    <w:p w:rsidR="00B912C9" w:rsidRDefault="00B912C9"/>
    <w:p w:rsidR="00B66F60" w:rsidRDefault="00B66F60"/>
    <w:sectPr w:rsidR="00B66F60" w:rsidSect="0052417C">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4A0" w:rsidRDefault="00D654A0">
      <w:r>
        <w:separator/>
      </w:r>
    </w:p>
  </w:endnote>
  <w:endnote w:type="continuationSeparator" w:id="0">
    <w:p w:rsidR="00D654A0" w:rsidRDefault="00D654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libri-BoldItalic">
    <w:altName w:val="Times New Roman"/>
    <w:charset w:val="00"/>
    <w:family w:val="auto"/>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C3771A">
    <w:pPr>
      <w:pStyle w:val="Footer"/>
      <w:framePr w:wrap="around" w:vAnchor="text" w:hAnchor="margin" w:xAlign="center" w:y="1"/>
      <w:rPr>
        <w:rStyle w:val="PageNumber"/>
      </w:rPr>
    </w:pPr>
    <w:r>
      <w:rPr>
        <w:rStyle w:val="PageNumber"/>
      </w:rPr>
      <w:fldChar w:fldCharType="begin"/>
    </w:r>
    <w:r w:rsidR="00D654A0">
      <w:rPr>
        <w:rStyle w:val="PageNumber"/>
      </w:rPr>
      <w:instrText xml:space="preserve">PAGE  </w:instrText>
    </w:r>
    <w:r>
      <w:rPr>
        <w:rStyle w:val="PageNumber"/>
      </w:rPr>
      <w:fldChar w:fldCharType="separate"/>
    </w:r>
    <w:r w:rsidR="006B2E71">
      <w:rPr>
        <w:rStyle w:val="PageNumber"/>
        <w:noProof/>
      </w:rPr>
      <w:t>2</w:t>
    </w:r>
    <w:r>
      <w:rPr>
        <w:rStyle w:val="PageNumber"/>
      </w:rPr>
      <w:fldChar w:fldCharType="end"/>
    </w:r>
  </w:p>
  <w:p w:rsidR="00D654A0" w:rsidRDefault="00D654A0">
    <w:pPr>
      <w:pStyle w:val="Footer"/>
      <w:tabs>
        <w:tab w:val="right" w:pos="10584"/>
      </w:tabs>
      <w:jc w:val="left"/>
    </w:pPr>
    <w:r>
      <w:t>Department of Public Health</w:t>
    </w:r>
    <w:r>
      <w:tab/>
      <w:t>Health and Hospitals</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C3771A">
    <w:pPr>
      <w:pStyle w:val="Footer"/>
      <w:framePr w:wrap="around" w:vAnchor="text" w:hAnchor="margin" w:xAlign="center" w:y="1"/>
      <w:rPr>
        <w:rStyle w:val="PageNumber"/>
      </w:rPr>
    </w:pPr>
    <w:r>
      <w:rPr>
        <w:rStyle w:val="PageNumber"/>
      </w:rPr>
      <w:fldChar w:fldCharType="begin"/>
    </w:r>
    <w:r w:rsidR="00D654A0">
      <w:rPr>
        <w:rStyle w:val="PageNumber"/>
      </w:rPr>
      <w:instrText xml:space="preserve">PAGE  </w:instrText>
    </w:r>
    <w:r>
      <w:rPr>
        <w:rStyle w:val="PageNumber"/>
      </w:rPr>
      <w:fldChar w:fldCharType="separate"/>
    </w:r>
    <w:r w:rsidR="00D654A0">
      <w:rPr>
        <w:rStyle w:val="PageNumber"/>
        <w:noProof/>
      </w:rPr>
      <w:t>5</w:t>
    </w:r>
    <w:r>
      <w:rPr>
        <w:rStyle w:val="PageNumber"/>
      </w:rPr>
      <w:fldChar w:fldCharType="end"/>
    </w:r>
  </w:p>
  <w:p w:rsidR="00D654A0" w:rsidRDefault="00D654A0">
    <w:pPr>
      <w:pStyle w:val="Footer"/>
      <w:tabs>
        <w:tab w:val="right" w:pos="10530"/>
      </w:tabs>
      <w:jc w:val="both"/>
    </w:pPr>
    <w:r>
      <w:t>Health and Hospitals</w:t>
    </w:r>
    <w:r>
      <w:tab/>
      <w:t>Department of Public Health</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Footer"/>
      <w:jc w:val="both"/>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C3771A">
    <w:pPr>
      <w:pStyle w:val="Footer"/>
      <w:framePr w:wrap="around" w:vAnchor="text" w:hAnchor="margin" w:xAlign="center" w:y="1"/>
      <w:rPr>
        <w:rStyle w:val="PageNumber"/>
      </w:rPr>
    </w:pPr>
    <w:r>
      <w:rPr>
        <w:rStyle w:val="PageNumber"/>
      </w:rPr>
      <w:fldChar w:fldCharType="begin"/>
    </w:r>
    <w:r w:rsidR="00D654A0">
      <w:rPr>
        <w:rStyle w:val="PageNumber"/>
      </w:rPr>
      <w:instrText xml:space="preserve">PAGE  </w:instrText>
    </w:r>
    <w:r>
      <w:rPr>
        <w:rStyle w:val="PageNumber"/>
      </w:rPr>
      <w:fldChar w:fldCharType="separate"/>
    </w:r>
    <w:r w:rsidR="006B2E71">
      <w:rPr>
        <w:rStyle w:val="PageNumber"/>
        <w:noProof/>
      </w:rPr>
      <w:t>5</w:t>
    </w:r>
    <w:r>
      <w:rPr>
        <w:rStyle w:val="PageNumber"/>
      </w:rPr>
      <w:fldChar w:fldCharType="end"/>
    </w:r>
  </w:p>
  <w:p w:rsidR="00D654A0" w:rsidRDefault="00D654A0">
    <w:pPr>
      <w:pStyle w:val="Footer"/>
      <w:tabs>
        <w:tab w:val="right" w:pos="10530"/>
      </w:tabs>
      <w:jc w:val="both"/>
    </w:pPr>
    <w:r>
      <w:t>Health and Hospitals</w:t>
    </w:r>
    <w:r>
      <w:tab/>
      <w:t>Department of Public Health</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C3771A">
    <w:pPr>
      <w:pStyle w:val="Footer"/>
      <w:framePr w:wrap="around" w:vAnchor="text" w:hAnchor="margin" w:xAlign="center" w:y="1"/>
      <w:rPr>
        <w:rStyle w:val="PageNumber"/>
      </w:rPr>
    </w:pPr>
    <w:r>
      <w:rPr>
        <w:rStyle w:val="PageNumber"/>
      </w:rPr>
      <w:fldChar w:fldCharType="begin"/>
    </w:r>
    <w:r w:rsidR="00D654A0">
      <w:rPr>
        <w:rStyle w:val="PageNumber"/>
      </w:rPr>
      <w:instrText xml:space="preserve">PAGE  </w:instrText>
    </w:r>
    <w:r>
      <w:rPr>
        <w:rStyle w:val="PageNumber"/>
      </w:rPr>
      <w:fldChar w:fldCharType="separate"/>
    </w:r>
    <w:r w:rsidR="006B2E71">
      <w:rPr>
        <w:rStyle w:val="PageNumber"/>
        <w:noProof/>
      </w:rPr>
      <w:t>1</w:t>
    </w:r>
    <w:r>
      <w:rPr>
        <w:rStyle w:val="PageNumber"/>
      </w:rPr>
      <w:fldChar w:fldCharType="end"/>
    </w:r>
  </w:p>
  <w:p w:rsidR="00D654A0" w:rsidRDefault="00D654A0">
    <w:pPr>
      <w:pStyle w:val="Footer"/>
      <w:tabs>
        <w:tab w:val="right" w:pos="10584"/>
      </w:tabs>
      <w:jc w:val="both"/>
    </w:pPr>
    <w:r>
      <w:t>Health and Hospitals</w:t>
    </w:r>
    <w:r>
      <w:tab/>
      <w:t>Department of Public Health</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Footer"/>
      <w:jc w:val="both"/>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Footer"/>
      <w:jc w:val="both"/>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Footer"/>
      <w:jc w:val="both"/>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Footer"/>
      <w:jc w:val="both"/>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Footer"/>
      <w:jc w:val="both"/>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Footer"/>
      <w:jc w:val="both"/>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C3771A">
    <w:pPr>
      <w:pStyle w:val="Footer"/>
      <w:framePr w:wrap="around" w:vAnchor="text" w:hAnchor="margin" w:xAlign="center" w:y="1"/>
      <w:rPr>
        <w:rStyle w:val="PageNumber"/>
      </w:rPr>
    </w:pPr>
    <w:r>
      <w:rPr>
        <w:rStyle w:val="PageNumber"/>
      </w:rPr>
      <w:fldChar w:fldCharType="begin"/>
    </w:r>
    <w:r w:rsidR="00D654A0">
      <w:rPr>
        <w:rStyle w:val="PageNumber"/>
      </w:rPr>
      <w:instrText xml:space="preserve">PAGE  </w:instrText>
    </w:r>
    <w:r>
      <w:rPr>
        <w:rStyle w:val="PageNumber"/>
      </w:rPr>
      <w:fldChar w:fldCharType="separate"/>
    </w:r>
    <w:r w:rsidR="00D654A0">
      <w:rPr>
        <w:rStyle w:val="PageNumber"/>
        <w:noProof/>
      </w:rPr>
      <w:t>3</w:t>
    </w:r>
    <w:r>
      <w:rPr>
        <w:rStyle w:val="PageNumber"/>
      </w:rPr>
      <w:fldChar w:fldCharType="end"/>
    </w:r>
  </w:p>
  <w:p w:rsidR="00D654A0" w:rsidRDefault="00D654A0">
    <w:pPr>
      <w:pStyle w:val="Footer"/>
      <w:tabs>
        <w:tab w:val="right" w:pos="10530"/>
      </w:tabs>
      <w:jc w:val="both"/>
    </w:pPr>
    <w:r>
      <w:t>Health and Hospitals</w:t>
    </w:r>
    <w:r>
      <w:tab/>
      <w:t>Department of Public Health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4A0" w:rsidRDefault="00D654A0">
      <w:r>
        <w:separator/>
      </w:r>
    </w:p>
  </w:footnote>
  <w:footnote w:type="continuationSeparator" w:id="0">
    <w:p w:rsidR="00D654A0" w:rsidRDefault="00D654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Header"/>
      <w:jc w:val="left"/>
    </w:pPr>
    <w:r>
      <w:t>Budget-in-Detail</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Header"/>
      <w:jc w:val="right"/>
    </w:pPr>
    <w:r>
      <w:t>Budget-in-Detail</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Header"/>
      <w:jc w:val="right"/>
    </w:pPr>
    <w:r>
      <w:t xml:space="preserve">Budget-in-Detail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Header"/>
      <w:jc w:val="right"/>
    </w:pPr>
    <w:r>
      <w:t>Budget-in-Detail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Header"/>
      <w:jc w:val="right"/>
    </w:pPr>
    <w:r>
      <w:t xml:space="preserve">Budget-in-Detail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Header"/>
    </w:pPr>
    <w: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Header"/>
    </w:pPr>
    <w:r>
      <w:t xml:space="preserv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A0" w:rsidRDefault="00D654A0">
    <w:pPr>
      <w:pStyle w:val="Header"/>
      <w:jc w:val="righ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2174"/>
    <w:multiLevelType w:val="hybridMultilevel"/>
    <w:tmpl w:val="482C3DE0"/>
    <w:lvl w:ilvl="0" w:tplc="CE32CDA2">
      <w:start w:val="1"/>
      <w:numFmt w:val="bullet"/>
      <w:lvlText w:val=""/>
      <w:lvlJc w:val="left"/>
      <w:pPr>
        <w:ind w:left="360" w:hanging="360"/>
      </w:pPr>
      <w:rPr>
        <w:rFonts w:ascii="Symbol" w:hAnsi="Symbol" w:hint="default"/>
        <w:color w:val="002D86"/>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66300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F26C58"/>
    <w:multiLevelType w:val="multilevel"/>
    <w:tmpl w:val="FFFFFFFF"/>
    <w:lvl w:ilvl="0">
      <w:start w:val="1"/>
      <w:numFmt w:val="bullet"/>
      <w:lvlText w:val=""/>
      <w:lvlJc w:val="left"/>
      <w:pPr>
        <w:ind w:left="360" w:hanging="360"/>
      </w:pPr>
      <w:rPr>
        <w:rFonts w:ascii="Symbol" w:hAnsi="Symbol" w:hint="default"/>
        <w:b/>
        <w:bCs/>
        <w:color w:val="003399"/>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62C3C2E"/>
    <w:multiLevelType w:val="hybridMultilevel"/>
    <w:tmpl w:val="FB54802E"/>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556486"/>
    <w:multiLevelType w:val="multilevel"/>
    <w:tmpl w:val="FFFFFFFF"/>
    <w:lvl w:ilvl="0">
      <w:start w:val="1"/>
      <w:numFmt w:val="bullet"/>
      <w:lvlText w:val=""/>
      <w:lvlJc w:val="left"/>
      <w:pPr>
        <w:ind w:left="360" w:hanging="360"/>
      </w:pPr>
      <w:rPr>
        <w:rFonts w:ascii="Symbol" w:hAnsi="Symbol" w:hint="default"/>
        <w:b/>
        <w:bCs/>
        <w:color w:val="003399"/>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951D3D"/>
    <w:multiLevelType w:val="hybridMultilevel"/>
    <w:tmpl w:val="A7BA1C6C"/>
    <w:lvl w:ilvl="0" w:tplc="F8BE15E4">
      <w:start w:val="1"/>
      <w:numFmt w:val="bullet"/>
      <w:lvlText w:val=""/>
      <w:lvlJc w:val="left"/>
      <w:pPr>
        <w:ind w:left="504" w:hanging="360"/>
      </w:pPr>
      <w:rPr>
        <w:rFonts w:ascii="Symbol" w:hAnsi="Symbol" w:hint="default"/>
        <w:color w:val="002D86"/>
        <w:sz w:val="18"/>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
    <w:nsid w:val="2A8F6117"/>
    <w:multiLevelType w:val="multilevel"/>
    <w:tmpl w:val="EAA67C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nsid w:val="440E044E"/>
    <w:multiLevelType w:val="hybridMultilevel"/>
    <w:tmpl w:val="8EF4B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C17416"/>
    <w:multiLevelType w:val="hybridMultilevel"/>
    <w:tmpl w:val="8EF4B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8C60E6"/>
    <w:multiLevelType w:val="hybridMultilevel"/>
    <w:tmpl w:val="27F8D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F657A3"/>
    <w:multiLevelType w:val="singleLevel"/>
    <w:tmpl w:val="070A5ECA"/>
    <w:lvl w:ilvl="0">
      <w:start w:val="1"/>
      <w:numFmt w:val="bullet"/>
      <w:lvlText w:val=""/>
      <w:lvlJc w:val="left"/>
      <w:pPr>
        <w:tabs>
          <w:tab w:val="num" w:pos="360"/>
        </w:tabs>
        <w:ind w:left="360" w:hanging="360"/>
      </w:pPr>
      <w:rPr>
        <w:rFonts w:ascii="Symbol" w:hAnsi="Symbol" w:hint="default"/>
        <w:b w:val="0"/>
        <w:i w:val="0"/>
        <w:sz w:val="24"/>
      </w:rPr>
    </w:lvl>
  </w:abstractNum>
  <w:abstractNum w:abstractNumId="13">
    <w:nsid w:val="7D17300E"/>
    <w:multiLevelType w:val="hybridMultilevel"/>
    <w:tmpl w:val="87182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10"/>
  </w:num>
  <w:num w:numId="4">
    <w:abstractNumId w:val="4"/>
  </w:num>
  <w:num w:numId="5">
    <w:abstractNumId w:val="2"/>
  </w:num>
  <w:num w:numId="6">
    <w:abstractNumId w:val="10"/>
  </w:num>
  <w:num w:numId="7">
    <w:abstractNumId w:val="12"/>
  </w:num>
  <w:num w:numId="8">
    <w:abstractNumId w:val="2"/>
  </w:num>
  <w:num w:numId="9">
    <w:abstractNumId w:val="10"/>
  </w:num>
  <w:num w:numId="10">
    <w:abstractNumId w:val="12"/>
  </w:num>
  <w:num w:numId="11">
    <w:abstractNumId w:val="2"/>
  </w:num>
  <w:num w:numId="12">
    <w:abstractNumId w:val="10"/>
  </w:num>
  <w:num w:numId="13">
    <w:abstractNumId w:val="0"/>
  </w:num>
  <w:num w:numId="14">
    <w:abstractNumId w:val="3"/>
  </w:num>
  <w:num w:numId="15">
    <w:abstractNumId w:val="5"/>
  </w:num>
  <w:num w:numId="16">
    <w:abstractNumId w:val="6"/>
  </w:num>
  <w:num w:numId="17">
    <w:abstractNumId w:val="13"/>
  </w:num>
  <w:num w:numId="18">
    <w:abstractNumId w:val="11"/>
  </w:num>
  <w:num w:numId="19">
    <w:abstractNumId w:val="9"/>
  </w:num>
  <w:num w:numId="20">
    <w:abstractNumId w:val="8"/>
  </w:num>
  <w:num w:numId="21">
    <w:abstractNumId w:val="2"/>
  </w:num>
  <w:num w:numId="22">
    <w:abstractNumId w:val="10"/>
  </w:num>
  <w:num w:numId="23">
    <w:abstractNumId w:val="7"/>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288"/>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E3D2F"/>
    <w:rsid w:val="00006E67"/>
    <w:rsid w:val="000239B1"/>
    <w:rsid w:val="000433A7"/>
    <w:rsid w:val="00070F98"/>
    <w:rsid w:val="000928A3"/>
    <w:rsid w:val="001046AC"/>
    <w:rsid w:val="00112C61"/>
    <w:rsid w:val="0012425D"/>
    <w:rsid w:val="001449DD"/>
    <w:rsid w:val="001962E1"/>
    <w:rsid w:val="00207026"/>
    <w:rsid w:val="0021121A"/>
    <w:rsid w:val="00234B4B"/>
    <w:rsid w:val="00247F52"/>
    <w:rsid w:val="002671B1"/>
    <w:rsid w:val="002766E4"/>
    <w:rsid w:val="00280AF4"/>
    <w:rsid w:val="00286EAD"/>
    <w:rsid w:val="002F545A"/>
    <w:rsid w:val="002F6014"/>
    <w:rsid w:val="003429EF"/>
    <w:rsid w:val="0035560F"/>
    <w:rsid w:val="003772AF"/>
    <w:rsid w:val="00384CC6"/>
    <w:rsid w:val="003A258F"/>
    <w:rsid w:val="003C436B"/>
    <w:rsid w:val="003D1485"/>
    <w:rsid w:val="003D5F80"/>
    <w:rsid w:val="003E4524"/>
    <w:rsid w:val="00404F88"/>
    <w:rsid w:val="004128CF"/>
    <w:rsid w:val="00423B2B"/>
    <w:rsid w:val="00436419"/>
    <w:rsid w:val="00473EDC"/>
    <w:rsid w:val="00496DEB"/>
    <w:rsid w:val="004A06EB"/>
    <w:rsid w:val="004D04C4"/>
    <w:rsid w:val="004E3D2F"/>
    <w:rsid w:val="00501896"/>
    <w:rsid w:val="0052417C"/>
    <w:rsid w:val="00540C3E"/>
    <w:rsid w:val="0054296B"/>
    <w:rsid w:val="00595343"/>
    <w:rsid w:val="005B2D2B"/>
    <w:rsid w:val="005B59DB"/>
    <w:rsid w:val="005D3149"/>
    <w:rsid w:val="005D3EFB"/>
    <w:rsid w:val="005F3482"/>
    <w:rsid w:val="00606CC7"/>
    <w:rsid w:val="00624A39"/>
    <w:rsid w:val="00626A14"/>
    <w:rsid w:val="0063760E"/>
    <w:rsid w:val="006806C8"/>
    <w:rsid w:val="006B2E71"/>
    <w:rsid w:val="006E7313"/>
    <w:rsid w:val="00731100"/>
    <w:rsid w:val="00747561"/>
    <w:rsid w:val="00784815"/>
    <w:rsid w:val="007C260E"/>
    <w:rsid w:val="007D6E66"/>
    <w:rsid w:val="007E042E"/>
    <w:rsid w:val="0086091B"/>
    <w:rsid w:val="008977C4"/>
    <w:rsid w:val="008A7CB0"/>
    <w:rsid w:val="008B16FD"/>
    <w:rsid w:val="008B2158"/>
    <w:rsid w:val="008E14BB"/>
    <w:rsid w:val="008E43AA"/>
    <w:rsid w:val="009060A5"/>
    <w:rsid w:val="00934CC9"/>
    <w:rsid w:val="00942C22"/>
    <w:rsid w:val="009C610B"/>
    <w:rsid w:val="00A11B34"/>
    <w:rsid w:val="00A304B2"/>
    <w:rsid w:val="00A45467"/>
    <w:rsid w:val="00A46EBD"/>
    <w:rsid w:val="00A567BC"/>
    <w:rsid w:val="00A61300"/>
    <w:rsid w:val="00A77E04"/>
    <w:rsid w:val="00A867C2"/>
    <w:rsid w:val="00A95EC8"/>
    <w:rsid w:val="00AB759F"/>
    <w:rsid w:val="00AF3A2D"/>
    <w:rsid w:val="00AF52D6"/>
    <w:rsid w:val="00B10764"/>
    <w:rsid w:val="00B27B38"/>
    <w:rsid w:val="00B60810"/>
    <w:rsid w:val="00B66F60"/>
    <w:rsid w:val="00B912C9"/>
    <w:rsid w:val="00B93DA1"/>
    <w:rsid w:val="00BA3163"/>
    <w:rsid w:val="00BA7F12"/>
    <w:rsid w:val="00BB55E3"/>
    <w:rsid w:val="00BC547F"/>
    <w:rsid w:val="00BF15AF"/>
    <w:rsid w:val="00C04B14"/>
    <w:rsid w:val="00C35941"/>
    <w:rsid w:val="00C3771A"/>
    <w:rsid w:val="00C408AD"/>
    <w:rsid w:val="00C43248"/>
    <w:rsid w:val="00C439B6"/>
    <w:rsid w:val="00C62BF4"/>
    <w:rsid w:val="00CB648F"/>
    <w:rsid w:val="00D243D5"/>
    <w:rsid w:val="00D47D39"/>
    <w:rsid w:val="00D50E04"/>
    <w:rsid w:val="00D52226"/>
    <w:rsid w:val="00D52A37"/>
    <w:rsid w:val="00D543B0"/>
    <w:rsid w:val="00D654A0"/>
    <w:rsid w:val="00D73D09"/>
    <w:rsid w:val="00D777C7"/>
    <w:rsid w:val="00D86BBA"/>
    <w:rsid w:val="00DA4F02"/>
    <w:rsid w:val="00DB2964"/>
    <w:rsid w:val="00DD4B8A"/>
    <w:rsid w:val="00DF5CC0"/>
    <w:rsid w:val="00E05B96"/>
    <w:rsid w:val="00E46BD4"/>
    <w:rsid w:val="00E50489"/>
    <w:rsid w:val="00EC5DE6"/>
    <w:rsid w:val="00EE350A"/>
    <w:rsid w:val="00EE491D"/>
    <w:rsid w:val="00F0565A"/>
    <w:rsid w:val="00F14D9B"/>
    <w:rsid w:val="00F245D2"/>
    <w:rsid w:val="00F44FC5"/>
    <w:rsid w:val="00F57F18"/>
    <w:rsid w:val="00F72FE6"/>
    <w:rsid w:val="00FB4BDE"/>
    <w:rsid w:val="00FC2EED"/>
    <w:rsid w:val="00FE255F"/>
    <w:rsid w:val="00FF26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6C8"/>
    <w:pPr>
      <w:spacing w:after="40"/>
      <w:jc w:val="both"/>
    </w:pPr>
    <w:rPr>
      <w:rFonts w:ascii="Calibri" w:hAnsi="Calibri"/>
      <w:sz w:val="18"/>
    </w:rPr>
  </w:style>
  <w:style w:type="paragraph" w:styleId="Heading1">
    <w:name w:val="heading 1"/>
    <w:basedOn w:val="H1"/>
    <w:next w:val="Normal"/>
    <w:qFormat/>
    <w:rsid w:val="006806C8"/>
    <w:pPr>
      <w:keepNext/>
      <w:spacing w:after="60"/>
      <w:jc w:val="left"/>
      <w:outlineLvl w:val="0"/>
    </w:pPr>
    <w:rPr>
      <w:kern w:val="28"/>
    </w:rPr>
  </w:style>
  <w:style w:type="paragraph" w:styleId="Heading2">
    <w:name w:val="heading 2"/>
    <w:basedOn w:val="Normal"/>
    <w:next w:val="Normal"/>
    <w:qFormat/>
    <w:rsid w:val="006806C8"/>
    <w:pPr>
      <w:keepNext/>
      <w:spacing w:before="80" w:after="0"/>
      <w:outlineLvl w:val="1"/>
    </w:pPr>
    <w:rPr>
      <w:b/>
      <w:i/>
      <w:color w:val="002D86"/>
      <w:sz w:val="20"/>
    </w:rPr>
  </w:style>
  <w:style w:type="paragraph" w:styleId="Heading3">
    <w:name w:val="heading 3"/>
    <w:basedOn w:val="Normal"/>
    <w:next w:val="Normal"/>
    <w:link w:val="Heading3Char"/>
    <w:qFormat/>
    <w:rsid w:val="006806C8"/>
    <w:pPr>
      <w:keepNext/>
      <w:spacing w:after="60"/>
      <w:jc w:val="center"/>
      <w:outlineLvl w:val="2"/>
    </w:pPr>
    <w:rPr>
      <w:b/>
    </w:rPr>
  </w:style>
  <w:style w:type="paragraph" w:styleId="Heading4">
    <w:name w:val="heading 4"/>
    <w:basedOn w:val="Heading3"/>
    <w:next w:val="Normal"/>
    <w:link w:val="Heading4Char"/>
    <w:qFormat/>
    <w:rsid w:val="00D654A0"/>
    <w:pPr>
      <w:spacing w:before="120" w:after="0"/>
      <w:jc w:val="left"/>
      <w:outlineLvl w:val="3"/>
    </w:pPr>
    <w:rPr>
      <w:b w:val="0"/>
      <w:i/>
    </w:rPr>
  </w:style>
  <w:style w:type="paragraph" w:styleId="Heading5">
    <w:name w:val="heading 5"/>
    <w:basedOn w:val="Normal"/>
    <w:next w:val="Normal"/>
    <w:qFormat/>
    <w:rsid w:val="006806C8"/>
    <w:pPr>
      <w:spacing w:before="240" w:after="60"/>
      <w:outlineLvl w:val="4"/>
    </w:pPr>
    <w:rPr>
      <w:sz w:val="22"/>
    </w:rPr>
  </w:style>
  <w:style w:type="paragraph" w:styleId="Heading6">
    <w:name w:val="heading 6"/>
    <w:basedOn w:val="Normal"/>
    <w:next w:val="Normal"/>
    <w:qFormat/>
    <w:rsid w:val="006806C8"/>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6806C8"/>
    <w:pPr>
      <w:keepNext/>
      <w:outlineLvl w:val="6"/>
    </w:pPr>
    <w:rPr>
      <w:b/>
      <w:u w:val="single"/>
    </w:rPr>
  </w:style>
  <w:style w:type="paragraph" w:styleId="Heading8">
    <w:name w:val="heading 8"/>
    <w:basedOn w:val="Normal"/>
    <w:next w:val="Normal"/>
    <w:qFormat/>
    <w:rsid w:val="006806C8"/>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6806C8"/>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6806C8"/>
    <w:pPr>
      <w:spacing w:after="240"/>
      <w:jc w:val="center"/>
    </w:pPr>
    <w:rPr>
      <w:rFonts w:ascii="Calibri" w:hAnsi="Calibri"/>
      <w:caps/>
      <w:noProof/>
      <w:color w:val="002D86"/>
      <w:sz w:val="40"/>
    </w:rPr>
  </w:style>
  <w:style w:type="paragraph" w:styleId="Header">
    <w:name w:val="header"/>
    <w:basedOn w:val="Normal"/>
    <w:rsid w:val="006806C8"/>
    <w:pPr>
      <w:jc w:val="center"/>
    </w:pPr>
  </w:style>
  <w:style w:type="paragraph" w:styleId="Footer">
    <w:name w:val="footer"/>
    <w:basedOn w:val="Header"/>
    <w:rsid w:val="006806C8"/>
  </w:style>
  <w:style w:type="character" w:styleId="FollowedHyperlink">
    <w:name w:val="FollowedHyperlink"/>
    <w:basedOn w:val="DefaultParagraphFont"/>
    <w:rsid w:val="006806C8"/>
    <w:rPr>
      <w:color w:val="800080"/>
      <w:u w:val="single"/>
    </w:rPr>
  </w:style>
  <w:style w:type="paragraph" w:customStyle="1" w:styleId="H2">
    <w:name w:val="H2"/>
    <w:basedOn w:val="Normal"/>
    <w:link w:val="H2Char"/>
    <w:rsid w:val="006806C8"/>
    <w:pPr>
      <w:pBdr>
        <w:bottom w:val="single" w:sz="4" w:space="1" w:color="808080"/>
      </w:pBdr>
      <w:spacing w:before="120"/>
      <w:jc w:val="left"/>
    </w:pPr>
    <w:rPr>
      <w:caps/>
      <w:noProof/>
      <w:color w:val="002D86"/>
      <w:sz w:val="24"/>
    </w:rPr>
  </w:style>
  <w:style w:type="paragraph" w:customStyle="1" w:styleId="H3">
    <w:name w:val="H3"/>
    <w:basedOn w:val="Heading3"/>
    <w:next w:val="Normal"/>
    <w:rsid w:val="006806C8"/>
  </w:style>
  <w:style w:type="paragraph" w:customStyle="1" w:styleId="H4">
    <w:name w:val="H4"/>
    <w:basedOn w:val="Normal"/>
    <w:next w:val="Normal"/>
    <w:rsid w:val="006806C8"/>
    <w:pPr>
      <w:spacing w:before="80"/>
      <w:jc w:val="left"/>
    </w:pPr>
    <w:rPr>
      <w:caps/>
      <w:color w:val="002291"/>
      <w:sz w:val="20"/>
    </w:rPr>
  </w:style>
  <w:style w:type="paragraph" w:customStyle="1" w:styleId="H5">
    <w:name w:val="H5"/>
    <w:basedOn w:val="Heading5"/>
    <w:next w:val="Normal"/>
    <w:rsid w:val="006806C8"/>
  </w:style>
  <w:style w:type="paragraph" w:customStyle="1" w:styleId="H6">
    <w:name w:val="H6"/>
    <w:rsid w:val="006806C8"/>
    <w:pPr>
      <w:spacing w:before="60" w:after="60"/>
    </w:pPr>
    <w:rPr>
      <w:rFonts w:ascii="AvantGarde" w:hAnsi="AvantGarde"/>
      <w:smallCaps/>
      <w:noProof/>
      <w:color w:val="000080"/>
      <w:sz w:val="24"/>
    </w:rPr>
  </w:style>
  <w:style w:type="paragraph" w:customStyle="1" w:styleId="H7">
    <w:name w:val="H7"/>
    <w:basedOn w:val="Normal"/>
    <w:rsid w:val="006806C8"/>
    <w:rPr>
      <w:sz w:val="16"/>
    </w:rPr>
  </w:style>
  <w:style w:type="character" w:styleId="Hyperlink">
    <w:name w:val="Hyperlink"/>
    <w:basedOn w:val="DefaultParagraphFont"/>
    <w:rsid w:val="006806C8"/>
    <w:rPr>
      <w:rFonts w:ascii="Calibri" w:hAnsi="Calibri"/>
      <w:color w:val="17365D"/>
      <w:sz w:val="18"/>
      <w:u w:val="single"/>
    </w:rPr>
  </w:style>
  <w:style w:type="character" w:styleId="PageNumber">
    <w:name w:val="page number"/>
    <w:basedOn w:val="DefaultParagraphFont"/>
    <w:rsid w:val="006806C8"/>
    <w:rPr>
      <w:rFonts w:ascii="Trebuchet MS" w:hAnsi="Trebuchet MS"/>
      <w:sz w:val="16"/>
    </w:rPr>
  </w:style>
  <w:style w:type="paragraph" w:customStyle="1" w:styleId="ProgramHead">
    <w:name w:val="ProgramHead"/>
    <w:basedOn w:val="H2"/>
    <w:rsid w:val="006806C8"/>
    <w:pPr>
      <w:pBdr>
        <w:bottom w:val="single" w:sz="2" w:space="1" w:color="BFBFBF"/>
      </w:pBdr>
      <w:spacing w:after="0"/>
    </w:pPr>
  </w:style>
  <w:style w:type="paragraph" w:customStyle="1" w:styleId="SubProgramHead">
    <w:name w:val="SubProgramHead"/>
    <w:basedOn w:val="ProgramHead"/>
    <w:rsid w:val="006806C8"/>
    <w:pPr>
      <w:jc w:val="center"/>
    </w:pPr>
  </w:style>
  <w:style w:type="character" w:styleId="Strong">
    <w:name w:val="Strong"/>
    <w:basedOn w:val="DefaultParagraphFont"/>
    <w:qFormat/>
    <w:rsid w:val="006806C8"/>
    <w:rPr>
      <w:b/>
      <w:bCs/>
    </w:rPr>
  </w:style>
  <w:style w:type="paragraph" w:styleId="BodyText">
    <w:name w:val="Body Text"/>
    <w:basedOn w:val="Normal"/>
    <w:rsid w:val="006806C8"/>
    <w:pPr>
      <w:ind w:right="-54"/>
    </w:pPr>
  </w:style>
  <w:style w:type="character" w:styleId="CommentReference">
    <w:name w:val="annotation reference"/>
    <w:basedOn w:val="DefaultParagraphFont"/>
    <w:semiHidden/>
    <w:rsid w:val="006806C8"/>
    <w:rPr>
      <w:sz w:val="16"/>
      <w:szCs w:val="16"/>
    </w:rPr>
  </w:style>
  <w:style w:type="paragraph" w:styleId="BalloonText">
    <w:name w:val="Balloon Text"/>
    <w:basedOn w:val="Normal"/>
    <w:semiHidden/>
    <w:rsid w:val="006806C8"/>
    <w:rPr>
      <w:rFonts w:ascii="Tahoma" w:hAnsi="Tahoma" w:cs="Tahoma"/>
      <w:szCs w:val="16"/>
    </w:rPr>
  </w:style>
  <w:style w:type="paragraph" w:styleId="Title">
    <w:name w:val="Title"/>
    <w:basedOn w:val="Normal"/>
    <w:qFormat/>
    <w:rsid w:val="00B912C9"/>
    <w:pPr>
      <w:spacing w:before="100" w:beforeAutospacing="1" w:after="100" w:afterAutospacing="1"/>
      <w:jc w:val="left"/>
    </w:pPr>
    <w:rPr>
      <w:rFonts w:ascii="Times New Roman" w:hAnsi="Times New Roman"/>
      <w:sz w:val="24"/>
      <w:szCs w:val="24"/>
    </w:rPr>
  </w:style>
  <w:style w:type="paragraph" w:styleId="NormalWeb">
    <w:name w:val="Normal (Web)"/>
    <w:basedOn w:val="Normal"/>
    <w:rsid w:val="006806C8"/>
    <w:pPr>
      <w:spacing w:before="100" w:beforeAutospacing="1" w:after="100" w:afterAutospacing="1"/>
      <w:jc w:val="left"/>
    </w:pPr>
    <w:rPr>
      <w:rFonts w:ascii="Times New Roman" w:hAnsi="Times New Roman"/>
      <w:sz w:val="24"/>
      <w:szCs w:val="24"/>
    </w:rPr>
  </w:style>
  <w:style w:type="paragraph" w:styleId="CommentText">
    <w:name w:val="annotation text"/>
    <w:basedOn w:val="Normal"/>
    <w:semiHidden/>
    <w:rsid w:val="006806C8"/>
    <w:rPr>
      <w:sz w:val="20"/>
    </w:rPr>
  </w:style>
  <w:style w:type="character" w:customStyle="1" w:styleId="H1Char">
    <w:name w:val="H1 Char"/>
    <w:basedOn w:val="DefaultParagraphFont"/>
    <w:link w:val="H1"/>
    <w:rsid w:val="00B912C9"/>
    <w:rPr>
      <w:rFonts w:ascii="Calibri" w:hAnsi="Calibri"/>
      <w:caps/>
      <w:noProof/>
      <w:color w:val="002D86"/>
      <w:sz w:val="40"/>
      <w:lang w:val="en-US" w:eastAsia="en-US" w:bidi="ar-SA"/>
    </w:rPr>
  </w:style>
  <w:style w:type="character" w:customStyle="1" w:styleId="H2Char">
    <w:name w:val="H2 Char"/>
    <w:basedOn w:val="H1Char"/>
    <w:link w:val="H2"/>
    <w:rsid w:val="00B912C9"/>
    <w:rPr>
      <w:sz w:val="24"/>
    </w:rPr>
  </w:style>
  <w:style w:type="paragraph" w:customStyle="1" w:styleId="H7b0">
    <w:name w:val="H7b"/>
    <w:basedOn w:val="H7"/>
    <w:rsid w:val="006806C8"/>
    <w:pPr>
      <w:jc w:val="right"/>
      <w:outlineLvl w:val="0"/>
    </w:pPr>
    <w:rPr>
      <w:rFonts w:ascii="Arial" w:hAnsi="Arial"/>
    </w:rPr>
  </w:style>
  <w:style w:type="paragraph" w:customStyle="1" w:styleId="H7B">
    <w:name w:val="H7B"/>
    <w:basedOn w:val="H7"/>
    <w:rsid w:val="006806C8"/>
    <w:pPr>
      <w:numPr>
        <w:numId w:val="21"/>
      </w:numPr>
      <w:tabs>
        <w:tab w:val="left" w:pos="144"/>
      </w:tabs>
    </w:pPr>
    <w:rPr>
      <w:b/>
      <w:sz w:val="18"/>
    </w:rPr>
  </w:style>
  <w:style w:type="paragraph" w:customStyle="1" w:styleId="NormalB">
    <w:name w:val="NormalB"/>
    <w:basedOn w:val="Normal"/>
    <w:rsid w:val="006806C8"/>
    <w:pPr>
      <w:numPr>
        <w:numId w:val="22"/>
      </w:numPr>
      <w:tabs>
        <w:tab w:val="left" w:pos="144"/>
      </w:tabs>
    </w:pPr>
  </w:style>
  <w:style w:type="paragraph" w:customStyle="1" w:styleId="SubprogramHead0">
    <w:name w:val="SubprogramHead"/>
    <w:basedOn w:val="Heading2"/>
    <w:rsid w:val="006806C8"/>
    <w:pPr>
      <w:spacing w:before="40"/>
    </w:pPr>
  </w:style>
  <w:style w:type="paragraph" w:styleId="BodyText2">
    <w:name w:val="Body Text 2"/>
    <w:basedOn w:val="Normal"/>
    <w:rsid w:val="006806C8"/>
    <w:rPr>
      <w:kern w:val="16"/>
      <w:sz w:val="16"/>
    </w:rPr>
  </w:style>
  <w:style w:type="paragraph" w:styleId="BodyTextIndent">
    <w:name w:val="Body Text Indent"/>
    <w:basedOn w:val="Normal"/>
    <w:rsid w:val="006806C8"/>
    <w:pPr>
      <w:ind w:left="720"/>
    </w:pPr>
  </w:style>
  <w:style w:type="paragraph" w:styleId="DocumentMap">
    <w:name w:val="Document Map"/>
    <w:basedOn w:val="Normal"/>
    <w:semiHidden/>
    <w:rsid w:val="006806C8"/>
    <w:pPr>
      <w:shd w:val="clear" w:color="auto" w:fill="000080"/>
    </w:pPr>
    <w:rPr>
      <w:rFonts w:ascii="Tahoma" w:hAnsi="Tahoma" w:cs="Tahoma"/>
    </w:rPr>
  </w:style>
  <w:style w:type="character" w:customStyle="1" w:styleId="H4Char">
    <w:name w:val="H4 Char"/>
    <w:basedOn w:val="DefaultParagraphFont"/>
    <w:rsid w:val="00B912C9"/>
    <w:rPr>
      <w:rFonts w:ascii="Calibri" w:hAnsi="Calibri"/>
      <w:caps/>
    </w:rPr>
  </w:style>
  <w:style w:type="character" w:customStyle="1" w:styleId="Heading3Char">
    <w:name w:val="Heading 3 Char"/>
    <w:basedOn w:val="DefaultParagraphFont"/>
    <w:link w:val="Heading3"/>
    <w:rsid w:val="00B912C9"/>
    <w:rPr>
      <w:rFonts w:ascii="Calibri" w:hAnsi="Calibri"/>
      <w:b/>
      <w:sz w:val="18"/>
    </w:rPr>
  </w:style>
  <w:style w:type="character" w:customStyle="1" w:styleId="Heading4Char">
    <w:name w:val="Heading 4 Char"/>
    <w:basedOn w:val="Heading3Char"/>
    <w:link w:val="Heading4"/>
    <w:rsid w:val="00D654A0"/>
    <w:rPr>
      <w:i/>
    </w:rPr>
  </w:style>
  <w:style w:type="paragraph" w:styleId="BodyText3">
    <w:name w:val="Body Text 3"/>
    <w:basedOn w:val="Normal"/>
    <w:link w:val="BodyText3Char"/>
    <w:rsid w:val="006806C8"/>
    <w:pPr>
      <w:spacing w:after="120"/>
    </w:pPr>
  </w:style>
  <w:style w:type="character" w:customStyle="1" w:styleId="BodyText3Char">
    <w:name w:val="Body Text 3 Char"/>
    <w:basedOn w:val="DefaultParagraphFont"/>
    <w:link w:val="BodyText3"/>
    <w:rsid w:val="00B912C9"/>
    <w:rPr>
      <w:rFonts w:ascii="Calibri" w:hAnsi="Calibri"/>
      <w:sz w:val="18"/>
    </w:rPr>
  </w:style>
  <w:style w:type="paragraph" w:customStyle="1" w:styleId="Bullets">
    <w:name w:val="Bullets"/>
    <w:basedOn w:val="Normal"/>
    <w:rsid w:val="006806C8"/>
    <w:pPr>
      <w:spacing w:before="40"/>
      <w:jc w:val="left"/>
    </w:pPr>
    <w:rPr>
      <w:rFonts w:ascii="Times New Roman" w:hAnsi="Times New Roman"/>
      <w:sz w:val="22"/>
    </w:rPr>
  </w:style>
  <w:style w:type="paragraph" w:customStyle="1" w:styleId="H4Blue">
    <w:name w:val="H4Blue"/>
    <w:basedOn w:val="H4"/>
    <w:qFormat/>
    <w:rsid w:val="006806C8"/>
    <w:rPr>
      <w:color w:val="002D86"/>
    </w:rPr>
  </w:style>
  <w:style w:type="paragraph" w:customStyle="1" w:styleId="Heading2Green">
    <w:name w:val="Heading2Green"/>
    <w:basedOn w:val="Heading2"/>
    <w:qFormat/>
    <w:rsid w:val="006806C8"/>
    <w:rPr>
      <w:b w:val="0"/>
      <w:color w:val="006600"/>
    </w:rPr>
  </w:style>
  <w:style w:type="paragraph" w:customStyle="1" w:styleId="StyleHeading4">
    <w:name w:val="Style Heading 4 +"/>
    <w:basedOn w:val="Heading4"/>
    <w:rsid w:val="006806C8"/>
    <w:rPr>
      <w:bCs/>
    </w:rPr>
  </w:style>
  <w:style w:type="paragraph" w:styleId="TOC1">
    <w:name w:val="toc 1"/>
    <w:basedOn w:val="Normal"/>
    <w:next w:val="Normal"/>
    <w:autoRedefine/>
    <w:semiHidden/>
    <w:rsid w:val="006806C8"/>
    <w:rPr>
      <w:rFonts w:ascii="Verdana" w:hAnsi="Verdana"/>
    </w:rPr>
  </w:style>
  <w:style w:type="paragraph" w:customStyle="1" w:styleId="H2SubProgram">
    <w:name w:val="H2 SubProgram"/>
    <w:basedOn w:val="H2"/>
    <w:rsid w:val="006806C8"/>
    <w:pPr>
      <w:jc w:val="center"/>
    </w:pPr>
  </w:style>
  <w:style w:type="character" w:styleId="IntenseEmphasis">
    <w:name w:val="Intense Emphasis"/>
    <w:basedOn w:val="DefaultParagraphFont"/>
    <w:uiPriority w:val="21"/>
    <w:qFormat/>
    <w:rsid w:val="006806C8"/>
    <w:rPr>
      <w:b/>
      <w:bCs/>
      <w:i/>
      <w:iCs/>
      <w:color w:val="4F81BD"/>
    </w:rPr>
  </w:style>
  <w:style w:type="paragraph" w:customStyle="1" w:styleId="StyleH1Left">
    <w:name w:val="Style H1 + Left"/>
    <w:basedOn w:val="H1"/>
    <w:rsid w:val="006806C8"/>
    <w:pPr>
      <w:jc w:val="left"/>
    </w:pPr>
    <w:rPr>
      <w:color w:val="005400"/>
    </w:rPr>
  </w:style>
  <w:style w:type="table" w:styleId="TableGrid">
    <w:name w:val="Table Grid"/>
    <w:basedOn w:val="TableNormal"/>
    <w:rsid w:val="006806C8"/>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ListParagraph">
    <w:name w:val="List Paragraph"/>
    <w:basedOn w:val="Normal"/>
    <w:uiPriority w:val="34"/>
    <w:qFormat/>
    <w:rsid w:val="001962E1"/>
    <w:pPr>
      <w:ind w:left="720"/>
      <w:contextualSpacing/>
    </w:pPr>
  </w:style>
</w:styles>
</file>

<file path=word/webSettings.xml><?xml version="1.0" encoding="utf-8"?>
<w:webSettings xmlns:r="http://schemas.openxmlformats.org/officeDocument/2006/relationships" xmlns:w="http://schemas.openxmlformats.org/wordprocessingml/2006/main">
  <w:divs>
    <w:div w:id="52968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7F6BA-0005-45AA-9A67-215022DC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3922</Words>
  <Characters>25606</Characters>
  <Application>Microsoft Office Word</Application>
  <DocSecurity>0</DocSecurity>
  <Lines>213</Lines>
  <Paragraphs>58</Paragraphs>
  <ScaleCrop>false</ScaleCrop>
  <HeadingPairs>
    <vt:vector size="2" baseType="variant">
      <vt:variant>
        <vt:lpstr>Title</vt:lpstr>
      </vt:variant>
      <vt:variant>
        <vt:i4>1</vt:i4>
      </vt:variant>
    </vt:vector>
  </HeadingPairs>
  <TitlesOfParts>
    <vt:vector size="1" baseType="lpstr">
      <vt:lpstr>DHS0000X Department of Public Health  </vt:lpstr>
    </vt:vector>
  </TitlesOfParts>
  <Company>State of Connecticut</Company>
  <LinksUpToDate>false</LinksUpToDate>
  <CharactersWithSpaces>29470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DHS0000X Department of Public Health  </dc:title>
  <dc:subject/>
  <dc:creator>Mary Foran</dc:creator>
  <cp:keywords/>
  <cp:lastModifiedBy>Administrator</cp:lastModifiedBy>
  <cp:revision>22</cp:revision>
  <cp:lastPrinted>2013-01-11T18:44:00Z</cp:lastPrinted>
  <dcterms:created xsi:type="dcterms:W3CDTF">2013-01-11T16:04:00Z</dcterms:created>
  <dcterms:modified xsi:type="dcterms:W3CDTF">2013-01-31T17:07:00Z</dcterms:modified>
</cp:coreProperties>
</file>