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834" w:rsidRPr="004C4E4F" w:rsidRDefault="00F12834" w:rsidP="00F12834">
      <w:pPr>
        <w:pStyle w:val="H1"/>
      </w:pPr>
      <w:r>
        <w:drawing>
          <wp:anchor distT="0" distB="0" distL="114300" distR="114300" simplePos="0" relativeHeight="251659264" behindDoc="1" locked="1" layoutInCell="1" allowOverlap="1">
            <wp:simplePos x="0" y="0"/>
            <wp:positionH relativeFrom="column">
              <wp:posOffset>-26670</wp:posOffset>
            </wp:positionH>
            <wp:positionV relativeFrom="page">
              <wp:posOffset>328930</wp:posOffset>
            </wp:positionV>
            <wp:extent cx="865505" cy="731520"/>
            <wp:effectExtent l="19050" t="0" r="0" b="0"/>
            <wp:wrapNone/>
            <wp:docPr id="2" name="Picture 2" descr="OL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RSeal2"/>
                    <pic:cNvPicPr>
                      <a:picLocks noChangeAspect="1" noChangeArrowheads="1"/>
                    </pic:cNvPicPr>
                  </pic:nvPicPr>
                  <pic:blipFill>
                    <a:blip r:embed="rId8" cstate="print"/>
                    <a:srcRect/>
                    <a:stretch>
                      <a:fillRect/>
                    </a:stretch>
                  </pic:blipFill>
                  <pic:spPr bwMode="auto">
                    <a:xfrm>
                      <a:off x="0" y="0"/>
                      <a:ext cx="865505" cy="731520"/>
                    </a:xfrm>
                    <a:prstGeom prst="rect">
                      <a:avLst/>
                    </a:prstGeom>
                    <a:noFill/>
                    <a:ln w="9525">
                      <a:noFill/>
                      <a:miter lim="800000"/>
                      <a:headEnd/>
                      <a:tailEnd/>
                    </a:ln>
                  </pic:spPr>
                </pic:pic>
              </a:graphicData>
            </a:graphic>
          </wp:anchor>
        </w:drawing>
      </w:r>
      <w:r>
        <w:t>department of Housing</w:t>
      </w:r>
    </w:p>
    <w:p w:rsidR="00F12834" w:rsidRPr="001669B4" w:rsidRDefault="00F12834" w:rsidP="00F12834">
      <w:pPr>
        <w:spacing w:after="0"/>
        <w:jc w:val="right"/>
        <w:rPr>
          <w:rStyle w:val="Hyperlink"/>
          <w:rFonts w:eastAsiaTheme="majorEastAsia"/>
          <w:szCs w:val="16"/>
        </w:rPr>
      </w:pPr>
    </w:p>
    <w:p w:rsidR="00F12834" w:rsidRDefault="00F12834" w:rsidP="00F12834">
      <w:pPr>
        <w:pStyle w:val="H2"/>
        <w:jc w:val="both"/>
      </w:pPr>
    </w:p>
    <w:p w:rsidR="00F12834" w:rsidRPr="00883D1A" w:rsidRDefault="009A40ED" w:rsidP="009A40ED">
      <w:pPr>
        <w:pStyle w:val="H2"/>
        <w:jc w:val="left"/>
        <w:rPr>
          <w:rStyle w:val="Hyperlink"/>
          <w:rFonts w:eastAsiaTheme="majorEastAsia"/>
          <w:color w:val="auto"/>
        </w:rPr>
        <w:sectPr w:rsidR="00F12834" w:rsidRPr="00883D1A" w:rsidSect="00685034">
          <w:headerReference w:type="even" r:id="rId9"/>
          <w:headerReference w:type="default" r:id="rId10"/>
          <w:footerReference w:type="even" r:id="rId11"/>
          <w:footerReference w:type="default" r:id="rId12"/>
          <w:pgSz w:w="12240" w:h="15840" w:code="1"/>
          <w:pgMar w:top="864" w:right="720" w:bottom="864" w:left="720" w:header="432" w:footer="288" w:gutter="216"/>
          <w:cols w:space="720"/>
        </w:sectPr>
      </w:pPr>
      <w:r w:rsidRPr="00883D1A">
        <w:rPr>
          <w:rFonts w:eastAsiaTheme="minorHAnsi" w:cs="Calibri"/>
          <w:szCs w:val="24"/>
        </w:rPr>
        <w:t>AGENCY DESCRIPTION</w:t>
      </w:r>
    </w:p>
    <w:p w:rsidR="00F12834" w:rsidRDefault="00DD3074" w:rsidP="00F12834">
      <w:r>
        <w:lastRenderedPageBreak/>
        <w:t xml:space="preserve">Public Act </w:t>
      </w:r>
      <w:r w:rsidR="00F12834" w:rsidRPr="00F12834">
        <w:t>12-1</w:t>
      </w:r>
      <w:r w:rsidR="00E30DCF">
        <w:t>, June Special Session,</w:t>
      </w:r>
      <w:r w:rsidR="00F12834" w:rsidRPr="00F12834">
        <w:t xml:space="preserve"> </w:t>
      </w:r>
      <w:r>
        <w:t xml:space="preserve">established the Department of Housing </w:t>
      </w:r>
      <w:r w:rsidR="00F12834" w:rsidRPr="00F12834">
        <w:t>as the lead agency for housing-related matters in the state</w:t>
      </w:r>
      <w:r>
        <w:t>.</w:t>
      </w:r>
      <w:r w:rsidR="00F12834" w:rsidRPr="00F12834">
        <w:t xml:space="preserve"> </w:t>
      </w:r>
      <w:r>
        <w:t xml:space="preserve"> T</w:t>
      </w:r>
      <w:r w:rsidR="00F12834" w:rsidRPr="00F12834">
        <w:t xml:space="preserve">he Department of Housing will provide centralized leadership and a comprehensive approach to eliminating homelessness and meeting the housing needs of low- and moderate-income individuals, families </w:t>
      </w:r>
      <w:r w:rsidR="00F12834" w:rsidRPr="00F12834">
        <w:lastRenderedPageBreak/>
        <w:t>and communities in Connecticut for quality and sustainable housing by enhancing the supply of, and access to, safe and affordable housing and by improving the infrastructure of neighborhoods and communities.</w:t>
      </w:r>
      <w:r w:rsidR="00F12834">
        <w:rPr>
          <w:rFonts w:ascii="Times New Roman" w:eastAsiaTheme="minorHAnsi" w:hAnsi="Times New Roman"/>
          <w:color w:val="000000"/>
          <w:sz w:val="24"/>
          <w:szCs w:val="24"/>
        </w:rPr>
        <w:t xml:space="preserve">  </w:t>
      </w:r>
      <w:r w:rsidR="00F12834" w:rsidRPr="00EC750F">
        <w:t xml:space="preserve"> </w:t>
      </w:r>
    </w:p>
    <w:p w:rsidR="009A40ED" w:rsidRPr="00EC750F" w:rsidRDefault="009A40ED" w:rsidP="00F12834">
      <w:pPr>
        <w:sectPr w:rsidR="009A40ED" w:rsidRPr="00EC750F" w:rsidSect="00BF1936">
          <w:footerReference w:type="default" r:id="rId13"/>
          <w:type w:val="continuous"/>
          <w:pgSz w:w="12240" w:h="15840" w:code="1"/>
          <w:pgMar w:top="864" w:right="720" w:bottom="864" w:left="720" w:header="432" w:footer="288" w:gutter="216"/>
          <w:cols w:num="2" w:space="432"/>
        </w:sectPr>
      </w:pPr>
    </w:p>
    <w:p w:rsidR="004B4EE5" w:rsidRDefault="009A40ED" w:rsidP="004B4EE5">
      <w:pPr>
        <w:rPr>
          <w:rFonts w:eastAsiaTheme="minorHAnsi" w:cs="Calibri-BoldItalic"/>
          <w:b/>
          <w:bCs/>
          <w:i/>
          <w:iCs/>
          <w:color w:val="002D87"/>
          <w:szCs w:val="18"/>
        </w:rPr>
      </w:pPr>
      <w:r>
        <w:rPr>
          <w:rFonts w:eastAsiaTheme="minorHAnsi" w:cs="Calibri"/>
          <w:color w:val="002D87"/>
          <w:szCs w:val="24"/>
        </w:rPr>
        <w:lastRenderedPageBreak/>
        <w:br/>
      </w:r>
      <w:r w:rsidR="00E53153">
        <w:rPr>
          <w:rFonts w:eastAsiaTheme="minorHAnsi" w:cs="Calibri-BoldItalic"/>
          <w:b/>
          <w:bCs/>
          <w:i/>
          <w:iCs/>
          <w:color w:val="002D87"/>
          <w:szCs w:val="18"/>
        </w:rPr>
        <w:t>The programs that support housing in Connecticut are recommended for transfer to and consolidation within the Department of Housing in the Governor’s budget as part of his proposal to restructure and transform state government.</w:t>
      </w:r>
    </w:p>
    <w:p w:rsidR="00E53153" w:rsidRDefault="00E53153" w:rsidP="004B4EE5"/>
    <w:p w:rsidR="009A40ED" w:rsidRPr="00883D1A" w:rsidRDefault="00AF01B2" w:rsidP="009A40ED">
      <w:pPr>
        <w:pStyle w:val="H2"/>
        <w:jc w:val="left"/>
        <w:rPr>
          <w:rStyle w:val="Hyperlink"/>
          <w:rFonts w:eastAsiaTheme="majorEastAsia"/>
          <w:color w:val="auto"/>
        </w:rPr>
        <w:sectPr w:rsidR="009A40ED" w:rsidRPr="00883D1A" w:rsidSect="009A40ED">
          <w:headerReference w:type="even" r:id="rId14"/>
          <w:headerReference w:type="default" r:id="rId15"/>
          <w:footerReference w:type="even" r:id="rId16"/>
          <w:footerReference w:type="default" r:id="rId17"/>
          <w:type w:val="continuous"/>
          <w:pgSz w:w="12240" w:h="15840" w:code="1"/>
          <w:pgMar w:top="864" w:right="720" w:bottom="864" w:left="720" w:header="432" w:footer="288" w:gutter="216"/>
          <w:cols w:space="720"/>
        </w:sectPr>
      </w:pPr>
      <w:r w:rsidRPr="00EE21D9">
        <w:fldChar w:fldCharType="begin"/>
      </w:r>
      <w:r w:rsidR="004B4EE5">
        <w:instrText xml:space="preserve"> XE "DOH46900 10000</w:instrText>
      </w:r>
      <w:r w:rsidR="004B4EE5" w:rsidRPr="00EE21D9">
        <w:instrText xml:space="preserve">" </w:instrText>
      </w:r>
      <w:r w:rsidRPr="00EE21D9">
        <w:fldChar w:fldCharType="end"/>
      </w:r>
      <w:r w:rsidR="009A40ED" w:rsidRPr="00883D1A">
        <w:rPr>
          <w:rFonts w:eastAsiaTheme="minorHAnsi" w:cs="Calibri"/>
          <w:szCs w:val="24"/>
        </w:rPr>
        <w:t>SHELTER AND HOUSING SERVICES</w:t>
      </w:r>
    </w:p>
    <w:p w:rsidR="009A40ED" w:rsidRPr="009A40ED" w:rsidRDefault="009A40ED" w:rsidP="009A40ED">
      <w:pPr>
        <w:autoSpaceDE w:val="0"/>
        <w:autoSpaceDN w:val="0"/>
        <w:adjustRightInd w:val="0"/>
        <w:spacing w:after="0"/>
        <w:jc w:val="left"/>
        <w:rPr>
          <w:rFonts w:eastAsiaTheme="minorHAnsi" w:cs="Calibri-BoldItalic"/>
          <w:b/>
          <w:bCs/>
          <w:i/>
          <w:iCs/>
          <w:color w:val="002D87"/>
          <w:sz w:val="20"/>
        </w:rPr>
      </w:pPr>
      <w:r w:rsidRPr="009A40ED">
        <w:rPr>
          <w:rFonts w:eastAsiaTheme="minorHAnsi" w:cs="Calibri-BoldItalic"/>
          <w:b/>
          <w:bCs/>
          <w:i/>
          <w:iCs/>
          <w:color w:val="002D87"/>
          <w:sz w:val="20"/>
        </w:rPr>
        <w:lastRenderedPageBreak/>
        <w:t>Statutory Reference</w:t>
      </w:r>
    </w:p>
    <w:p w:rsidR="009A40ED" w:rsidRDefault="00412EB8" w:rsidP="00F3737C">
      <w:pPr>
        <w:autoSpaceDE w:val="0"/>
        <w:autoSpaceDN w:val="0"/>
        <w:adjustRightInd w:val="0"/>
        <w:spacing w:after="0"/>
        <w:rPr>
          <w:rFonts w:eastAsiaTheme="minorHAnsi" w:cs="Calibri"/>
          <w:color w:val="000000"/>
          <w:szCs w:val="18"/>
        </w:rPr>
      </w:pPr>
      <w:proofErr w:type="spellStart"/>
      <w:proofErr w:type="gramStart"/>
      <w:r>
        <w:rPr>
          <w:rFonts w:eastAsiaTheme="minorHAnsi" w:cs="Calibri"/>
          <w:color w:val="000000"/>
          <w:szCs w:val="18"/>
        </w:rPr>
        <w:t>C.G.S.</w:t>
      </w:r>
      <w:proofErr w:type="spellEnd"/>
      <w:r>
        <w:rPr>
          <w:rFonts w:eastAsiaTheme="minorHAnsi" w:cs="Calibri"/>
          <w:color w:val="000000"/>
          <w:szCs w:val="18"/>
        </w:rPr>
        <w:t xml:space="preserve"> </w:t>
      </w:r>
      <w:r w:rsidR="009A40ED">
        <w:rPr>
          <w:rFonts w:eastAsiaTheme="minorHAnsi" w:cs="Calibri"/>
          <w:color w:val="000000"/>
          <w:szCs w:val="18"/>
        </w:rPr>
        <w:t xml:space="preserve">Sections </w:t>
      </w:r>
      <w:proofErr w:type="spellStart"/>
      <w:r w:rsidR="009A40ED">
        <w:rPr>
          <w:rFonts w:eastAsiaTheme="minorHAnsi" w:cs="Calibri"/>
          <w:color w:val="000000"/>
          <w:szCs w:val="18"/>
        </w:rPr>
        <w:t>17b</w:t>
      </w:r>
      <w:proofErr w:type="spellEnd"/>
      <w:r w:rsidR="009A40ED">
        <w:rPr>
          <w:rFonts w:eastAsiaTheme="minorHAnsi" w:cs="Calibri"/>
          <w:color w:val="000000"/>
          <w:szCs w:val="18"/>
        </w:rPr>
        <w:t xml:space="preserve">‐800, </w:t>
      </w:r>
      <w:proofErr w:type="spellStart"/>
      <w:r w:rsidR="009A40ED">
        <w:rPr>
          <w:rFonts w:eastAsiaTheme="minorHAnsi" w:cs="Calibri"/>
          <w:color w:val="000000"/>
          <w:szCs w:val="18"/>
        </w:rPr>
        <w:t>17b</w:t>
      </w:r>
      <w:proofErr w:type="spellEnd"/>
      <w:r w:rsidR="009A40ED">
        <w:rPr>
          <w:rFonts w:eastAsiaTheme="minorHAnsi" w:cs="Calibri"/>
          <w:color w:val="000000"/>
          <w:szCs w:val="18"/>
        </w:rPr>
        <w:t xml:space="preserve">‐802 to </w:t>
      </w:r>
      <w:proofErr w:type="spellStart"/>
      <w:r w:rsidR="009A40ED">
        <w:rPr>
          <w:rFonts w:eastAsiaTheme="minorHAnsi" w:cs="Calibri"/>
          <w:color w:val="000000"/>
          <w:szCs w:val="18"/>
        </w:rPr>
        <w:t>17b</w:t>
      </w:r>
      <w:proofErr w:type="spellEnd"/>
      <w:r w:rsidR="009A40ED">
        <w:rPr>
          <w:rFonts w:eastAsiaTheme="minorHAnsi" w:cs="Calibri"/>
          <w:color w:val="000000"/>
          <w:szCs w:val="18"/>
        </w:rPr>
        <w:t xml:space="preserve">‐806, </w:t>
      </w:r>
      <w:proofErr w:type="spellStart"/>
      <w:r w:rsidR="009A40ED">
        <w:rPr>
          <w:rFonts w:eastAsiaTheme="minorHAnsi" w:cs="Calibri"/>
          <w:color w:val="000000"/>
          <w:szCs w:val="18"/>
        </w:rPr>
        <w:t>17b‐811a</w:t>
      </w:r>
      <w:proofErr w:type="spellEnd"/>
      <w:r w:rsidR="009A40ED">
        <w:rPr>
          <w:rFonts w:eastAsiaTheme="minorHAnsi" w:cs="Calibri"/>
          <w:color w:val="000000"/>
          <w:szCs w:val="18"/>
        </w:rPr>
        <w:t xml:space="preserve"> to </w:t>
      </w:r>
      <w:proofErr w:type="spellStart"/>
      <w:r w:rsidR="009A40ED">
        <w:rPr>
          <w:rFonts w:eastAsiaTheme="minorHAnsi" w:cs="Calibri"/>
          <w:color w:val="000000"/>
          <w:szCs w:val="18"/>
        </w:rPr>
        <w:t>17b</w:t>
      </w:r>
      <w:proofErr w:type="spellEnd"/>
      <w:r w:rsidR="009A40ED">
        <w:rPr>
          <w:rFonts w:eastAsiaTheme="minorHAnsi" w:cs="Calibri"/>
          <w:color w:val="000000"/>
          <w:szCs w:val="18"/>
        </w:rPr>
        <w:t>‐814 and</w:t>
      </w:r>
      <w:r>
        <w:rPr>
          <w:rFonts w:eastAsiaTheme="minorHAnsi" w:cs="Calibri"/>
          <w:color w:val="000000"/>
          <w:szCs w:val="18"/>
        </w:rPr>
        <w:t xml:space="preserve"> </w:t>
      </w:r>
      <w:proofErr w:type="spellStart"/>
      <w:r w:rsidR="00256593">
        <w:rPr>
          <w:rFonts w:eastAsiaTheme="minorHAnsi" w:cs="Calibri"/>
          <w:color w:val="000000"/>
          <w:szCs w:val="18"/>
        </w:rPr>
        <w:t>17b</w:t>
      </w:r>
      <w:proofErr w:type="spellEnd"/>
      <w:r w:rsidR="00256593">
        <w:rPr>
          <w:rFonts w:eastAsiaTheme="minorHAnsi" w:cs="Calibri"/>
          <w:color w:val="000000"/>
          <w:szCs w:val="18"/>
        </w:rPr>
        <w:t>‐850</w:t>
      </w:r>
      <w:r w:rsidR="0035743C">
        <w:rPr>
          <w:rFonts w:eastAsiaTheme="minorHAnsi" w:cs="Calibri"/>
          <w:color w:val="000000"/>
          <w:szCs w:val="18"/>
        </w:rPr>
        <w:t>.</w:t>
      </w:r>
      <w:proofErr w:type="gramEnd"/>
    </w:p>
    <w:p w:rsidR="009A40ED" w:rsidRPr="009A40ED" w:rsidRDefault="009A40ED" w:rsidP="009A40ED">
      <w:pPr>
        <w:autoSpaceDE w:val="0"/>
        <w:autoSpaceDN w:val="0"/>
        <w:adjustRightInd w:val="0"/>
        <w:spacing w:after="0"/>
        <w:jc w:val="left"/>
        <w:rPr>
          <w:rFonts w:eastAsiaTheme="minorHAnsi" w:cs="Calibri-BoldItalic"/>
          <w:b/>
          <w:bCs/>
          <w:i/>
          <w:iCs/>
          <w:color w:val="002D87"/>
          <w:sz w:val="20"/>
        </w:rPr>
      </w:pPr>
      <w:r w:rsidRPr="009A40ED">
        <w:rPr>
          <w:rFonts w:eastAsiaTheme="minorHAnsi" w:cs="Calibri-BoldItalic"/>
          <w:b/>
          <w:bCs/>
          <w:i/>
          <w:iCs/>
          <w:color w:val="002D87"/>
          <w:sz w:val="20"/>
        </w:rPr>
        <w:t>Statement of Need and Program Objectives</w:t>
      </w:r>
    </w:p>
    <w:p w:rsidR="009A40ED" w:rsidRDefault="009A40ED" w:rsidP="009A40ED">
      <w:pPr>
        <w:autoSpaceDE w:val="0"/>
        <w:autoSpaceDN w:val="0"/>
        <w:adjustRightInd w:val="0"/>
        <w:spacing w:after="0"/>
        <w:rPr>
          <w:rFonts w:eastAsiaTheme="minorHAnsi" w:cs="Calibri"/>
          <w:color w:val="000000"/>
          <w:szCs w:val="18"/>
        </w:rPr>
      </w:pPr>
      <w:r>
        <w:rPr>
          <w:rFonts w:eastAsiaTheme="minorHAnsi" w:cs="Calibri"/>
          <w:color w:val="000000"/>
          <w:szCs w:val="18"/>
        </w:rPr>
        <w:t>To reduce the incidence of homelessness for individuals and families and to promote independent living by increasing stability in living arrangements.</w:t>
      </w:r>
    </w:p>
    <w:p w:rsidR="009A40ED" w:rsidRDefault="009A40ED" w:rsidP="009A40ED">
      <w:pPr>
        <w:autoSpaceDE w:val="0"/>
        <w:autoSpaceDN w:val="0"/>
        <w:adjustRightInd w:val="0"/>
        <w:spacing w:after="0"/>
        <w:jc w:val="left"/>
        <w:rPr>
          <w:rFonts w:asciiTheme="minorHAnsi" w:eastAsiaTheme="minorHAnsi" w:hAnsiTheme="minorHAnsi" w:cs="Calibri-BoldItalic"/>
          <w:b/>
          <w:bCs/>
          <w:i/>
          <w:iCs/>
          <w:color w:val="002D87"/>
          <w:sz w:val="20"/>
        </w:rPr>
      </w:pPr>
      <w:r w:rsidRPr="009A40ED">
        <w:rPr>
          <w:rFonts w:asciiTheme="minorHAnsi" w:eastAsiaTheme="minorHAnsi" w:hAnsiTheme="minorHAnsi" w:cs="Calibri-BoldItalic"/>
          <w:b/>
          <w:bCs/>
          <w:i/>
          <w:iCs/>
          <w:color w:val="002D87"/>
          <w:sz w:val="20"/>
        </w:rPr>
        <w:t>Program Description</w:t>
      </w:r>
    </w:p>
    <w:p w:rsidR="00256593" w:rsidRPr="00256593" w:rsidRDefault="00256593" w:rsidP="00256593">
      <w:pPr>
        <w:numPr>
          <w:ilvl w:val="0"/>
          <w:numId w:val="4"/>
        </w:numPr>
        <w:autoSpaceDE w:val="0"/>
        <w:autoSpaceDN w:val="0"/>
        <w:adjustRightInd w:val="0"/>
        <w:spacing w:after="0"/>
        <w:jc w:val="left"/>
        <w:rPr>
          <w:rFonts w:asciiTheme="minorHAnsi" w:eastAsiaTheme="minorHAnsi" w:hAnsiTheme="minorHAnsi" w:cs="Calibri-BoldItalic"/>
          <w:b/>
          <w:bCs/>
          <w:i/>
          <w:iCs/>
          <w:color w:val="002D87"/>
          <w:sz w:val="20"/>
        </w:rPr>
      </w:pPr>
      <w:r w:rsidRPr="00906F27">
        <w:t xml:space="preserve">To reduce the incidence of homelessness for individuals and families. </w:t>
      </w:r>
    </w:p>
    <w:p w:rsidR="00256593" w:rsidRPr="00256593" w:rsidRDefault="00256593" w:rsidP="00256593">
      <w:pPr>
        <w:numPr>
          <w:ilvl w:val="0"/>
          <w:numId w:val="4"/>
        </w:numPr>
        <w:autoSpaceDE w:val="0"/>
        <w:autoSpaceDN w:val="0"/>
        <w:adjustRightInd w:val="0"/>
        <w:spacing w:after="0"/>
        <w:jc w:val="left"/>
        <w:rPr>
          <w:rFonts w:asciiTheme="minorHAnsi" w:eastAsiaTheme="minorHAnsi" w:hAnsiTheme="minorHAnsi" w:cs="Calibri-BoldItalic"/>
          <w:b/>
          <w:bCs/>
          <w:i/>
          <w:iCs/>
          <w:color w:val="002D87"/>
          <w:sz w:val="20"/>
        </w:rPr>
      </w:pPr>
      <w:r w:rsidRPr="00906F27">
        <w:t>To promote employment and economic viability by increasing stability in living arrangements.</w:t>
      </w:r>
    </w:p>
    <w:p w:rsidR="00256593" w:rsidRDefault="00256593" w:rsidP="009A40ED">
      <w:pPr>
        <w:autoSpaceDE w:val="0"/>
        <w:autoSpaceDN w:val="0"/>
        <w:adjustRightInd w:val="0"/>
        <w:spacing w:after="0"/>
        <w:jc w:val="left"/>
        <w:rPr>
          <w:rFonts w:asciiTheme="minorHAnsi" w:eastAsiaTheme="minorHAnsi" w:hAnsiTheme="minorHAnsi" w:cs="Calibri-BoldItalic"/>
          <w:b/>
          <w:bCs/>
          <w:i/>
          <w:iCs/>
          <w:color w:val="002D87"/>
          <w:sz w:val="20"/>
        </w:rPr>
      </w:pPr>
    </w:p>
    <w:p w:rsidR="00440677" w:rsidRPr="00440677" w:rsidRDefault="006E54A4" w:rsidP="00440677">
      <w:pPr>
        <w:autoSpaceDE w:val="0"/>
        <w:autoSpaceDN w:val="0"/>
        <w:adjustRightInd w:val="0"/>
        <w:spacing w:after="0"/>
        <w:rPr>
          <w:rFonts w:eastAsiaTheme="minorHAnsi" w:cs="Calibri"/>
          <w:color w:val="000000"/>
          <w:szCs w:val="18"/>
        </w:rPr>
      </w:pPr>
      <w:r>
        <w:rPr>
          <w:rFonts w:eastAsiaTheme="minorHAnsi" w:cs="Calibri"/>
          <w:color w:val="000000"/>
          <w:szCs w:val="18"/>
        </w:rPr>
        <w:t xml:space="preserve">DOH will maintain </w:t>
      </w:r>
      <w:r w:rsidR="00440677" w:rsidRPr="00440677">
        <w:rPr>
          <w:rFonts w:eastAsiaTheme="minorHAnsi" w:cs="Calibri"/>
          <w:color w:val="000000"/>
          <w:szCs w:val="18"/>
        </w:rPr>
        <w:t>a continuum of housing related services to support individuals who have become homeless due to a variety of causes such as fire, eviction and unemployment and to those individuals who need assistance in maintaining their current housing as they strive for independence</w:t>
      </w:r>
      <w:r>
        <w:rPr>
          <w:rFonts w:eastAsiaTheme="minorHAnsi" w:cs="Calibri"/>
          <w:color w:val="000000"/>
          <w:szCs w:val="18"/>
        </w:rPr>
        <w:t xml:space="preserve"> and p</w:t>
      </w:r>
      <w:r w:rsidR="00440677" w:rsidRPr="00440677">
        <w:rPr>
          <w:rFonts w:eastAsiaTheme="minorHAnsi" w:cs="Calibri"/>
          <w:color w:val="000000"/>
          <w:szCs w:val="18"/>
        </w:rPr>
        <w:t>rovide direct grants to municipalities and community-based agencies to provide these services.  Programs include:</w:t>
      </w:r>
    </w:p>
    <w:p w:rsidR="00440677" w:rsidRPr="00440677" w:rsidRDefault="00440677" w:rsidP="00440677">
      <w:pPr>
        <w:autoSpaceDE w:val="0"/>
        <w:autoSpaceDN w:val="0"/>
        <w:adjustRightInd w:val="0"/>
        <w:spacing w:after="0"/>
        <w:rPr>
          <w:rFonts w:eastAsiaTheme="minorHAnsi" w:cs="Calibri"/>
          <w:color w:val="000000"/>
          <w:szCs w:val="18"/>
        </w:rPr>
      </w:pPr>
      <w:r w:rsidRPr="0035743C">
        <w:rPr>
          <w:rFonts w:eastAsiaTheme="minorHAnsi" w:cs="Calibri"/>
          <w:i/>
          <w:color w:val="000000"/>
          <w:szCs w:val="18"/>
        </w:rPr>
        <w:t>Grants for Programs for Homeless</w:t>
      </w:r>
      <w:r w:rsidRPr="00440677">
        <w:rPr>
          <w:rFonts w:eastAsiaTheme="minorHAnsi" w:cs="Calibri"/>
          <w:color w:val="000000"/>
          <w:szCs w:val="18"/>
        </w:rPr>
        <w:t xml:space="preserve"> </w:t>
      </w:r>
      <w:r w:rsidR="006E54A4">
        <w:rPr>
          <w:rFonts w:eastAsiaTheme="minorHAnsi" w:cs="Calibri"/>
          <w:color w:val="000000"/>
          <w:szCs w:val="18"/>
        </w:rPr>
        <w:t>f</w:t>
      </w:r>
      <w:r w:rsidRPr="00440677">
        <w:rPr>
          <w:rFonts w:eastAsiaTheme="minorHAnsi" w:cs="Calibri"/>
          <w:color w:val="000000"/>
          <w:szCs w:val="18"/>
        </w:rPr>
        <w:t xml:space="preserve">und a number of homeless shelters </w:t>
      </w:r>
      <w:r w:rsidR="006E54A4">
        <w:rPr>
          <w:rFonts w:eastAsiaTheme="minorHAnsi" w:cs="Calibri"/>
          <w:color w:val="000000"/>
          <w:szCs w:val="18"/>
        </w:rPr>
        <w:t xml:space="preserve">to </w:t>
      </w:r>
      <w:r w:rsidRPr="00440677">
        <w:rPr>
          <w:rFonts w:eastAsiaTheme="minorHAnsi" w:cs="Calibri"/>
          <w:color w:val="000000"/>
          <w:szCs w:val="18"/>
        </w:rPr>
        <w:t>provide initial shelter, nutrition and social support services.  Transitional living programs facilitate the movement of homeless people into decent housing and a stable living environment.</w:t>
      </w:r>
    </w:p>
    <w:p w:rsidR="00440677" w:rsidRPr="00440677" w:rsidRDefault="00440677" w:rsidP="00440677">
      <w:pPr>
        <w:autoSpaceDE w:val="0"/>
        <w:autoSpaceDN w:val="0"/>
        <w:adjustRightInd w:val="0"/>
        <w:spacing w:after="0"/>
        <w:rPr>
          <w:rFonts w:eastAsiaTheme="minorHAnsi" w:cs="Calibri"/>
          <w:color w:val="000000"/>
          <w:szCs w:val="18"/>
        </w:rPr>
      </w:pPr>
      <w:r w:rsidRPr="0035743C">
        <w:rPr>
          <w:rFonts w:eastAsiaTheme="minorHAnsi" w:cs="Calibri"/>
          <w:i/>
          <w:color w:val="000000"/>
          <w:szCs w:val="18"/>
        </w:rPr>
        <w:t>Security Deposit</w:t>
      </w:r>
      <w:r w:rsidRPr="00440677">
        <w:rPr>
          <w:rFonts w:eastAsiaTheme="minorHAnsi" w:cs="Calibri"/>
          <w:color w:val="000000"/>
          <w:szCs w:val="18"/>
        </w:rPr>
        <w:t xml:space="preserve"> program remove</w:t>
      </w:r>
      <w:r w:rsidR="006E54A4">
        <w:rPr>
          <w:rFonts w:eastAsiaTheme="minorHAnsi" w:cs="Calibri"/>
          <w:color w:val="000000"/>
          <w:szCs w:val="18"/>
        </w:rPr>
        <w:t>s</w:t>
      </w:r>
      <w:r w:rsidRPr="00440677">
        <w:rPr>
          <w:rFonts w:eastAsiaTheme="minorHAnsi" w:cs="Calibri"/>
          <w:color w:val="000000"/>
          <w:szCs w:val="18"/>
        </w:rPr>
        <w:t xml:space="preserve"> barrier</w:t>
      </w:r>
      <w:r w:rsidR="006E54A4">
        <w:rPr>
          <w:rFonts w:eastAsiaTheme="minorHAnsi" w:cs="Calibri"/>
          <w:color w:val="000000"/>
          <w:szCs w:val="18"/>
        </w:rPr>
        <w:t>s</w:t>
      </w:r>
      <w:r w:rsidRPr="00440677">
        <w:rPr>
          <w:rFonts w:eastAsiaTheme="minorHAnsi" w:cs="Calibri"/>
          <w:color w:val="000000"/>
          <w:szCs w:val="18"/>
        </w:rPr>
        <w:t xml:space="preserve"> for individuals with limited resources by guaranteeing landlords the equivalent of up to two month's rent.  </w:t>
      </w:r>
    </w:p>
    <w:p w:rsidR="00440677" w:rsidRPr="00440677" w:rsidRDefault="00440677" w:rsidP="00440677">
      <w:pPr>
        <w:autoSpaceDE w:val="0"/>
        <w:autoSpaceDN w:val="0"/>
        <w:adjustRightInd w:val="0"/>
        <w:spacing w:after="0"/>
        <w:rPr>
          <w:rFonts w:eastAsiaTheme="minorHAnsi" w:cs="Calibri"/>
          <w:color w:val="000000"/>
          <w:szCs w:val="18"/>
        </w:rPr>
      </w:pPr>
      <w:r w:rsidRPr="0035743C">
        <w:rPr>
          <w:rFonts w:eastAsiaTheme="minorHAnsi" w:cs="Calibri"/>
          <w:i/>
          <w:color w:val="000000"/>
          <w:szCs w:val="18"/>
        </w:rPr>
        <w:t>Eviction and Foreclosure Prevention</w:t>
      </w:r>
      <w:r w:rsidRPr="00440677">
        <w:rPr>
          <w:rFonts w:eastAsiaTheme="minorHAnsi" w:cs="Calibri"/>
          <w:color w:val="000000"/>
          <w:szCs w:val="18"/>
        </w:rPr>
        <w:t xml:space="preserve">  program assists low and moderate income families and individuals that are at risk of becoming homeless, due to falling behind in their rent or mortgage payments, as a result of a short-term unforeseen circumstance</w:t>
      </w:r>
      <w:r w:rsidR="00B02CF4">
        <w:rPr>
          <w:rFonts w:eastAsiaTheme="minorHAnsi" w:cs="Calibri"/>
          <w:color w:val="000000"/>
          <w:szCs w:val="18"/>
        </w:rPr>
        <w:t>s</w:t>
      </w:r>
      <w:r w:rsidRPr="00440677">
        <w:rPr>
          <w:rFonts w:eastAsiaTheme="minorHAnsi" w:cs="Calibri"/>
          <w:color w:val="000000"/>
          <w:szCs w:val="18"/>
        </w:rPr>
        <w:t xml:space="preserve">.  Services include assessment, landlord-tenant mediation, conflict </w:t>
      </w:r>
      <w:r w:rsidRPr="00440677">
        <w:rPr>
          <w:rFonts w:eastAsiaTheme="minorHAnsi" w:cs="Calibri"/>
          <w:color w:val="000000"/>
          <w:szCs w:val="18"/>
        </w:rPr>
        <w:lastRenderedPageBreak/>
        <w:t>resolution, budgeting, linkage to community resources and the use of rent bank funds to assist in negotiations.</w:t>
      </w:r>
    </w:p>
    <w:p w:rsidR="00440677" w:rsidRPr="00440677" w:rsidRDefault="00440677" w:rsidP="00440677">
      <w:pPr>
        <w:autoSpaceDE w:val="0"/>
        <w:autoSpaceDN w:val="0"/>
        <w:adjustRightInd w:val="0"/>
        <w:spacing w:after="0"/>
        <w:rPr>
          <w:rFonts w:eastAsiaTheme="minorHAnsi" w:cs="Calibri"/>
          <w:color w:val="000000"/>
          <w:szCs w:val="18"/>
        </w:rPr>
      </w:pPr>
      <w:r w:rsidRPr="0035743C">
        <w:rPr>
          <w:rFonts w:eastAsiaTheme="minorHAnsi" w:cs="Calibri"/>
          <w:i/>
          <w:color w:val="000000"/>
          <w:szCs w:val="18"/>
        </w:rPr>
        <w:t>Rental Assistance Program (RAP) and Section 8 Federal Housing Choice Voucher Program</w:t>
      </w:r>
      <w:r w:rsidR="00B02CF4" w:rsidRPr="0035743C">
        <w:rPr>
          <w:rFonts w:eastAsiaTheme="minorHAnsi" w:cs="Calibri"/>
          <w:i/>
          <w:color w:val="000000"/>
          <w:szCs w:val="18"/>
        </w:rPr>
        <w:t>s</w:t>
      </w:r>
      <w:r w:rsidRPr="00440677">
        <w:rPr>
          <w:rFonts w:eastAsiaTheme="minorHAnsi" w:cs="Calibri"/>
          <w:b/>
          <w:color w:val="000000"/>
          <w:szCs w:val="18"/>
        </w:rPr>
        <w:t xml:space="preserve"> </w:t>
      </w:r>
      <w:r w:rsidRPr="00440677">
        <w:rPr>
          <w:rFonts w:eastAsiaTheme="minorHAnsi" w:cs="Calibri"/>
          <w:color w:val="000000"/>
          <w:szCs w:val="18"/>
        </w:rPr>
        <w:t>provide direct rental subsidies to families in an effort to fill the gap between what renter</w:t>
      </w:r>
      <w:r w:rsidR="00B02CF4">
        <w:rPr>
          <w:rFonts w:eastAsiaTheme="minorHAnsi" w:cs="Calibri"/>
          <w:color w:val="000000"/>
          <w:szCs w:val="18"/>
        </w:rPr>
        <w:t>s</w:t>
      </w:r>
      <w:r w:rsidRPr="00440677">
        <w:rPr>
          <w:rFonts w:eastAsiaTheme="minorHAnsi" w:cs="Calibri"/>
          <w:color w:val="000000"/>
          <w:szCs w:val="18"/>
        </w:rPr>
        <w:t xml:space="preserve"> can afford to pay and the fair market rent charged by the landlord.  The programs guarantee that minimum housing quality standards are met to ensure safe, sanitary and decent housing.    </w:t>
      </w:r>
      <w:r w:rsidR="00B02CF4">
        <w:rPr>
          <w:rFonts w:eastAsiaTheme="minorHAnsi" w:cs="Calibri"/>
          <w:color w:val="000000"/>
          <w:szCs w:val="18"/>
        </w:rPr>
        <w:t>A</w:t>
      </w:r>
      <w:r w:rsidRPr="00440677">
        <w:rPr>
          <w:rFonts w:eastAsiaTheme="minorHAnsi" w:cs="Calibri"/>
          <w:color w:val="000000"/>
          <w:szCs w:val="18"/>
        </w:rPr>
        <w:t xml:space="preserve"> family's income may not exceed 50% of the median income for the county or metropolitan area in w</w:t>
      </w:r>
      <w:r w:rsidR="00B02CF4">
        <w:rPr>
          <w:rFonts w:eastAsiaTheme="minorHAnsi" w:cs="Calibri"/>
          <w:color w:val="000000"/>
          <w:szCs w:val="18"/>
        </w:rPr>
        <w:t xml:space="preserve">hich the family chooses to live but families </w:t>
      </w:r>
      <w:r w:rsidRPr="00440677">
        <w:rPr>
          <w:rFonts w:eastAsiaTheme="minorHAnsi" w:cs="Calibri"/>
          <w:color w:val="000000"/>
          <w:szCs w:val="18"/>
        </w:rPr>
        <w:t xml:space="preserve">typically pay between 30% and 40% of monthly income on rent and utilities. </w:t>
      </w:r>
      <w:r w:rsidR="00B02CF4">
        <w:rPr>
          <w:rFonts w:eastAsiaTheme="minorHAnsi" w:cs="Calibri"/>
          <w:color w:val="000000"/>
          <w:szCs w:val="18"/>
        </w:rPr>
        <w:t>In</w:t>
      </w:r>
      <w:r w:rsidRPr="00440677">
        <w:rPr>
          <w:rFonts w:eastAsiaTheme="minorHAnsi" w:cs="Calibri"/>
          <w:color w:val="000000"/>
          <w:szCs w:val="18"/>
        </w:rPr>
        <w:t xml:space="preserve"> FY 2012, </w:t>
      </w:r>
      <w:r w:rsidR="00B02CF4" w:rsidRPr="00440677">
        <w:rPr>
          <w:rFonts w:eastAsiaTheme="minorHAnsi" w:cs="Calibri"/>
          <w:color w:val="000000"/>
          <w:szCs w:val="18"/>
        </w:rPr>
        <w:t xml:space="preserve">3,052 </w:t>
      </w:r>
      <w:r w:rsidR="009D4FFE">
        <w:rPr>
          <w:rFonts w:eastAsiaTheme="minorHAnsi" w:cs="Calibri"/>
          <w:color w:val="000000"/>
          <w:szCs w:val="18"/>
        </w:rPr>
        <w:t>RAP</w:t>
      </w:r>
      <w:r w:rsidRPr="00440677">
        <w:rPr>
          <w:rFonts w:eastAsiaTheme="minorHAnsi" w:cs="Calibri"/>
          <w:color w:val="000000"/>
          <w:szCs w:val="18"/>
        </w:rPr>
        <w:t xml:space="preserve"> subsidies </w:t>
      </w:r>
      <w:r w:rsidR="00B02CF4" w:rsidRPr="00440677">
        <w:rPr>
          <w:rFonts w:eastAsiaTheme="minorHAnsi" w:cs="Calibri"/>
          <w:color w:val="000000"/>
          <w:szCs w:val="18"/>
        </w:rPr>
        <w:t xml:space="preserve">and 6,488 Section 8 vouchers </w:t>
      </w:r>
      <w:r w:rsidR="00B02CF4">
        <w:rPr>
          <w:rFonts w:eastAsiaTheme="minorHAnsi" w:cs="Calibri"/>
          <w:color w:val="000000"/>
          <w:szCs w:val="18"/>
        </w:rPr>
        <w:t xml:space="preserve">were provided </w:t>
      </w:r>
      <w:r w:rsidRPr="00440677">
        <w:rPr>
          <w:rFonts w:eastAsiaTheme="minorHAnsi" w:cs="Calibri"/>
          <w:color w:val="000000"/>
          <w:szCs w:val="18"/>
        </w:rPr>
        <w:t xml:space="preserve">to families </w:t>
      </w:r>
      <w:r w:rsidR="00B02CF4">
        <w:rPr>
          <w:rFonts w:eastAsiaTheme="minorHAnsi" w:cs="Calibri"/>
          <w:color w:val="000000"/>
          <w:szCs w:val="18"/>
        </w:rPr>
        <w:t xml:space="preserve">and single </w:t>
      </w:r>
      <w:r w:rsidRPr="00440677">
        <w:rPr>
          <w:rFonts w:eastAsiaTheme="minorHAnsi" w:cs="Calibri"/>
          <w:color w:val="000000"/>
          <w:szCs w:val="18"/>
        </w:rPr>
        <w:t xml:space="preserve">adults living in privately-owned rental housing and supportive housing projects.  </w:t>
      </w:r>
    </w:p>
    <w:p w:rsidR="00440677" w:rsidRPr="00440677" w:rsidRDefault="00440677" w:rsidP="00440677">
      <w:pPr>
        <w:autoSpaceDE w:val="0"/>
        <w:autoSpaceDN w:val="0"/>
        <w:adjustRightInd w:val="0"/>
        <w:spacing w:after="0"/>
        <w:rPr>
          <w:rFonts w:eastAsiaTheme="minorHAnsi" w:cs="Calibri"/>
          <w:color w:val="000000"/>
          <w:szCs w:val="18"/>
        </w:rPr>
      </w:pPr>
      <w:r w:rsidRPr="00440677">
        <w:rPr>
          <w:rFonts w:eastAsiaTheme="minorHAnsi" w:cs="Calibri"/>
          <w:color w:val="000000"/>
          <w:szCs w:val="18"/>
        </w:rPr>
        <w:t>The Section 8 Family Unification program administered in conjunction with the Department of Children and Families</w:t>
      </w:r>
      <w:r w:rsidR="00B02CF4">
        <w:rPr>
          <w:rFonts w:eastAsiaTheme="minorHAnsi" w:cs="Calibri"/>
          <w:color w:val="000000"/>
          <w:szCs w:val="18"/>
        </w:rPr>
        <w:t xml:space="preserve"> </w:t>
      </w:r>
      <w:r w:rsidRPr="00440677">
        <w:rPr>
          <w:rFonts w:eastAsiaTheme="minorHAnsi" w:cs="Calibri"/>
          <w:color w:val="000000"/>
          <w:szCs w:val="18"/>
        </w:rPr>
        <w:t>promotes family unity by providing housing assistance to families for whom the lack of adequate housing is a primary factor in the separation, or the threat of imminent separation, of children from their families.</w:t>
      </w:r>
    </w:p>
    <w:p w:rsidR="00440677" w:rsidRPr="00440677" w:rsidRDefault="00440677" w:rsidP="00440677">
      <w:pPr>
        <w:autoSpaceDE w:val="0"/>
        <w:autoSpaceDN w:val="0"/>
        <w:adjustRightInd w:val="0"/>
        <w:spacing w:after="0"/>
        <w:rPr>
          <w:rFonts w:eastAsiaTheme="minorHAnsi" w:cs="Calibri"/>
          <w:color w:val="000000"/>
          <w:szCs w:val="18"/>
        </w:rPr>
      </w:pPr>
      <w:r w:rsidRPr="00440677">
        <w:rPr>
          <w:rFonts w:eastAsiaTheme="minorHAnsi" w:cs="Calibri"/>
          <w:color w:val="000000"/>
          <w:szCs w:val="18"/>
        </w:rPr>
        <w:t xml:space="preserve">The Supportive Housing initiative is a partnership between several state agencies, as well as the Connecticut Housing Finance Authority, creating service-supported, affordable housing opportunities for low-income families, who are facing homelessness, and chronically homeless individuals affected by mental illness or chemical dependency.  </w:t>
      </w:r>
      <w:r w:rsidR="00B02CF4">
        <w:rPr>
          <w:rFonts w:eastAsiaTheme="minorHAnsi" w:cs="Calibri"/>
          <w:color w:val="000000"/>
          <w:szCs w:val="18"/>
        </w:rPr>
        <w:t>D</w:t>
      </w:r>
      <w:r w:rsidRPr="00440677">
        <w:rPr>
          <w:rFonts w:eastAsiaTheme="minorHAnsi" w:cs="Calibri"/>
          <w:color w:val="000000"/>
          <w:szCs w:val="18"/>
        </w:rPr>
        <w:t xml:space="preserve">edicated RAP certificates and Section 8 project-based vouchers for programs </w:t>
      </w:r>
      <w:r w:rsidR="00B02CF4">
        <w:rPr>
          <w:rFonts w:eastAsiaTheme="minorHAnsi" w:cs="Calibri"/>
          <w:color w:val="000000"/>
          <w:szCs w:val="18"/>
        </w:rPr>
        <w:t xml:space="preserve">support </w:t>
      </w:r>
      <w:r w:rsidRPr="00440677">
        <w:rPr>
          <w:rFonts w:eastAsiaTheme="minorHAnsi" w:cs="Calibri"/>
          <w:color w:val="000000"/>
          <w:szCs w:val="18"/>
        </w:rPr>
        <w:t>this initiative, as well as service funding for families served by the supportive housing initiative.</w:t>
      </w:r>
    </w:p>
    <w:p w:rsidR="00440677" w:rsidRPr="00440677" w:rsidRDefault="00440677" w:rsidP="00440677">
      <w:pPr>
        <w:autoSpaceDE w:val="0"/>
        <w:autoSpaceDN w:val="0"/>
        <w:adjustRightInd w:val="0"/>
        <w:spacing w:after="0"/>
        <w:rPr>
          <w:rFonts w:eastAsiaTheme="minorHAnsi" w:cs="Calibri"/>
          <w:color w:val="000000"/>
          <w:szCs w:val="18"/>
        </w:rPr>
      </w:pPr>
      <w:r w:rsidRPr="00440677">
        <w:rPr>
          <w:rFonts w:eastAsiaTheme="minorHAnsi" w:cs="Calibri"/>
          <w:color w:val="000000"/>
          <w:szCs w:val="18"/>
        </w:rPr>
        <w:t>RAP certificates also enable eligible nursing home residents to safely return to the community and to a more self-sufficient lifestyle through the Money Follows the Person (MFP) program</w:t>
      </w:r>
      <w:r w:rsidR="00B02CF4">
        <w:rPr>
          <w:rFonts w:eastAsiaTheme="minorHAnsi" w:cs="Calibri"/>
          <w:color w:val="000000"/>
          <w:szCs w:val="18"/>
        </w:rPr>
        <w:t xml:space="preserve"> overseen by the Department of Social Services</w:t>
      </w:r>
      <w:r>
        <w:rPr>
          <w:rFonts w:eastAsiaTheme="minorHAnsi" w:cs="Calibri"/>
          <w:color w:val="000000"/>
          <w:szCs w:val="18"/>
        </w:rPr>
        <w:t>.</w:t>
      </w:r>
      <w:r w:rsidRPr="00440677">
        <w:rPr>
          <w:rFonts w:eastAsiaTheme="minorHAnsi" w:cs="Calibri"/>
          <w:color w:val="000000"/>
          <w:szCs w:val="18"/>
        </w:rPr>
        <w:t xml:space="preserve"> </w:t>
      </w:r>
    </w:p>
    <w:p w:rsidR="00197227" w:rsidRDefault="00440677" w:rsidP="009A40ED">
      <w:pPr>
        <w:autoSpaceDE w:val="0"/>
        <w:autoSpaceDN w:val="0"/>
        <w:adjustRightInd w:val="0"/>
        <w:spacing w:after="0"/>
        <w:rPr>
          <w:rFonts w:eastAsiaTheme="minorHAnsi" w:cs="Calibri"/>
          <w:color w:val="000000"/>
          <w:szCs w:val="18"/>
        </w:rPr>
      </w:pPr>
      <w:r w:rsidRPr="0035743C">
        <w:rPr>
          <w:rFonts w:eastAsiaTheme="minorHAnsi" w:cs="Calibri"/>
          <w:i/>
          <w:color w:val="000000"/>
          <w:szCs w:val="18"/>
        </w:rPr>
        <w:t>Grants for Housing for Individuals with AIDS</w:t>
      </w:r>
      <w:r w:rsidRPr="00440677">
        <w:rPr>
          <w:rFonts w:eastAsiaTheme="minorHAnsi" w:cs="Calibri"/>
          <w:color w:val="000000"/>
          <w:szCs w:val="18"/>
        </w:rPr>
        <w:t xml:space="preserve"> </w:t>
      </w:r>
      <w:r w:rsidR="00B02CF4">
        <w:rPr>
          <w:rFonts w:eastAsiaTheme="minorHAnsi" w:cs="Calibri"/>
          <w:color w:val="000000"/>
          <w:szCs w:val="18"/>
        </w:rPr>
        <w:t xml:space="preserve">supports </w:t>
      </w:r>
      <w:r w:rsidRPr="00440677">
        <w:rPr>
          <w:rFonts w:eastAsiaTheme="minorHAnsi" w:cs="Calibri"/>
          <w:color w:val="000000"/>
          <w:szCs w:val="18"/>
        </w:rPr>
        <w:t xml:space="preserve">the operation of residences and services to individuals with AIDS.  These residences include emergency shelters, transitional living programs, independent living programs and supported living programs. </w:t>
      </w:r>
    </w:p>
    <w:p w:rsidR="00440677" w:rsidRPr="00887F39" w:rsidRDefault="00440677" w:rsidP="009A40ED">
      <w:pPr>
        <w:autoSpaceDE w:val="0"/>
        <w:autoSpaceDN w:val="0"/>
        <w:adjustRightInd w:val="0"/>
        <w:spacing w:after="0"/>
        <w:rPr>
          <w:rFonts w:ascii="Times New Roman" w:hAnsi="Times New Roman"/>
        </w:rPr>
        <w:sectPr w:rsidR="00440677" w:rsidRPr="00887F39" w:rsidSect="00BF1936">
          <w:type w:val="continuous"/>
          <w:pgSz w:w="12240" w:h="15840" w:code="1"/>
          <w:pgMar w:top="864" w:right="720" w:bottom="864" w:left="720" w:header="432" w:footer="288" w:gutter="216"/>
          <w:cols w:num="2" w:space="432"/>
        </w:sectPr>
      </w:pPr>
    </w:p>
    <w:p w:rsidR="00B0079A" w:rsidRDefault="00B0079A" w:rsidP="004B4EE5"/>
    <w:p w:rsidR="00197227" w:rsidRPr="006A71B1" w:rsidRDefault="00AF01B2" w:rsidP="00197227">
      <w:pPr>
        <w:pStyle w:val="H2"/>
        <w:jc w:val="left"/>
        <w:rPr>
          <w:rStyle w:val="Hyperlink"/>
          <w:rFonts w:eastAsiaTheme="majorEastAsia"/>
        </w:rPr>
        <w:sectPr w:rsidR="00197227" w:rsidRPr="006A71B1" w:rsidSect="009A40ED">
          <w:headerReference w:type="even" r:id="rId18"/>
          <w:headerReference w:type="default" r:id="rId19"/>
          <w:footerReference w:type="even" r:id="rId20"/>
          <w:footerReference w:type="default" r:id="rId21"/>
          <w:type w:val="continuous"/>
          <w:pgSz w:w="12240" w:h="15840" w:code="1"/>
          <w:pgMar w:top="864" w:right="720" w:bottom="864" w:left="720" w:header="432" w:footer="288" w:gutter="216"/>
          <w:cols w:space="720"/>
        </w:sectPr>
      </w:pPr>
      <w:r w:rsidRPr="00EE21D9">
        <w:fldChar w:fldCharType="begin"/>
      </w:r>
      <w:r w:rsidR="004B4EE5">
        <w:instrText xml:space="preserve"> XE "DOH46900 20000</w:instrText>
      </w:r>
      <w:r w:rsidR="004B4EE5" w:rsidRPr="00EE21D9">
        <w:instrText xml:space="preserve">" </w:instrText>
      </w:r>
      <w:r w:rsidRPr="00EE21D9">
        <w:fldChar w:fldCharType="end"/>
      </w:r>
      <w:r w:rsidR="00197227" w:rsidRPr="00282B33">
        <w:t xml:space="preserve">HOUSING </w:t>
      </w:r>
      <w:r w:rsidR="00C96BA1">
        <w:t xml:space="preserve">and community </w:t>
      </w:r>
      <w:r w:rsidR="00197227" w:rsidRPr="00282B33">
        <w:t>DEVELOPMENT</w:t>
      </w:r>
    </w:p>
    <w:p w:rsidR="00C96BA1" w:rsidRDefault="00C96BA1" w:rsidP="00C96BA1">
      <w:pPr>
        <w:autoSpaceDE w:val="0"/>
        <w:autoSpaceDN w:val="0"/>
        <w:adjustRightInd w:val="0"/>
        <w:spacing w:after="0"/>
        <w:jc w:val="left"/>
      </w:pPr>
      <w:r w:rsidRPr="00C96BA1">
        <w:rPr>
          <w:rFonts w:eastAsiaTheme="minorHAnsi" w:cs="Calibri-BoldItalic"/>
          <w:b/>
          <w:bCs/>
          <w:i/>
          <w:iCs/>
          <w:color w:val="002D87"/>
          <w:sz w:val="20"/>
        </w:rPr>
        <w:lastRenderedPageBreak/>
        <w:t>Statutory Reference</w:t>
      </w:r>
    </w:p>
    <w:p w:rsidR="00C96BA1" w:rsidRDefault="00412EB8" w:rsidP="00C96BA1">
      <w:proofErr w:type="spellStart"/>
      <w:r>
        <w:t>C.G.S.</w:t>
      </w:r>
      <w:proofErr w:type="spellEnd"/>
      <w:r>
        <w:t xml:space="preserve"> </w:t>
      </w:r>
      <w:r w:rsidR="00C96BA1">
        <w:t xml:space="preserve">Chapters 127b, 127c, 128, 133, 135, 137e, 138b, 138i, 138j and 578, and </w:t>
      </w:r>
      <w:r>
        <w:t>S</w:t>
      </w:r>
      <w:r w:rsidR="00C96BA1">
        <w:t>ections 4-</w:t>
      </w:r>
      <w:proofErr w:type="spellStart"/>
      <w:r w:rsidR="00C96BA1">
        <w:t>66c</w:t>
      </w:r>
      <w:proofErr w:type="spellEnd"/>
      <w:r w:rsidR="00C96BA1">
        <w:t xml:space="preserve">, </w:t>
      </w:r>
      <w:proofErr w:type="spellStart"/>
      <w:r w:rsidR="00C96BA1">
        <w:t>16a-40a</w:t>
      </w:r>
      <w:proofErr w:type="spellEnd"/>
      <w:r w:rsidR="00C96BA1">
        <w:t xml:space="preserve">, </w:t>
      </w:r>
      <w:proofErr w:type="spellStart"/>
      <w:r w:rsidR="00C96BA1">
        <w:t>17b</w:t>
      </w:r>
      <w:proofErr w:type="spellEnd"/>
      <w:r w:rsidR="00C96BA1">
        <w:t xml:space="preserve">-106, </w:t>
      </w:r>
      <w:proofErr w:type="spellStart"/>
      <w:r w:rsidR="00C96BA1">
        <w:t>17b</w:t>
      </w:r>
      <w:proofErr w:type="spellEnd"/>
      <w:r w:rsidR="00C96BA1">
        <w:t xml:space="preserve">-337, </w:t>
      </w:r>
      <w:proofErr w:type="spellStart"/>
      <w:r w:rsidR="00C96BA1">
        <w:t>17b-347e</w:t>
      </w:r>
      <w:proofErr w:type="spellEnd"/>
      <w:r w:rsidR="00C96BA1">
        <w:t xml:space="preserve">, and </w:t>
      </w:r>
      <w:proofErr w:type="spellStart"/>
      <w:r w:rsidR="00C96BA1">
        <w:t>22a-1a</w:t>
      </w:r>
      <w:proofErr w:type="spellEnd"/>
      <w:r w:rsidR="0035743C">
        <w:t>.</w:t>
      </w:r>
    </w:p>
    <w:p w:rsidR="00595F95" w:rsidRDefault="00595F95" w:rsidP="00C96BA1">
      <w:pPr>
        <w:autoSpaceDE w:val="0"/>
        <w:autoSpaceDN w:val="0"/>
        <w:adjustRightInd w:val="0"/>
        <w:spacing w:after="0"/>
        <w:jc w:val="left"/>
        <w:rPr>
          <w:rFonts w:eastAsiaTheme="minorHAnsi" w:cs="Calibri-BoldItalic"/>
          <w:b/>
          <w:bCs/>
          <w:i/>
          <w:iCs/>
          <w:color w:val="002D87"/>
          <w:sz w:val="20"/>
        </w:rPr>
      </w:pPr>
    </w:p>
    <w:p w:rsidR="00C96BA1" w:rsidRDefault="00C96BA1" w:rsidP="00C96BA1">
      <w:pPr>
        <w:autoSpaceDE w:val="0"/>
        <w:autoSpaceDN w:val="0"/>
        <w:adjustRightInd w:val="0"/>
        <w:spacing w:after="0"/>
        <w:jc w:val="left"/>
      </w:pPr>
      <w:r w:rsidRPr="00C96BA1">
        <w:rPr>
          <w:rFonts w:eastAsiaTheme="minorHAnsi" w:cs="Calibri-BoldItalic"/>
          <w:b/>
          <w:bCs/>
          <w:i/>
          <w:iCs/>
          <w:color w:val="002D87"/>
          <w:sz w:val="20"/>
        </w:rPr>
        <w:t>Statement of Need and Program Objectives</w:t>
      </w:r>
    </w:p>
    <w:p w:rsidR="00C96BA1" w:rsidRDefault="00B02CF4" w:rsidP="00C96BA1">
      <w:r>
        <w:lastRenderedPageBreak/>
        <w:t>The Department of Housing</w:t>
      </w:r>
      <w:r w:rsidR="00C96BA1">
        <w:t xml:space="preserve"> is the lead agency for all matters relating to housing and community development in Connecticut. </w:t>
      </w:r>
      <w:r>
        <w:t xml:space="preserve">It will </w:t>
      </w:r>
      <w:r w:rsidR="00C96BA1">
        <w:t xml:space="preserve">monitor and analyze the Connecticut housing and community development environment by undertaking several strategic planning efforts including the </w:t>
      </w:r>
      <w:hyperlink r:id="rId22" w:history="1">
        <w:r w:rsidR="00C96BA1" w:rsidRPr="006D7141">
          <w:t>State of Connecticut Long Range Housing Plan</w:t>
        </w:r>
      </w:hyperlink>
      <w:r w:rsidR="00C96BA1">
        <w:t xml:space="preserve">, and the </w:t>
      </w:r>
      <w:hyperlink r:id="rId23" w:history="1">
        <w:r w:rsidR="00C96BA1" w:rsidRPr="006D7141">
          <w:t xml:space="preserve">Connecticut Consolidated Plan for Housing and Community </w:t>
        </w:r>
        <w:r w:rsidR="00C96BA1" w:rsidRPr="006D7141">
          <w:lastRenderedPageBreak/>
          <w:t>Development</w:t>
        </w:r>
      </w:hyperlink>
      <w:r>
        <w:t xml:space="preserve"> and will </w:t>
      </w:r>
      <w:r w:rsidR="00C96BA1">
        <w:t>perform certain strategy and policy functions related to housing and community development.</w:t>
      </w:r>
    </w:p>
    <w:p w:rsidR="00C96BA1" w:rsidRDefault="00C96BA1" w:rsidP="00C96BA1">
      <w:pPr>
        <w:rPr>
          <w:snapToGrid w:val="0"/>
        </w:rPr>
      </w:pPr>
      <w:r>
        <w:rPr>
          <w:snapToGrid w:val="0"/>
        </w:rPr>
        <w:t xml:space="preserve">Community development activities create the environment necessary for sustainable economic growth, stable neighborhoods and healthy communities.  </w:t>
      </w:r>
    </w:p>
    <w:p w:rsidR="00C96BA1" w:rsidRDefault="00C96BA1" w:rsidP="00C96BA1">
      <w:pPr>
        <w:autoSpaceDE w:val="0"/>
        <w:autoSpaceDN w:val="0"/>
        <w:adjustRightInd w:val="0"/>
        <w:spacing w:after="0"/>
        <w:jc w:val="left"/>
      </w:pPr>
      <w:r w:rsidRPr="009C1E02">
        <w:rPr>
          <w:rFonts w:asciiTheme="minorHAnsi" w:eastAsiaTheme="minorHAnsi" w:hAnsiTheme="minorHAnsi" w:cs="Calibri-BoldItalic"/>
          <w:b/>
          <w:bCs/>
          <w:i/>
          <w:iCs/>
          <w:color w:val="002D87"/>
          <w:sz w:val="20"/>
        </w:rPr>
        <w:t>Program Description</w:t>
      </w:r>
    </w:p>
    <w:p w:rsidR="00C96BA1" w:rsidRDefault="00C96BA1" w:rsidP="00056110">
      <w:r>
        <w:t xml:space="preserve">Based on the affordable housing needs present in Connecticut, </w:t>
      </w:r>
      <w:r w:rsidR="00056110">
        <w:t xml:space="preserve">agency will </w:t>
      </w:r>
      <w:r>
        <w:t xml:space="preserve">utilize numerous state and federally funded housing, community development and support programs to </w:t>
      </w:r>
      <w:r w:rsidR="00056110">
        <w:t xml:space="preserve">create economic opportunities and </w:t>
      </w:r>
      <w:r>
        <w:t xml:space="preserve">provide technical and financial assistance to non-profit and for-profit sponsors and municipalities for preservation, rehabilitation and development of affordable housing and associated housing support programs and services. The agency </w:t>
      </w:r>
      <w:r w:rsidR="00056110">
        <w:t xml:space="preserve">will </w:t>
      </w:r>
      <w:r>
        <w:t>also administer rental subsidy and tax-related assistance designed to promote housing affordability.</w:t>
      </w:r>
      <w:r w:rsidRPr="006D6221">
        <w:t xml:space="preserve"> </w:t>
      </w:r>
      <w:r>
        <w:t xml:space="preserve">Some of these programs and services </w:t>
      </w:r>
      <w:r w:rsidR="00056110">
        <w:t xml:space="preserve">will be </w:t>
      </w:r>
      <w:r>
        <w:t>as follows:</w:t>
      </w:r>
    </w:p>
    <w:p w:rsidR="00B87FBE" w:rsidRDefault="00B87FBE" w:rsidP="00056110"/>
    <w:p w:rsidR="00C96BA1" w:rsidRPr="00C301A1" w:rsidRDefault="00AF01B2" w:rsidP="00C96BA1">
      <w:pPr>
        <w:numPr>
          <w:ilvl w:val="0"/>
          <w:numId w:val="3"/>
        </w:numPr>
        <w:spacing w:before="40" w:after="40" w:line="220" w:lineRule="exact"/>
        <w:rPr>
          <w:szCs w:val="18"/>
        </w:rPr>
      </w:pPr>
      <w:hyperlink r:id="rId24" w:anchor="AHP" w:history="1">
        <w:r w:rsidR="00C96BA1" w:rsidRPr="006D7141">
          <w:t>Affordable Housing Program</w:t>
        </w:r>
      </w:hyperlink>
      <w:r w:rsidR="00C96BA1" w:rsidRPr="006D7141">
        <w:t xml:space="preserve"> (</w:t>
      </w:r>
      <w:r w:rsidR="00C96BA1" w:rsidRPr="00C301A1">
        <w:rPr>
          <w:szCs w:val="18"/>
        </w:rPr>
        <w:t>Flex)</w:t>
      </w:r>
    </w:p>
    <w:p w:rsidR="00C96BA1" w:rsidRDefault="00AF01B2" w:rsidP="00C96BA1">
      <w:pPr>
        <w:numPr>
          <w:ilvl w:val="0"/>
          <w:numId w:val="3"/>
        </w:numPr>
        <w:spacing w:before="40" w:after="40" w:line="220" w:lineRule="exact"/>
      </w:pPr>
      <w:hyperlink r:id="rId25" w:anchor="HTF" w:history="1">
        <w:r w:rsidR="00C96BA1" w:rsidRPr="006D7141">
          <w:t>Housing Trust Fund</w:t>
        </w:r>
      </w:hyperlink>
      <w:r w:rsidR="00C96BA1">
        <w:t xml:space="preserve"> (HTF)</w:t>
      </w:r>
    </w:p>
    <w:p w:rsidR="00C96BA1" w:rsidRDefault="00C96BA1" w:rsidP="00C96BA1">
      <w:pPr>
        <w:numPr>
          <w:ilvl w:val="0"/>
          <w:numId w:val="3"/>
        </w:numPr>
        <w:spacing w:before="40" w:after="40" w:line="220" w:lineRule="exact"/>
      </w:pPr>
      <w:r>
        <w:t>Elderly Congregate Rental Assistance Program</w:t>
      </w:r>
    </w:p>
    <w:p w:rsidR="00C96BA1" w:rsidRDefault="00C96BA1" w:rsidP="00C96BA1">
      <w:pPr>
        <w:numPr>
          <w:ilvl w:val="0"/>
          <w:numId w:val="3"/>
        </w:numPr>
        <w:spacing w:before="40" w:after="40" w:line="220" w:lineRule="exact"/>
      </w:pPr>
      <w:r>
        <w:t>Energy Conservation Loan Program</w:t>
      </w:r>
    </w:p>
    <w:p w:rsidR="00C96BA1" w:rsidRPr="00C301A1" w:rsidRDefault="00AF01B2" w:rsidP="00C96BA1">
      <w:pPr>
        <w:numPr>
          <w:ilvl w:val="0"/>
          <w:numId w:val="3"/>
        </w:numPr>
        <w:spacing w:before="40" w:after="40" w:line="220" w:lineRule="exact"/>
        <w:rPr>
          <w:szCs w:val="18"/>
        </w:rPr>
      </w:pPr>
      <w:hyperlink r:id="rId26" w:anchor="HOME" w:history="1">
        <w:r w:rsidR="00C96BA1" w:rsidRPr="006D7141">
          <w:t>HOME Investment Partnerships Program</w:t>
        </w:r>
      </w:hyperlink>
      <w:r w:rsidR="00C96BA1" w:rsidRPr="006D7141">
        <w:t xml:space="preserve"> (</w:t>
      </w:r>
      <w:r w:rsidR="00C96BA1" w:rsidRPr="00C301A1">
        <w:rPr>
          <w:szCs w:val="18"/>
        </w:rPr>
        <w:t>HOME)</w:t>
      </w:r>
    </w:p>
    <w:p w:rsidR="00C96BA1" w:rsidRDefault="00AF01B2" w:rsidP="00C96BA1">
      <w:pPr>
        <w:numPr>
          <w:ilvl w:val="0"/>
          <w:numId w:val="3"/>
        </w:numPr>
        <w:spacing w:before="40" w:after="40" w:line="220" w:lineRule="exact"/>
      </w:pPr>
      <w:hyperlink r:id="rId27" w:history="1">
        <w:r w:rsidR="00C96BA1" w:rsidRPr="006D7141">
          <w:t>Small Cities Community Development Block Grant Program</w:t>
        </w:r>
      </w:hyperlink>
      <w:r w:rsidR="00C96BA1">
        <w:t xml:space="preserve"> (SC-CDBG)</w:t>
      </w:r>
    </w:p>
    <w:p w:rsidR="00C96BA1" w:rsidRDefault="00C96BA1" w:rsidP="00C96BA1"/>
    <w:p w:rsidR="00C96BA1" w:rsidRDefault="00056110" w:rsidP="00C96BA1">
      <w:r>
        <w:t>S</w:t>
      </w:r>
      <w:r w:rsidR="00C96BA1">
        <w:t xml:space="preserve">hort-term housing strategies </w:t>
      </w:r>
      <w:r>
        <w:t>will be</w:t>
      </w:r>
      <w:r w:rsidR="00C96BA1">
        <w:t xml:space="preserve"> governed by the immediate housing needs of Connecticut’s communities and by the objectives set forth in the </w:t>
      </w:r>
      <w:r w:rsidR="006D7141">
        <w:t>s</w:t>
      </w:r>
      <w:r w:rsidR="00C96BA1">
        <w:t xml:space="preserve">tate’s </w:t>
      </w:r>
      <w:r w:rsidR="006D7141">
        <w:t>a</w:t>
      </w:r>
      <w:r w:rsidR="00C96BA1">
        <w:t xml:space="preserve">nnual </w:t>
      </w:r>
      <w:r w:rsidR="006D7141">
        <w:t>a</w:t>
      </w:r>
      <w:r w:rsidR="00C96BA1">
        <w:t xml:space="preserve">ction </w:t>
      </w:r>
      <w:r w:rsidR="006D7141">
        <w:t>p</w:t>
      </w:r>
      <w:r w:rsidR="00C96BA1">
        <w:t xml:space="preserve">lan for </w:t>
      </w:r>
      <w:r w:rsidR="006D7141">
        <w:t>h</w:t>
      </w:r>
      <w:r w:rsidR="00C96BA1">
        <w:t xml:space="preserve">ousing and </w:t>
      </w:r>
      <w:r w:rsidR="006D7141">
        <w:t>c</w:t>
      </w:r>
      <w:r w:rsidR="00C96BA1">
        <w:t xml:space="preserve">ommunity </w:t>
      </w:r>
      <w:r w:rsidR="006D7141">
        <w:t>d</w:t>
      </w:r>
      <w:r w:rsidR="00C96BA1">
        <w:t>evelopment</w:t>
      </w:r>
      <w:r>
        <w:t xml:space="preserve"> and will be</w:t>
      </w:r>
      <w:r w:rsidR="00C96BA1">
        <w:t xml:space="preserve"> achieved through the initiation and completion of individual housing projects. </w:t>
      </w:r>
    </w:p>
    <w:tbl>
      <w:tblPr>
        <w:tblpPr w:leftFromText="180" w:rightFromText="180" w:vertAnchor="text" w:horzAnchor="margin" w:tblpXSpec="right" w:tblpY="1037"/>
        <w:tblW w:w="5177"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CellMar>
          <w:top w:w="58" w:type="dxa"/>
          <w:left w:w="58" w:type="dxa"/>
          <w:bottom w:w="58" w:type="dxa"/>
          <w:right w:w="72" w:type="dxa"/>
        </w:tblCellMar>
        <w:tblLook w:val="01E0"/>
      </w:tblPr>
      <w:tblGrid>
        <w:gridCol w:w="1678"/>
        <w:gridCol w:w="1800"/>
        <w:gridCol w:w="1699"/>
      </w:tblGrid>
      <w:tr w:rsidR="00C96BA1" w:rsidRPr="009D2C58" w:rsidTr="00BF1936">
        <w:tc>
          <w:tcPr>
            <w:tcW w:w="5177" w:type="dxa"/>
            <w:gridSpan w:val="3"/>
            <w:shd w:val="clear" w:color="auto" w:fill="E5F5FF"/>
            <w:vAlign w:val="center"/>
          </w:tcPr>
          <w:p w:rsidR="00C96BA1" w:rsidRPr="009C1E02" w:rsidRDefault="00C96BA1" w:rsidP="009C1E02">
            <w:pPr>
              <w:pStyle w:val="NoSpacing"/>
              <w:rPr>
                <w:szCs w:val="18"/>
              </w:rPr>
            </w:pPr>
            <w:r w:rsidRPr="009C1E02">
              <w:rPr>
                <w:b/>
                <w:i/>
                <w:szCs w:val="18"/>
              </w:rPr>
              <w:t>Outcome Measure</w:t>
            </w:r>
            <w:r w:rsidR="009C1E02">
              <w:rPr>
                <w:b/>
                <w:i/>
                <w:szCs w:val="18"/>
              </w:rPr>
              <w:t xml:space="preserve"> </w:t>
            </w:r>
            <w:r w:rsidRPr="009C1E02">
              <w:rPr>
                <w:b/>
                <w:i/>
                <w:sz w:val="16"/>
                <w:szCs w:val="16"/>
              </w:rPr>
              <w:t>Housing Development – Economic Impact Change</w:t>
            </w:r>
          </w:p>
        </w:tc>
      </w:tr>
      <w:tr w:rsidR="00C96BA1" w:rsidRPr="0081543D" w:rsidTr="00BF1936">
        <w:trPr>
          <w:trHeight w:val="216"/>
        </w:trPr>
        <w:tc>
          <w:tcPr>
            <w:tcW w:w="1678" w:type="dxa"/>
            <w:vAlign w:val="bottom"/>
          </w:tcPr>
          <w:p w:rsidR="00C96BA1" w:rsidRPr="0081543D" w:rsidRDefault="00C96BA1" w:rsidP="00BF1936">
            <w:pPr>
              <w:spacing w:after="0"/>
              <w:rPr>
                <w:sz w:val="16"/>
                <w:szCs w:val="16"/>
              </w:rPr>
            </w:pPr>
          </w:p>
        </w:tc>
        <w:tc>
          <w:tcPr>
            <w:tcW w:w="1800" w:type="dxa"/>
            <w:vAlign w:val="bottom"/>
          </w:tcPr>
          <w:p w:rsidR="00C96BA1" w:rsidRPr="007E12B0" w:rsidRDefault="00C96BA1" w:rsidP="00BF1936">
            <w:pPr>
              <w:spacing w:after="0"/>
              <w:jc w:val="center"/>
              <w:rPr>
                <w:sz w:val="16"/>
                <w:szCs w:val="16"/>
              </w:rPr>
            </w:pPr>
            <w:r w:rsidRPr="007E12B0">
              <w:rPr>
                <w:sz w:val="16"/>
                <w:szCs w:val="16"/>
              </w:rPr>
              <w:t>Portfolio Aggregate</w:t>
            </w:r>
          </w:p>
        </w:tc>
        <w:tc>
          <w:tcPr>
            <w:tcW w:w="1699" w:type="dxa"/>
            <w:vAlign w:val="bottom"/>
          </w:tcPr>
          <w:p w:rsidR="00C96BA1" w:rsidRPr="007E12B0" w:rsidRDefault="00E30DCF" w:rsidP="00BF1936">
            <w:pPr>
              <w:spacing w:after="0"/>
              <w:jc w:val="center"/>
              <w:rPr>
                <w:sz w:val="16"/>
                <w:szCs w:val="16"/>
              </w:rPr>
            </w:pPr>
            <w:r>
              <w:rPr>
                <w:sz w:val="16"/>
                <w:szCs w:val="16"/>
              </w:rPr>
              <w:t>FY</w:t>
            </w:r>
            <w:r w:rsidR="007E12B0" w:rsidRPr="007E12B0">
              <w:rPr>
                <w:sz w:val="16"/>
                <w:szCs w:val="16"/>
              </w:rPr>
              <w:t xml:space="preserve"> 2011</w:t>
            </w:r>
          </w:p>
        </w:tc>
      </w:tr>
      <w:tr w:rsidR="00C96BA1" w:rsidRPr="0081543D" w:rsidTr="00BF1936">
        <w:trPr>
          <w:trHeight w:val="216"/>
        </w:trPr>
        <w:tc>
          <w:tcPr>
            <w:tcW w:w="1678" w:type="dxa"/>
            <w:vAlign w:val="center"/>
          </w:tcPr>
          <w:p w:rsidR="00C96BA1" w:rsidRPr="0081543D" w:rsidRDefault="00C96BA1" w:rsidP="00BF1936">
            <w:pPr>
              <w:spacing w:after="0"/>
              <w:jc w:val="left"/>
              <w:rPr>
                <w:sz w:val="16"/>
                <w:szCs w:val="16"/>
              </w:rPr>
            </w:pPr>
            <w:r>
              <w:rPr>
                <w:sz w:val="16"/>
                <w:szCs w:val="16"/>
              </w:rPr>
              <w:t>Gross State Product</w:t>
            </w:r>
          </w:p>
        </w:tc>
        <w:tc>
          <w:tcPr>
            <w:tcW w:w="1800" w:type="dxa"/>
            <w:vAlign w:val="center"/>
          </w:tcPr>
          <w:p w:rsidR="00C96BA1" w:rsidRPr="0081543D" w:rsidRDefault="00C96BA1" w:rsidP="00BF1936">
            <w:pPr>
              <w:spacing w:after="0"/>
              <w:jc w:val="center"/>
              <w:rPr>
                <w:sz w:val="16"/>
                <w:szCs w:val="16"/>
              </w:rPr>
            </w:pPr>
            <w:r>
              <w:rPr>
                <w:sz w:val="16"/>
                <w:szCs w:val="16"/>
              </w:rPr>
              <w:t>$923,391,822</w:t>
            </w:r>
          </w:p>
        </w:tc>
        <w:tc>
          <w:tcPr>
            <w:tcW w:w="1699" w:type="dxa"/>
            <w:vAlign w:val="center"/>
          </w:tcPr>
          <w:p w:rsidR="00C96BA1" w:rsidRPr="0081543D" w:rsidRDefault="00C96BA1" w:rsidP="00BF1936">
            <w:pPr>
              <w:spacing w:after="0"/>
              <w:jc w:val="center"/>
              <w:rPr>
                <w:sz w:val="16"/>
                <w:szCs w:val="16"/>
              </w:rPr>
            </w:pPr>
            <w:r>
              <w:rPr>
                <w:sz w:val="16"/>
                <w:szCs w:val="16"/>
              </w:rPr>
              <w:t>$34,446,626</w:t>
            </w:r>
          </w:p>
        </w:tc>
      </w:tr>
      <w:tr w:rsidR="00C96BA1" w:rsidRPr="0081543D" w:rsidTr="00BF1936">
        <w:trPr>
          <w:trHeight w:val="216"/>
        </w:trPr>
        <w:tc>
          <w:tcPr>
            <w:tcW w:w="1678" w:type="dxa"/>
            <w:vAlign w:val="center"/>
          </w:tcPr>
          <w:p w:rsidR="00C96BA1" w:rsidRPr="0081543D" w:rsidRDefault="00C96BA1" w:rsidP="00BF1936">
            <w:pPr>
              <w:spacing w:after="0"/>
              <w:jc w:val="left"/>
              <w:rPr>
                <w:sz w:val="16"/>
                <w:szCs w:val="16"/>
              </w:rPr>
            </w:pPr>
            <w:r>
              <w:rPr>
                <w:sz w:val="16"/>
                <w:szCs w:val="16"/>
              </w:rPr>
              <w:t>Personal Income</w:t>
            </w:r>
          </w:p>
        </w:tc>
        <w:tc>
          <w:tcPr>
            <w:tcW w:w="1800" w:type="dxa"/>
            <w:vAlign w:val="center"/>
          </w:tcPr>
          <w:p w:rsidR="00C96BA1" w:rsidRPr="0081543D" w:rsidRDefault="00C96BA1" w:rsidP="00BF1936">
            <w:pPr>
              <w:spacing w:after="0"/>
              <w:jc w:val="center"/>
              <w:rPr>
                <w:sz w:val="16"/>
                <w:szCs w:val="16"/>
              </w:rPr>
            </w:pPr>
            <w:r>
              <w:rPr>
                <w:sz w:val="16"/>
                <w:szCs w:val="16"/>
              </w:rPr>
              <w:t>$1,078,085,878</w:t>
            </w:r>
          </w:p>
        </w:tc>
        <w:tc>
          <w:tcPr>
            <w:tcW w:w="1699" w:type="dxa"/>
            <w:vAlign w:val="center"/>
          </w:tcPr>
          <w:p w:rsidR="00C96BA1" w:rsidRPr="0081543D" w:rsidRDefault="00C96BA1" w:rsidP="00BF1936">
            <w:pPr>
              <w:spacing w:after="0"/>
              <w:jc w:val="center"/>
              <w:rPr>
                <w:sz w:val="16"/>
                <w:szCs w:val="16"/>
              </w:rPr>
            </w:pPr>
            <w:r w:rsidRPr="0081543D">
              <w:rPr>
                <w:sz w:val="16"/>
                <w:szCs w:val="16"/>
              </w:rPr>
              <w:t>$</w:t>
            </w:r>
            <w:r>
              <w:rPr>
                <w:sz w:val="16"/>
                <w:szCs w:val="16"/>
              </w:rPr>
              <w:t>42,000,000</w:t>
            </w:r>
          </w:p>
        </w:tc>
      </w:tr>
      <w:tr w:rsidR="00C96BA1" w:rsidRPr="0081543D" w:rsidTr="00BF1936">
        <w:trPr>
          <w:trHeight w:val="216"/>
        </w:trPr>
        <w:tc>
          <w:tcPr>
            <w:tcW w:w="1678" w:type="dxa"/>
            <w:vAlign w:val="center"/>
          </w:tcPr>
          <w:p w:rsidR="00C96BA1" w:rsidRPr="0081543D" w:rsidRDefault="00C96BA1" w:rsidP="00BF1936">
            <w:pPr>
              <w:spacing w:after="0"/>
              <w:jc w:val="left"/>
              <w:rPr>
                <w:sz w:val="16"/>
                <w:szCs w:val="16"/>
              </w:rPr>
            </w:pPr>
            <w:r>
              <w:rPr>
                <w:sz w:val="16"/>
                <w:szCs w:val="16"/>
              </w:rPr>
              <w:t>State Net Revenue</w:t>
            </w:r>
          </w:p>
        </w:tc>
        <w:tc>
          <w:tcPr>
            <w:tcW w:w="1800" w:type="dxa"/>
            <w:vAlign w:val="center"/>
          </w:tcPr>
          <w:p w:rsidR="00C96BA1" w:rsidRPr="0081543D" w:rsidRDefault="00C96BA1" w:rsidP="00BF1936">
            <w:pPr>
              <w:spacing w:after="0"/>
              <w:jc w:val="center"/>
              <w:rPr>
                <w:sz w:val="16"/>
                <w:szCs w:val="16"/>
              </w:rPr>
            </w:pPr>
            <w:r>
              <w:rPr>
                <w:sz w:val="16"/>
                <w:szCs w:val="16"/>
              </w:rPr>
              <w:t>$8,315,596</w:t>
            </w:r>
          </w:p>
        </w:tc>
        <w:tc>
          <w:tcPr>
            <w:tcW w:w="1699" w:type="dxa"/>
            <w:vAlign w:val="center"/>
          </w:tcPr>
          <w:p w:rsidR="00C96BA1" w:rsidRPr="0081543D" w:rsidRDefault="00C96BA1" w:rsidP="00BF1936">
            <w:pPr>
              <w:spacing w:after="0"/>
              <w:jc w:val="center"/>
              <w:rPr>
                <w:sz w:val="16"/>
                <w:szCs w:val="16"/>
              </w:rPr>
            </w:pPr>
            <w:r>
              <w:rPr>
                <w:sz w:val="16"/>
                <w:szCs w:val="16"/>
              </w:rPr>
              <w:t>-$227,406</w:t>
            </w:r>
          </w:p>
        </w:tc>
      </w:tr>
    </w:tbl>
    <w:p w:rsidR="00C96BA1" w:rsidRPr="009C1E02" w:rsidRDefault="00C96BA1" w:rsidP="00C96BA1">
      <w:pPr>
        <w:rPr>
          <w:sz w:val="16"/>
          <w:szCs w:val="16"/>
        </w:rPr>
        <w:sectPr w:rsidR="00C96BA1" w:rsidRPr="009C1E02" w:rsidSect="00BF1936">
          <w:type w:val="continuous"/>
          <w:pgSz w:w="12240" w:h="15840" w:code="1"/>
          <w:pgMar w:top="864" w:right="720" w:bottom="1152" w:left="720" w:header="432" w:footer="288" w:gutter="216"/>
          <w:cols w:num="2" w:space="432"/>
          <w:noEndnote/>
        </w:sectPr>
      </w:pPr>
    </w:p>
    <w:tbl>
      <w:tblPr>
        <w:tblW w:w="5177" w:type="dxa"/>
        <w:tblInd w:w="58"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CellMar>
          <w:top w:w="58" w:type="dxa"/>
          <w:left w:w="58" w:type="dxa"/>
          <w:bottom w:w="58" w:type="dxa"/>
          <w:right w:w="72" w:type="dxa"/>
        </w:tblCellMar>
        <w:tblLook w:val="01E0"/>
      </w:tblPr>
      <w:tblGrid>
        <w:gridCol w:w="933"/>
        <w:gridCol w:w="1980"/>
        <w:gridCol w:w="2264"/>
      </w:tblGrid>
      <w:tr w:rsidR="00C96BA1" w:rsidRPr="009D2C58" w:rsidTr="00BF1936">
        <w:tc>
          <w:tcPr>
            <w:tcW w:w="5177" w:type="dxa"/>
            <w:gridSpan w:val="3"/>
            <w:shd w:val="clear" w:color="auto" w:fill="E5F5FF"/>
            <w:vAlign w:val="center"/>
          </w:tcPr>
          <w:p w:rsidR="00C96BA1" w:rsidRPr="009C1E02" w:rsidRDefault="009C1E02" w:rsidP="009C1E02">
            <w:pPr>
              <w:pStyle w:val="NoSpacing"/>
              <w:rPr>
                <w:b/>
                <w:i/>
                <w:szCs w:val="18"/>
              </w:rPr>
            </w:pPr>
            <w:r w:rsidRPr="009C1E02">
              <w:rPr>
                <w:b/>
                <w:i/>
                <w:szCs w:val="18"/>
              </w:rPr>
              <w:lastRenderedPageBreak/>
              <w:t>Outcome Measure – Community Development Activities</w:t>
            </w:r>
          </w:p>
        </w:tc>
      </w:tr>
      <w:tr w:rsidR="00C96BA1" w:rsidRPr="009D2C58" w:rsidTr="00BF1936">
        <w:tc>
          <w:tcPr>
            <w:tcW w:w="5177" w:type="dxa"/>
            <w:gridSpan w:val="3"/>
            <w:shd w:val="clear" w:color="auto" w:fill="auto"/>
            <w:vAlign w:val="center"/>
          </w:tcPr>
          <w:p w:rsidR="00C96BA1" w:rsidRPr="0081543D" w:rsidRDefault="00C96BA1" w:rsidP="007E12B0">
            <w:pPr>
              <w:jc w:val="center"/>
              <w:rPr>
                <w:sz w:val="16"/>
                <w:szCs w:val="16"/>
              </w:rPr>
            </w:pPr>
            <w:r>
              <w:rPr>
                <w:sz w:val="16"/>
                <w:szCs w:val="16"/>
              </w:rPr>
              <w:t>Projects/Activities FY 2012</w:t>
            </w:r>
          </w:p>
        </w:tc>
      </w:tr>
      <w:tr w:rsidR="00C96BA1" w:rsidRPr="0081543D" w:rsidTr="00BF1936">
        <w:trPr>
          <w:trHeight w:val="216"/>
        </w:trPr>
        <w:tc>
          <w:tcPr>
            <w:tcW w:w="933" w:type="dxa"/>
            <w:vAlign w:val="bottom"/>
          </w:tcPr>
          <w:p w:rsidR="00C96BA1" w:rsidRPr="0081543D" w:rsidRDefault="00C96BA1" w:rsidP="00BF1936">
            <w:pPr>
              <w:spacing w:after="0"/>
              <w:rPr>
                <w:sz w:val="16"/>
                <w:szCs w:val="16"/>
              </w:rPr>
            </w:pPr>
          </w:p>
        </w:tc>
        <w:tc>
          <w:tcPr>
            <w:tcW w:w="1980" w:type="dxa"/>
            <w:vAlign w:val="bottom"/>
          </w:tcPr>
          <w:p w:rsidR="00C96BA1" w:rsidRPr="0081543D" w:rsidRDefault="00C96BA1" w:rsidP="00BF1936">
            <w:pPr>
              <w:spacing w:after="0"/>
              <w:jc w:val="right"/>
              <w:rPr>
                <w:sz w:val="16"/>
                <w:szCs w:val="16"/>
                <w:u w:val="single"/>
              </w:rPr>
            </w:pPr>
            <w:r>
              <w:rPr>
                <w:sz w:val="16"/>
                <w:szCs w:val="16"/>
                <w:u w:val="single"/>
              </w:rPr>
              <w:t>Communities Assisted</w:t>
            </w:r>
          </w:p>
        </w:tc>
        <w:tc>
          <w:tcPr>
            <w:tcW w:w="2264" w:type="dxa"/>
            <w:vAlign w:val="bottom"/>
          </w:tcPr>
          <w:p w:rsidR="00C96BA1" w:rsidRPr="0081543D" w:rsidRDefault="00C96BA1" w:rsidP="00BF1936">
            <w:pPr>
              <w:spacing w:after="0"/>
              <w:jc w:val="center"/>
              <w:rPr>
                <w:sz w:val="16"/>
                <w:szCs w:val="16"/>
                <w:u w:val="single"/>
              </w:rPr>
            </w:pPr>
            <w:r>
              <w:rPr>
                <w:sz w:val="16"/>
                <w:szCs w:val="16"/>
                <w:u w:val="single"/>
              </w:rPr>
              <w:t>Investment</w:t>
            </w:r>
          </w:p>
        </w:tc>
      </w:tr>
      <w:tr w:rsidR="00C96BA1" w:rsidRPr="0081543D" w:rsidTr="00BF1936">
        <w:trPr>
          <w:trHeight w:val="216"/>
        </w:trPr>
        <w:tc>
          <w:tcPr>
            <w:tcW w:w="933" w:type="dxa"/>
            <w:vAlign w:val="center"/>
          </w:tcPr>
          <w:p w:rsidR="00C96BA1" w:rsidRPr="0081543D" w:rsidRDefault="00C96BA1" w:rsidP="00BF1936">
            <w:pPr>
              <w:spacing w:after="0"/>
              <w:jc w:val="left"/>
              <w:rPr>
                <w:sz w:val="16"/>
                <w:szCs w:val="16"/>
              </w:rPr>
            </w:pPr>
            <w:r>
              <w:rPr>
                <w:sz w:val="16"/>
                <w:szCs w:val="16"/>
              </w:rPr>
              <w:t>SC- CDBG</w:t>
            </w:r>
          </w:p>
        </w:tc>
        <w:tc>
          <w:tcPr>
            <w:tcW w:w="1980" w:type="dxa"/>
            <w:vAlign w:val="center"/>
          </w:tcPr>
          <w:p w:rsidR="00C96BA1" w:rsidRPr="0081543D" w:rsidRDefault="00C96BA1" w:rsidP="00BF1936">
            <w:pPr>
              <w:spacing w:after="0"/>
              <w:jc w:val="center"/>
              <w:rPr>
                <w:sz w:val="16"/>
                <w:szCs w:val="16"/>
              </w:rPr>
            </w:pPr>
            <w:r>
              <w:rPr>
                <w:sz w:val="16"/>
                <w:szCs w:val="16"/>
              </w:rPr>
              <w:t>33</w:t>
            </w:r>
          </w:p>
        </w:tc>
        <w:tc>
          <w:tcPr>
            <w:tcW w:w="2264" w:type="dxa"/>
            <w:vAlign w:val="center"/>
          </w:tcPr>
          <w:p w:rsidR="00C96BA1" w:rsidRPr="0081543D" w:rsidRDefault="00C96BA1" w:rsidP="00BF1936">
            <w:pPr>
              <w:spacing w:after="0"/>
              <w:jc w:val="center"/>
              <w:rPr>
                <w:sz w:val="16"/>
                <w:szCs w:val="16"/>
              </w:rPr>
            </w:pPr>
            <w:r w:rsidRPr="0081543D">
              <w:rPr>
                <w:sz w:val="16"/>
                <w:szCs w:val="16"/>
              </w:rPr>
              <w:t>$</w:t>
            </w:r>
            <w:r>
              <w:rPr>
                <w:sz w:val="16"/>
                <w:szCs w:val="16"/>
              </w:rPr>
              <w:t>17,035,000</w:t>
            </w:r>
          </w:p>
        </w:tc>
      </w:tr>
    </w:tbl>
    <w:p w:rsidR="00C96BA1" w:rsidRDefault="00C96BA1" w:rsidP="00C96BA1"/>
    <w:p w:rsidR="00C96BA1" w:rsidRDefault="00C96BA1" w:rsidP="00C96BA1"/>
    <w:p w:rsidR="00197227" w:rsidRDefault="00197227" w:rsidP="00197227">
      <w:pPr>
        <w:rPr>
          <w:rFonts w:eastAsiaTheme="minorHAnsi" w:cs="Calibri"/>
          <w:color w:val="000000"/>
          <w:szCs w:val="18"/>
        </w:rPr>
        <w:sectPr w:rsidR="00197227" w:rsidSect="00197227">
          <w:headerReference w:type="even" r:id="rId28"/>
          <w:headerReference w:type="default" r:id="rId29"/>
          <w:footerReference w:type="even" r:id="rId30"/>
          <w:footerReference w:type="default" r:id="rId31"/>
          <w:type w:val="continuous"/>
          <w:pgSz w:w="12240" w:h="15840" w:code="1"/>
          <w:pgMar w:top="864" w:right="720" w:bottom="864" w:left="720" w:header="432" w:footer="288" w:gutter="216"/>
          <w:cols w:num="2" w:space="720"/>
        </w:sectPr>
      </w:pPr>
    </w:p>
    <w:p w:rsidR="00434C3F" w:rsidRDefault="00434C3F" w:rsidP="004B4EE5"/>
    <w:p w:rsidR="009C1E02" w:rsidRPr="006A71B1" w:rsidRDefault="00AF01B2" w:rsidP="009C1E02">
      <w:pPr>
        <w:pStyle w:val="H2"/>
        <w:jc w:val="left"/>
        <w:rPr>
          <w:rStyle w:val="Hyperlink"/>
          <w:rFonts w:eastAsiaTheme="majorEastAsia"/>
        </w:rPr>
        <w:sectPr w:rsidR="009C1E02" w:rsidRPr="006A71B1" w:rsidSect="009A40ED">
          <w:headerReference w:type="even" r:id="rId32"/>
          <w:headerReference w:type="default" r:id="rId33"/>
          <w:footerReference w:type="even" r:id="rId34"/>
          <w:footerReference w:type="default" r:id="rId35"/>
          <w:type w:val="continuous"/>
          <w:pgSz w:w="12240" w:h="15840" w:code="1"/>
          <w:pgMar w:top="864" w:right="720" w:bottom="864" w:left="720" w:header="432" w:footer="288" w:gutter="216"/>
          <w:cols w:space="720"/>
        </w:sectPr>
      </w:pPr>
      <w:r w:rsidRPr="00EE21D9">
        <w:fldChar w:fldCharType="begin"/>
      </w:r>
      <w:r w:rsidR="004B4EE5">
        <w:instrText xml:space="preserve"> XE "DOH46900 30000</w:instrText>
      </w:r>
      <w:r w:rsidR="004B4EE5" w:rsidRPr="00EE21D9">
        <w:instrText xml:space="preserve">" </w:instrText>
      </w:r>
      <w:r w:rsidRPr="00EE21D9">
        <w:fldChar w:fldCharType="end"/>
      </w:r>
      <w:r w:rsidR="009C1E02">
        <w:t>AGENCY MANAGEMENT sERVICES</w:t>
      </w:r>
    </w:p>
    <w:p w:rsidR="009C1E02" w:rsidRDefault="009C1E02" w:rsidP="009C1E02">
      <w:pPr>
        <w:autoSpaceDE w:val="0"/>
        <w:autoSpaceDN w:val="0"/>
        <w:adjustRightInd w:val="0"/>
        <w:spacing w:after="0"/>
        <w:jc w:val="left"/>
        <w:rPr>
          <w:rFonts w:eastAsiaTheme="minorHAnsi" w:cs="Calibri-BoldItalic"/>
          <w:b/>
          <w:bCs/>
          <w:i/>
          <w:iCs/>
          <w:color w:val="002D87"/>
          <w:sz w:val="20"/>
        </w:rPr>
      </w:pPr>
      <w:r w:rsidRPr="00B0079A">
        <w:rPr>
          <w:rFonts w:eastAsiaTheme="minorHAnsi" w:cs="Calibri-BoldItalic"/>
          <w:b/>
          <w:bCs/>
          <w:i/>
          <w:iCs/>
          <w:color w:val="002D87"/>
          <w:sz w:val="20"/>
        </w:rPr>
        <w:lastRenderedPageBreak/>
        <w:t>Statutory Reference</w:t>
      </w:r>
    </w:p>
    <w:p w:rsidR="00820687" w:rsidRDefault="00820687" w:rsidP="009C1E02">
      <w:pPr>
        <w:autoSpaceDE w:val="0"/>
        <w:autoSpaceDN w:val="0"/>
        <w:adjustRightInd w:val="0"/>
        <w:spacing w:after="0"/>
        <w:jc w:val="left"/>
        <w:rPr>
          <w:rFonts w:ascii="Calibri-BoldItalic" w:eastAsiaTheme="minorHAnsi" w:hAnsi="Calibri-BoldItalic" w:cs="Calibri-BoldItalic"/>
          <w:b/>
          <w:bCs/>
          <w:i/>
          <w:iCs/>
          <w:color w:val="002D87"/>
          <w:sz w:val="20"/>
        </w:rPr>
      </w:pPr>
      <w:r>
        <w:t>Public Act 12-1</w:t>
      </w:r>
      <w:r w:rsidR="005A4120">
        <w:t>, June Special Session</w:t>
      </w:r>
      <w:r>
        <w:t>.</w:t>
      </w:r>
    </w:p>
    <w:p w:rsidR="009C1E02" w:rsidRDefault="009C1E02" w:rsidP="009C1E02">
      <w:pPr>
        <w:autoSpaceDE w:val="0"/>
        <w:autoSpaceDN w:val="0"/>
        <w:adjustRightInd w:val="0"/>
        <w:spacing w:after="0"/>
        <w:jc w:val="left"/>
        <w:rPr>
          <w:rFonts w:eastAsiaTheme="minorHAnsi" w:cs="Calibri"/>
          <w:color w:val="000000"/>
          <w:szCs w:val="18"/>
        </w:rPr>
      </w:pPr>
    </w:p>
    <w:p w:rsidR="009C1E02" w:rsidRDefault="009C1E02" w:rsidP="009C1E02">
      <w:pPr>
        <w:autoSpaceDE w:val="0"/>
        <w:autoSpaceDN w:val="0"/>
        <w:adjustRightInd w:val="0"/>
        <w:spacing w:after="0"/>
        <w:jc w:val="left"/>
        <w:rPr>
          <w:rFonts w:ascii="Calibri-BoldItalic" w:eastAsiaTheme="minorHAnsi" w:hAnsi="Calibri-BoldItalic" w:cs="Calibri-BoldItalic"/>
          <w:b/>
          <w:bCs/>
          <w:i/>
          <w:iCs/>
          <w:color w:val="002D87"/>
          <w:sz w:val="20"/>
        </w:rPr>
      </w:pPr>
      <w:r w:rsidRPr="00B0079A">
        <w:rPr>
          <w:rFonts w:eastAsiaTheme="minorHAnsi" w:cs="Calibri-BoldItalic"/>
          <w:b/>
          <w:bCs/>
          <w:i/>
          <w:iCs/>
          <w:color w:val="002D87"/>
          <w:sz w:val="20"/>
        </w:rPr>
        <w:t>Statement of Need and Program Objectives</w:t>
      </w:r>
    </w:p>
    <w:p w:rsidR="00FC54C6" w:rsidRDefault="00FC54C6" w:rsidP="00FC54C6">
      <w:pPr>
        <w:autoSpaceDE w:val="0"/>
        <w:autoSpaceDN w:val="0"/>
        <w:adjustRightInd w:val="0"/>
        <w:spacing w:after="0"/>
      </w:pPr>
      <w:r>
        <w:t xml:space="preserve">To establish policies and direction; to communicate housing information to the public; and to enable efficient implementation </w:t>
      </w:r>
      <w:r>
        <w:lastRenderedPageBreak/>
        <w:t xml:space="preserve">of housing programs and policies through the delivery of essential support services in management, policy and planning.  </w:t>
      </w:r>
    </w:p>
    <w:p w:rsidR="00FC54C6" w:rsidRDefault="00FC54C6" w:rsidP="009C1E02">
      <w:pPr>
        <w:autoSpaceDE w:val="0"/>
        <w:autoSpaceDN w:val="0"/>
        <w:adjustRightInd w:val="0"/>
        <w:spacing w:after="0"/>
        <w:jc w:val="left"/>
      </w:pPr>
    </w:p>
    <w:p w:rsidR="009C1E02" w:rsidRDefault="009C1E02" w:rsidP="009C1E02">
      <w:pPr>
        <w:autoSpaceDE w:val="0"/>
        <w:autoSpaceDN w:val="0"/>
        <w:adjustRightInd w:val="0"/>
        <w:spacing w:after="0"/>
        <w:jc w:val="left"/>
        <w:rPr>
          <w:rFonts w:ascii="Calibri-BoldItalic" w:eastAsiaTheme="minorHAnsi" w:hAnsi="Calibri-BoldItalic" w:cs="Calibri-BoldItalic"/>
          <w:b/>
          <w:bCs/>
          <w:i/>
          <w:iCs/>
          <w:color w:val="002D87"/>
          <w:sz w:val="20"/>
        </w:rPr>
      </w:pPr>
      <w:r w:rsidRPr="00B0079A">
        <w:rPr>
          <w:rFonts w:asciiTheme="minorHAnsi" w:eastAsiaTheme="minorHAnsi" w:hAnsiTheme="minorHAnsi" w:cs="Calibri-BoldItalic"/>
          <w:b/>
          <w:bCs/>
          <w:i/>
          <w:iCs/>
          <w:color w:val="002D87"/>
          <w:sz w:val="20"/>
        </w:rPr>
        <w:t>Program Description</w:t>
      </w:r>
    </w:p>
    <w:p w:rsidR="00FC54C6" w:rsidRDefault="00FC54C6" w:rsidP="00243DFF">
      <w:pPr>
        <w:autoSpaceDE w:val="0"/>
        <w:autoSpaceDN w:val="0"/>
        <w:adjustRightInd w:val="0"/>
        <w:spacing w:after="0"/>
      </w:pPr>
      <w:r>
        <w:t>The Office of the Commissioner sets policy and issues directives and guidance on administration and housing procedural matters.</w:t>
      </w:r>
    </w:p>
    <w:p w:rsidR="00FC54C6" w:rsidRDefault="00FC54C6" w:rsidP="00FC54C6">
      <w:pPr>
        <w:autoSpaceDE w:val="0"/>
        <w:autoSpaceDN w:val="0"/>
        <w:adjustRightInd w:val="0"/>
        <w:spacing w:after="0"/>
        <w:jc w:val="left"/>
        <w:sectPr w:rsidR="00FC54C6" w:rsidSect="00FC54C6">
          <w:headerReference w:type="even" r:id="rId36"/>
          <w:headerReference w:type="default" r:id="rId37"/>
          <w:footerReference w:type="even" r:id="rId38"/>
          <w:footerReference w:type="default" r:id="rId39"/>
          <w:type w:val="continuous"/>
          <w:pgSz w:w="12240" w:h="15840" w:code="1"/>
          <w:pgMar w:top="864" w:right="720" w:bottom="864" w:left="720" w:header="432" w:footer="288" w:gutter="216"/>
          <w:cols w:num="2" w:space="720"/>
        </w:sectPr>
      </w:pPr>
    </w:p>
    <w:p w:rsidR="00FC54C6" w:rsidRDefault="00FC54C6" w:rsidP="009520A5">
      <w:pPr>
        <w:spacing w:after="200" w:line="276" w:lineRule="auto"/>
        <w:jc w:val="left"/>
        <w:rPr>
          <w:rFonts w:eastAsiaTheme="minorHAnsi"/>
        </w:rPr>
      </w:pPr>
    </w:p>
    <w:sectPr w:rsidR="00FC54C6" w:rsidSect="00FC54C6">
      <w:headerReference w:type="even" r:id="rId40"/>
      <w:headerReference w:type="default" r:id="rId41"/>
      <w:footerReference w:type="even" r:id="rId42"/>
      <w:footerReference w:type="default" r:id="rId43"/>
      <w:type w:val="continuous"/>
      <w:pgSz w:w="12240" w:h="15840" w:code="1"/>
      <w:pgMar w:top="864" w:right="720" w:bottom="864"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CF4" w:rsidRDefault="00B02CF4" w:rsidP="0027184B">
      <w:pPr>
        <w:spacing w:after="0"/>
      </w:pPr>
      <w:r>
        <w:separator/>
      </w:r>
    </w:p>
  </w:endnote>
  <w:endnote w:type="continuationSeparator" w:id="0">
    <w:p w:rsidR="00B02CF4" w:rsidRDefault="00B02CF4" w:rsidP="002718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Bold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907" w:wrap="around" w:vAnchor="text" w:hAnchor="page" w:x="5662" w:y="10"/>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Pr>
        <w:rStyle w:val="PageNumber"/>
        <w:noProof/>
      </w:rPr>
      <w:t>2</w:t>
    </w:r>
    <w:r w:rsidR="00AF01B2">
      <w:rPr>
        <w:rStyle w:val="PageNumber"/>
      </w:rPr>
      <w:fldChar w:fldCharType="end"/>
    </w:r>
  </w:p>
  <w:p w:rsidR="00B02CF4" w:rsidRPr="00694E2C" w:rsidRDefault="00B02CF4" w:rsidP="00BF1936">
    <w:pPr>
      <w:pStyle w:val="Footer"/>
      <w:tabs>
        <w:tab w:val="right" w:pos="10620"/>
      </w:tabs>
      <w:jc w:val="both"/>
    </w:pPr>
    <w:r>
      <w:t xml:space="preserve">Workers’ Compensation Commission </w:t>
    </w:r>
    <w:r>
      <w:tab/>
      <w:t>Regulation and Protection</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907" w:wrap="around" w:vAnchor="text" w:hAnchor="page" w:x="5662" w:y="10"/>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Pr>
        <w:rStyle w:val="PageNumber"/>
        <w:noProof/>
      </w:rPr>
      <w:t>2</w:t>
    </w:r>
    <w:r w:rsidR="00AF01B2">
      <w:rPr>
        <w:rStyle w:val="PageNumber"/>
      </w:rPr>
      <w:fldChar w:fldCharType="end"/>
    </w:r>
  </w:p>
  <w:p w:rsidR="00B02CF4" w:rsidRPr="00694E2C" w:rsidRDefault="00B02CF4" w:rsidP="00BF1936">
    <w:pPr>
      <w:pStyle w:val="Footer"/>
      <w:tabs>
        <w:tab w:val="right" w:pos="10620"/>
      </w:tabs>
      <w:jc w:val="both"/>
    </w:pPr>
    <w:r>
      <w:t xml:space="preserve">Workers’ Compensation Commission </w:t>
    </w:r>
    <w:r>
      <w:tab/>
      <w:t>Regulation and Protection</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907" w:wrap="around" w:vAnchor="text" w:hAnchor="page" w:x="5662" w:y="10"/>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Pr>
        <w:rStyle w:val="PageNumber"/>
        <w:noProof/>
      </w:rPr>
      <w:t>2</w:t>
    </w:r>
    <w:r w:rsidR="00AF01B2">
      <w:rPr>
        <w:rStyle w:val="PageNumber"/>
      </w:rPr>
      <w:fldChar w:fldCharType="end"/>
    </w:r>
  </w:p>
  <w:p w:rsidR="00B02CF4" w:rsidRDefault="00B02CF4" w:rsidP="00BF1936">
    <w:pPr>
      <w:pStyle w:val="Footer"/>
      <w:tabs>
        <w:tab w:val="right" w:pos="10620"/>
      </w:tabs>
      <w:jc w:val="both"/>
    </w:pPr>
    <w:r>
      <w:t>Human Services</w:t>
    </w:r>
    <w:r>
      <w:tab/>
      <w:t>Department of Housing</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907" w:wrap="around" w:vAnchor="text" w:hAnchor="page" w:x="5662" w:y="10"/>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Pr>
        <w:rStyle w:val="PageNumber"/>
        <w:noProof/>
      </w:rPr>
      <w:t>2</w:t>
    </w:r>
    <w:r w:rsidR="00AF01B2">
      <w:rPr>
        <w:rStyle w:val="PageNumber"/>
      </w:rPr>
      <w:fldChar w:fldCharType="end"/>
    </w:r>
  </w:p>
  <w:p w:rsidR="00B02CF4" w:rsidRPr="00694E2C" w:rsidRDefault="00B02CF4" w:rsidP="00BF1936">
    <w:pPr>
      <w:pStyle w:val="Footer"/>
      <w:tabs>
        <w:tab w:val="right" w:pos="10620"/>
      </w:tabs>
      <w:jc w:val="both"/>
    </w:pPr>
    <w:r>
      <w:t xml:space="preserve">Workers’ Compensation Commission </w:t>
    </w:r>
    <w:r>
      <w:tab/>
      <w:t>Regulation and Protection</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907" w:wrap="around" w:vAnchor="text" w:hAnchor="page" w:x="5662" w:y="10"/>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Pr>
        <w:rStyle w:val="PageNumber"/>
        <w:noProof/>
      </w:rPr>
      <w:t>2</w:t>
    </w:r>
    <w:r w:rsidR="00AF01B2">
      <w:rPr>
        <w:rStyle w:val="PageNumber"/>
      </w:rPr>
      <w:fldChar w:fldCharType="end"/>
    </w:r>
  </w:p>
  <w:p w:rsidR="00B02CF4" w:rsidRDefault="00B02CF4" w:rsidP="00BF1936">
    <w:pPr>
      <w:pStyle w:val="Footer"/>
      <w:tabs>
        <w:tab w:val="right" w:pos="10620"/>
      </w:tabs>
      <w:jc w:val="both"/>
    </w:pPr>
    <w:r>
      <w:t>Human Services</w:t>
    </w:r>
    <w:r>
      <w:tab/>
      <w:t>Department of Housing</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907" w:wrap="around" w:vAnchor="text" w:hAnchor="page" w:x="5662" w:y="10"/>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Pr>
        <w:rStyle w:val="PageNumber"/>
        <w:noProof/>
      </w:rPr>
      <w:t>2</w:t>
    </w:r>
    <w:r w:rsidR="00AF01B2">
      <w:rPr>
        <w:rStyle w:val="PageNumber"/>
      </w:rPr>
      <w:fldChar w:fldCharType="end"/>
    </w:r>
  </w:p>
  <w:p w:rsidR="00B02CF4" w:rsidRPr="00694E2C" w:rsidRDefault="00B02CF4" w:rsidP="00BF1936">
    <w:pPr>
      <w:pStyle w:val="Footer"/>
      <w:tabs>
        <w:tab w:val="right" w:pos="10620"/>
      </w:tabs>
      <w:jc w:val="both"/>
    </w:pPr>
    <w:r>
      <w:t xml:space="preserve">Workers’ Compensation Commission </w:t>
    </w:r>
    <w:r>
      <w:tab/>
      <w:t>Regulation and Protection</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AF01B2" w:rsidP="00BF1936">
    <w:pPr>
      <w:pStyle w:val="Footer"/>
      <w:framePr w:w="907" w:wrap="around" w:vAnchor="text" w:hAnchor="page" w:x="5662" w:y="10"/>
      <w:rPr>
        <w:rStyle w:val="PageNumber"/>
      </w:rPr>
    </w:pPr>
    <w:r>
      <w:rPr>
        <w:rStyle w:val="PageNumber"/>
      </w:rPr>
      <w:fldChar w:fldCharType="begin"/>
    </w:r>
    <w:r w:rsidR="00B02CF4">
      <w:rPr>
        <w:rStyle w:val="PageNumber"/>
      </w:rPr>
      <w:instrText xml:space="preserve">PAGE  </w:instrText>
    </w:r>
    <w:r>
      <w:rPr>
        <w:rStyle w:val="PageNumber"/>
      </w:rPr>
      <w:fldChar w:fldCharType="separate"/>
    </w:r>
    <w:r w:rsidR="009520A5">
      <w:rPr>
        <w:rStyle w:val="PageNumber"/>
        <w:noProof/>
      </w:rPr>
      <w:t>3</w:t>
    </w:r>
    <w:r>
      <w:rPr>
        <w:rStyle w:val="PageNumber"/>
      </w:rPr>
      <w:fldChar w:fldCharType="end"/>
    </w:r>
  </w:p>
  <w:p w:rsidR="00B02CF4" w:rsidRDefault="009520A5" w:rsidP="00BF1936">
    <w:pPr>
      <w:pStyle w:val="Footer"/>
      <w:tabs>
        <w:tab w:val="right" w:pos="10620"/>
      </w:tabs>
      <w:jc w:val="both"/>
    </w:pPr>
    <w:r>
      <w:t>Human Services</w:t>
    </w:r>
    <w:r w:rsidR="00B02CF4">
      <w:tab/>
    </w:r>
    <w:r>
      <w:t>Department of Housing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AF01B2" w:rsidP="00BF1936">
    <w:pPr>
      <w:pStyle w:val="Footer"/>
      <w:framePr w:w="907" w:wrap="around" w:vAnchor="text" w:hAnchor="page" w:x="5662" w:y="10"/>
      <w:rPr>
        <w:rStyle w:val="PageNumber"/>
      </w:rPr>
    </w:pPr>
    <w:r>
      <w:rPr>
        <w:rStyle w:val="PageNumber"/>
      </w:rPr>
      <w:fldChar w:fldCharType="begin"/>
    </w:r>
    <w:r w:rsidR="00B02CF4">
      <w:rPr>
        <w:rStyle w:val="PageNumber"/>
      </w:rPr>
      <w:instrText xml:space="preserve">PAGE  </w:instrText>
    </w:r>
    <w:r>
      <w:rPr>
        <w:rStyle w:val="PageNumber"/>
      </w:rPr>
      <w:fldChar w:fldCharType="separate"/>
    </w:r>
    <w:r w:rsidR="00E53153">
      <w:rPr>
        <w:rStyle w:val="PageNumber"/>
        <w:noProof/>
      </w:rPr>
      <w:t>1</w:t>
    </w:r>
    <w:r>
      <w:rPr>
        <w:rStyle w:val="PageNumber"/>
      </w:rPr>
      <w:fldChar w:fldCharType="end"/>
    </w:r>
  </w:p>
  <w:p w:rsidR="00B02CF4" w:rsidRDefault="00AB1716" w:rsidP="00BF1936">
    <w:pPr>
      <w:pStyle w:val="Footer"/>
      <w:tabs>
        <w:tab w:val="right" w:pos="10620"/>
      </w:tabs>
      <w:jc w:val="both"/>
    </w:pPr>
    <w:r>
      <w:t xml:space="preserve">Conservation </w:t>
    </w:r>
    <w:r w:rsidR="00140E61">
      <w:t>and</w:t>
    </w:r>
    <w:r>
      <w:t xml:space="preserve"> Development</w:t>
    </w:r>
    <w:r w:rsidR="00B02CF4">
      <w:tab/>
      <w:t>Department of Housing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427" w:wrap="around" w:vAnchor="text" w:hAnchor="margin" w:xAlign="center" w:y="-5"/>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Pr>
        <w:rStyle w:val="PageNumber"/>
        <w:noProof/>
      </w:rPr>
      <w:t>2</w:t>
    </w:r>
    <w:r w:rsidR="00AF01B2">
      <w:rPr>
        <w:rStyle w:val="PageNumber"/>
      </w:rPr>
      <w:fldChar w:fldCharType="end"/>
    </w:r>
  </w:p>
  <w:p w:rsidR="00B02CF4" w:rsidRDefault="00B02CF4" w:rsidP="00BF1936">
    <w:pPr>
      <w:pStyle w:val="Footer"/>
      <w:tabs>
        <w:tab w:val="right" w:pos="10620"/>
      </w:tabs>
      <w:jc w:val="both"/>
    </w:pPr>
    <w:r>
      <w:t>Workers’ Compensation Commission</w:t>
    </w:r>
    <w:r>
      <w:tab/>
      <w:t>Regulation and Protection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907" w:wrap="around" w:vAnchor="text" w:hAnchor="page" w:x="5662" w:y="10"/>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Pr>
        <w:rStyle w:val="PageNumber"/>
        <w:noProof/>
      </w:rPr>
      <w:t>2</w:t>
    </w:r>
    <w:r w:rsidR="00AF01B2">
      <w:rPr>
        <w:rStyle w:val="PageNumber"/>
      </w:rPr>
      <w:fldChar w:fldCharType="end"/>
    </w:r>
  </w:p>
  <w:p w:rsidR="00B02CF4" w:rsidRPr="00694E2C" w:rsidRDefault="00B02CF4" w:rsidP="00BF1936">
    <w:pPr>
      <w:pStyle w:val="Footer"/>
      <w:tabs>
        <w:tab w:val="right" w:pos="10620"/>
      </w:tabs>
      <w:jc w:val="both"/>
    </w:pPr>
    <w:r>
      <w:t xml:space="preserve">Workers’ Compensation Commission </w:t>
    </w:r>
    <w:r>
      <w:tab/>
      <w:t>Regulation and Protection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907" w:wrap="around" w:vAnchor="text" w:hAnchor="page" w:x="5662" w:y="10"/>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Pr>
        <w:rStyle w:val="PageNumber"/>
        <w:noProof/>
      </w:rPr>
      <w:t>2</w:t>
    </w:r>
    <w:r w:rsidR="00AF01B2">
      <w:rPr>
        <w:rStyle w:val="PageNumber"/>
      </w:rPr>
      <w:fldChar w:fldCharType="end"/>
    </w:r>
  </w:p>
  <w:p w:rsidR="00B02CF4" w:rsidRDefault="00B02CF4" w:rsidP="00BF1936">
    <w:pPr>
      <w:pStyle w:val="Footer"/>
      <w:tabs>
        <w:tab w:val="right" w:pos="10620"/>
      </w:tabs>
      <w:jc w:val="both"/>
    </w:pPr>
    <w:r>
      <w:t>Regulation and Protection</w:t>
    </w:r>
    <w:r>
      <w:tab/>
      <w:t>Workers’ Compensation Commission</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AF01B2" w:rsidP="00BF1936">
    <w:pPr>
      <w:pStyle w:val="Footer"/>
      <w:framePr w:w="907" w:wrap="around" w:vAnchor="text" w:hAnchor="page" w:x="5662" w:y="10"/>
      <w:rPr>
        <w:rStyle w:val="PageNumber"/>
      </w:rPr>
    </w:pPr>
    <w:r>
      <w:rPr>
        <w:rStyle w:val="PageNumber"/>
      </w:rPr>
      <w:fldChar w:fldCharType="begin"/>
    </w:r>
    <w:r w:rsidR="00B02CF4">
      <w:rPr>
        <w:rStyle w:val="PageNumber"/>
      </w:rPr>
      <w:instrText xml:space="preserve">PAGE  </w:instrText>
    </w:r>
    <w:r>
      <w:rPr>
        <w:rStyle w:val="PageNumber"/>
      </w:rPr>
      <w:fldChar w:fldCharType="separate"/>
    </w:r>
    <w:r w:rsidR="00E53153">
      <w:rPr>
        <w:rStyle w:val="PageNumber"/>
        <w:noProof/>
      </w:rPr>
      <w:t>2</w:t>
    </w:r>
    <w:r>
      <w:rPr>
        <w:rStyle w:val="PageNumber"/>
      </w:rPr>
      <w:fldChar w:fldCharType="end"/>
    </w:r>
  </w:p>
  <w:p w:rsidR="00B02CF4" w:rsidRPr="00694E2C" w:rsidRDefault="00685034" w:rsidP="00BF1936">
    <w:pPr>
      <w:pStyle w:val="Footer"/>
      <w:tabs>
        <w:tab w:val="right" w:pos="10620"/>
      </w:tabs>
      <w:jc w:val="both"/>
    </w:pPr>
    <w:r>
      <w:t>Department of Housing</w:t>
    </w:r>
    <w:r w:rsidR="00B02CF4">
      <w:tab/>
    </w:r>
    <w:r w:rsidR="00AB1716">
      <w:t xml:space="preserve">Conservation </w:t>
    </w:r>
    <w:r w:rsidR="00140E61">
      <w:t>and</w:t>
    </w:r>
    <w:r w:rsidR="00AB1716">
      <w:t xml:space="preserve"> Development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907" w:wrap="around" w:vAnchor="text" w:hAnchor="page" w:x="5662" w:y="10"/>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sidR="00685034">
      <w:rPr>
        <w:rStyle w:val="PageNumber"/>
        <w:noProof/>
      </w:rPr>
      <w:t>2</w:t>
    </w:r>
    <w:r w:rsidR="00AF01B2">
      <w:rPr>
        <w:rStyle w:val="PageNumber"/>
      </w:rPr>
      <w:fldChar w:fldCharType="end"/>
    </w:r>
  </w:p>
  <w:p w:rsidR="00B02CF4" w:rsidRDefault="00B02CF4" w:rsidP="00BF1936">
    <w:pPr>
      <w:pStyle w:val="Footer"/>
      <w:tabs>
        <w:tab w:val="right" w:pos="10620"/>
      </w:tabs>
      <w:jc w:val="both"/>
    </w:pPr>
    <w:r>
      <w:t>Human Services</w:t>
    </w:r>
    <w:r>
      <w:tab/>
      <w:t>Department of Housing</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907" w:wrap="around" w:vAnchor="text" w:hAnchor="page" w:x="5662" w:y="10"/>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Pr>
        <w:rStyle w:val="PageNumber"/>
        <w:noProof/>
      </w:rPr>
      <w:t>2</w:t>
    </w:r>
    <w:r w:rsidR="00AF01B2">
      <w:rPr>
        <w:rStyle w:val="PageNumber"/>
      </w:rPr>
      <w:fldChar w:fldCharType="end"/>
    </w:r>
  </w:p>
  <w:p w:rsidR="00B02CF4" w:rsidRPr="00694E2C" w:rsidRDefault="00B02CF4" w:rsidP="00BF1936">
    <w:pPr>
      <w:pStyle w:val="Footer"/>
      <w:tabs>
        <w:tab w:val="right" w:pos="10620"/>
      </w:tabs>
      <w:jc w:val="both"/>
    </w:pPr>
    <w:r>
      <w:t xml:space="preserve">Workers’ Compensation Commission </w:t>
    </w:r>
    <w:r>
      <w:tab/>
      <w:t>Regulation and Protection</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Footer"/>
      <w:framePr w:w="907" w:wrap="around" w:vAnchor="text" w:hAnchor="page" w:x="5662" w:y="10"/>
      <w:rPr>
        <w:rStyle w:val="PageNumber"/>
      </w:rPr>
    </w:pPr>
    <w:r>
      <w:rPr>
        <w:rStyle w:val="PageNumber"/>
      </w:rPr>
      <w:t xml:space="preserve">B - </w:t>
    </w:r>
    <w:r w:rsidR="00AF01B2">
      <w:rPr>
        <w:rStyle w:val="PageNumber"/>
      </w:rPr>
      <w:fldChar w:fldCharType="begin"/>
    </w:r>
    <w:r>
      <w:rPr>
        <w:rStyle w:val="PageNumber"/>
      </w:rPr>
      <w:instrText xml:space="preserve">PAGE  </w:instrText>
    </w:r>
    <w:r w:rsidR="00AF01B2">
      <w:rPr>
        <w:rStyle w:val="PageNumber"/>
      </w:rPr>
      <w:fldChar w:fldCharType="separate"/>
    </w:r>
    <w:r>
      <w:rPr>
        <w:rStyle w:val="PageNumber"/>
        <w:noProof/>
      </w:rPr>
      <w:t>2</w:t>
    </w:r>
    <w:r w:rsidR="00AF01B2">
      <w:rPr>
        <w:rStyle w:val="PageNumber"/>
      </w:rPr>
      <w:fldChar w:fldCharType="end"/>
    </w:r>
  </w:p>
  <w:p w:rsidR="00B02CF4" w:rsidRDefault="00B02CF4" w:rsidP="00BF1936">
    <w:pPr>
      <w:pStyle w:val="Footer"/>
      <w:tabs>
        <w:tab w:val="right" w:pos="10620"/>
      </w:tabs>
      <w:jc w:val="both"/>
    </w:pPr>
    <w:r>
      <w:t>Regulation and Protection</w:t>
    </w:r>
    <w:r>
      <w:tab/>
      <w:t>Workers’ Compensation Commission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CF4" w:rsidRDefault="00B02CF4" w:rsidP="0027184B">
      <w:pPr>
        <w:spacing w:after="0"/>
      </w:pPr>
      <w:r>
        <w:separator/>
      </w:r>
    </w:p>
  </w:footnote>
  <w:footnote w:type="continuationSeparator" w:id="0">
    <w:p w:rsidR="00B02CF4" w:rsidRDefault="00B02CF4" w:rsidP="0027184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Pr="00694E2C" w:rsidRDefault="00B02CF4" w:rsidP="00BF1936">
    <w:pPr>
      <w:pStyle w:val="Header"/>
      <w:jc w:val="left"/>
    </w:pPr>
    <w:smartTag w:uri="urn:schemas-microsoft-com:office:smarttags" w:element="PersonName">
      <w:r>
        <w:t>Budget</w:t>
      </w:r>
    </w:smartTag>
    <w:r>
      <w:t xml:space="preserve"> Summary</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Header"/>
      <w:jc w:val="right"/>
    </w:pPr>
    <w:smartTag w:uri="urn:schemas-microsoft-com:office:smarttags" w:element="PersonName">
      <w:r>
        <w:t>Budget</w:t>
      </w:r>
    </w:smartTag>
    <w:r>
      <w:t xml:space="preserve"> Summary</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Pr="00694E2C" w:rsidRDefault="00B02CF4" w:rsidP="00BF1936">
    <w:pPr>
      <w:pStyle w:val="Header"/>
      <w:jc w:val="left"/>
    </w:pPr>
    <w:smartTag w:uri="urn:schemas-microsoft-com:office:smarttags" w:element="PersonName">
      <w:r>
        <w:t>Budget</w:t>
      </w:r>
    </w:smartTag>
    <w:r>
      <w:t xml:space="preserve"> Summary</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Header"/>
      <w:jc w:val="right"/>
    </w:pPr>
    <w:smartTag w:uri="urn:schemas-microsoft-com:office:smarttags" w:element="PersonName">
      <w:r>
        <w:t>Budget</w:t>
      </w:r>
    </w:smartTag>
    <w:r>
      <w:t xml:space="preserve"> Summary</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Pr="00694E2C" w:rsidRDefault="00B02CF4" w:rsidP="00BF1936">
    <w:pPr>
      <w:pStyle w:val="Header"/>
      <w:jc w:val="left"/>
    </w:pPr>
    <w:smartTag w:uri="urn:schemas-microsoft-com:office:smarttags" w:element="PersonName">
      <w:r>
        <w:t>Budget</w:t>
      </w:r>
    </w:smartTag>
    <w:r>
      <w:t xml:space="preserve"> Summary</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Pr="009520A5" w:rsidRDefault="009520A5" w:rsidP="009520A5">
    <w:pPr>
      <w:pStyle w:val="Header"/>
      <w:jc w:val="righ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685034" w:rsidP="00BF1936">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Pr="00694E2C" w:rsidRDefault="00B02CF4" w:rsidP="00BF1936">
    <w:pPr>
      <w:pStyle w:val="Header"/>
      <w:jc w:val="left"/>
    </w:pPr>
    <w:smartTag w:uri="urn:schemas-microsoft-com:office:smarttags" w:element="PersonName">
      <w:r>
        <w:t>Budget</w:t>
      </w:r>
    </w:smartTag>
    <w:r>
      <w:t xml:space="preserve"> Summary</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Header"/>
      <w:jc w:val="right"/>
    </w:pPr>
    <w:smartTag w:uri="urn:schemas-microsoft-com:office:smarttags" w:element="PersonName">
      <w:r>
        <w:t>Budget</w:t>
      </w:r>
    </w:smartTag>
    <w:r>
      <w:t xml:space="preserve"> Summary</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Pr="00685034" w:rsidRDefault="00685034" w:rsidP="00685034">
    <w:pPr>
      <w:pStyle w:val="Header"/>
      <w:jc w:val="left"/>
    </w:pPr>
    <w:r>
      <w:t>Budget-in-Detail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Header"/>
      <w:jc w:val="right"/>
    </w:pPr>
    <w:smartTag w:uri="urn:schemas-microsoft-com:office:smarttags" w:element="PersonName">
      <w:r>
        <w:t>Budget</w:t>
      </w:r>
    </w:smartTag>
    <w:r>
      <w:t xml:space="preserve"> Summary</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Pr="00694E2C" w:rsidRDefault="00B02CF4" w:rsidP="00BF1936">
    <w:pPr>
      <w:pStyle w:val="Header"/>
      <w:jc w:val="left"/>
    </w:pPr>
    <w:smartTag w:uri="urn:schemas-microsoft-com:office:smarttags" w:element="PersonName">
      <w:r>
        <w:t>Budget</w:t>
      </w:r>
    </w:smartTag>
    <w:r>
      <w:t xml:space="preserve"> Summary</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Default="00B02CF4" w:rsidP="00BF1936">
    <w:pPr>
      <w:pStyle w:val="Header"/>
      <w:jc w:val="right"/>
    </w:pPr>
    <w:smartTag w:uri="urn:schemas-microsoft-com:office:smarttags" w:element="PersonName">
      <w:r>
        <w:t>Budget</w:t>
      </w:r>
    </w:smartTag>
    <w:r>
      <w:t xml:space="preserve"> Summary</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F4" w:rsidRPr="00694E2C" w:rsidRDefault="00B02CF4" w:rsidP="00BF1936">
    <w:pPr>
      <w:pStyle w:val="Header"/>
      <w:jc w:val="left"/>
    </w:pPr>
    <w:smartTag w:uri="urn:schemas-microsoft-com:office:smarttags" w:element="PersonName">
      <w:r>
        <w:t>Budget</w:t>
      </w:r>
    </w:smartTag>
    <w:r>
      <w:t xml:space="preserve">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D0C40"/>
    <w:multiLevelType w:val="hybridMultilevel"/>
    <w:tmpl w:val="3E7A32DE"/>
    <w:lvl w:ilvl="0" w:tplc="CE32CDA2">
      <w:start w:val="1"/>
      <w:numFmt w:val="bullet"/>
      <w:lvlText w:val=""/>
      <w:lvlJc w:val="left"/>
      <w:pPr>
        <w:tabs>
          <w:tab w:val="num" w:pos="360"/>
        </w:tabs>
        <w:ind w:left="360" w:hanging="360"/>
      </w:pPr>
      <w:rPr>
        <w:rFonts w:ascii="Symbol" w:hAnsi="Symbol" w:hint="default"/>
        <w:color w:val="002D86"/>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26BEE"/>
    <w:multiLevelType w:val="hybridMultilevel"/>
    <w:tmpl w:val="CDFE3C5C"/>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EE576D"/>
    <w:multiLevelType w:val="hybridMultilevel"/>
    <w:tmpl w:val="672C88E2"/>
    <w:lvl w:ilvl="0" w:tplc="4D52C700">
      <w:start w:val="1"/>
      <w:numFmt w:val="bullet"/>
      <w:lvlText w:val=""/>
      <w:lvlJc w:val="left"/>
      <w:pPr>
        <w:ind w:left="360" w:hanging="360"/>
      </w:pPr>
      <w:rPr>
        <w:rFonts w:ascii="Symbol" w:hAnsi="Symbol" w:hint="default"/>
        <w:color w:val="0033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C037E92"/>
    <w:multiLevelType w:val="hybridMultilevel"/>
    <w:tmpl w:val="D0747BB8"/>
    <w:lvl w:ilvl="0" w:tplc="5D24B510">
      <w:start w:val="1"/>
      <w:numFmt w:val="bullet"/>
      <w:lvlText w:val=""/>
      <w:lvlJc w:val="left"/>
      <w:pPr>
        <w:tabs>
          <w:tab w:val="num" w:pos="288"/>
        </w:tabs>
        <w:ind w:left="288" w:hanging="288"/>
      </w:pPr>
      <w:rPr>
        <w:rFonts w:ascii="Symbol" w:hAnsi="Symbol" w:hint="default"/>
        <w:color w:val="008000"/>
        <w:sz w:val="16"/>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rsids>
    <w:rsidRoot w:val="00F12834"/>
    <w:rsid w:val="00056110"/>
    <w:rsid w:val="00140E61"/>
    <w:rsid w:val="00197227"/>
    <w:rsid w:val="001A44BB"/>
    <w:rsid w:val="001B12CF"/>
    <w:rsid w:val="002134FD"/>
    <w:rsid w:val="00227B06"/>
    <w:rsid w:val="00243DFF"/>
    <w:rsid w:val="00256593"/>
    <w:rsid w:val="00270591"/>
    <w:rsid w:val="0027184B"/>
    <w:rsid w:val="003302FC"/>
    <w:rsid w:val="0035743C"/>
    <w:rsid w:val="003A151D"/>
    <w:rsid w:val="003F1BA8"/>
    <w:rsid w:val="00412EB8"/>
    <w:rsid w:val="00434511"/>
    <w:rsid w:val="00434C3F"/>
    <w:rsid w:val="00440677"/>
    <w:rsid w:val="00483887"/>
    <w:rsid w:val="00494C29"/>
    <w:rsid w:val="004B4EE5"/>
    <w:rsid w:val="00561B12"/>
    <w:rsid w:val="0057780B"/>
    <w:rsid w:val="00595F95"/>
    <w:rsid w:val="005A4120"/>
    <w:rsid w:val="005E490C"/>
    <w:rsid w:val="0064162D"/>
    <w:rsid w:val="006561AE"/>
    <w:rsid w:val="00685034"/>
    <w:rsid w:val="006D7141"/>
    <w:rsid w:val="006E54A4"/>
    <w:rsid w:val="007E0438"/>
    <w:rsid w:val="007E12B0"/>
    <w:rsid w:val="00820687"/>
    <w:rsid w:val="00841FD9"/>
    <w:rsid w:val="00883D1A"/>
    <w:rsid w:val="00885A3E"/>
    <w:rsid w:val="008A24A7"/>
    <w:rsid w:val="008D4F17"/>
    <w:rsid w:val="00937900"/>
    <w:rsid w:val="009520A5"/>
    <w:rsid w:val="00986880"/>
    <w:rsid w:val="009A40ED"/>
    <w:rsid w:val="009A5B74"/>
    <w:rsid w:val="009C1E02"/>
    <w:rsid w:val="009C1F96"/>
    <w:rsid w:val="009D4FFE"/>
    <w:rsid w:val="00A0629D"/>
    <w:rsid w:val="00A10E48"/>
    <w:rsid w:val="00AB1716"/>
    <w:rsid w:val="00AF01B2"/>
    <w:rsid w:val="00B0079A"/>
    <w:rsid w:val="00B02CF4"/>
    <w:rsid w:val="00B87FBE"/>
    <w:rsid w:val="00BC19BE"/>
    <w:rsid w:val="00BF1936"/>
    <w:rsid w:val="00C301A1"/>
    <w:rsid w:val="00C45F54"/>
    <w:rsid w:val="00C611C7"/>
    <w:rsid w:val="00C93B03"/>
    <w:rsid w:val="00C96BA1"/>
    <w:rsid w:val="00CA0F43"/>
    <w:rsid w:val="00CF782E"/>
    <w:rsid w:val="00DD3074"/>
    <w:rsid w:val="00E263B9"/>
    <w:rsid w:val="00E30DCF"/>
    <w:rsid w:val="00E53153"/>
    <w:rsid w:val="00E83D3F"/>
    <w:rsid w:val="00EF2111"/>
    <w:rsid w:val="00EF72BC"/>
    <w:rsid w:val="00F12834"/>
    <w:rsid w:val="00F3737C"/>
    <w:rsid w:val="00F66DA8"/>
    <w:rsid w:val="00FC5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834"/>
    <w:pPr>
      <w:spacing w:after="80" w:line="240" w:lineRule="auto"/>
      <w:jc w:val="both"/>
    </w:pPr>
    <w:rPr>
      <w:rFonts w:ascii="Calibri" w:eastAsia="Times New Roman" w:hAnsi="Calibri" w:cs="Times New Roman"/>
      <w:sz w:val="18"/>
      <w:szCs w:val="20"/>
    </w:rPr>
  </w:style>
  <w:style w:type="paragraph" w:styleId="Heading2">
    <w:name w:val="heading 2"/>
    <w:basedOn w:val="Normal"/>
    <w:next w:val="Normal"/>
    <w:link w:val="Heading2Char"/>
    <w:uiPriority w:val="9"/>
    <w:semiHidden/>
    <w:unhideWhenUsed/>
    <w:qFormat/>
    <w:rsid w:val="00197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128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2834"/>
    <w:pPr>
      <w:jc w:val="center"/>
    </w:pPr>
  </w:style>
  <w:style w:type="character" w:customStyle="1" w:styleId="HeaderChar">
    <w:name w:val="Header Char"/>
    <w:basedOn w:val="DefaultParagraphFont"/>
    <w:link w:val="Header"/>
    <w:rsid w:val="00F12834"/>
    <w:rPr>
      <w:rFonts w:ascii="Calibri" w:eastAsia="Times New Roman" w:hAnsi="Calibri" w:cs="Times New Roman"/>
      <w:sz w:val="18"/>
      <w:szCs w:val="20"/>
    </w:rPr>
  </w:style>
  <w:style w:type="paragraph" w:styleId="Footer">
    <w:name w:val="footer"/>
    <w:basedOn w:val="Header"/>
    <w:link w:val="FooterChar"/>
    <w:rsid w:val="00F12834"/>
  </w:style>
  <w:style w:type="character" w:customStyle="1" w:styleId="FooterChar">
    <w:name w:val="Footer Char"/>
    <w:basedOn w:val="DefaultParagraphFont"/>
    <w:link w:val="Footer"/>
    <w:rsid w:val="00F12834"/>
    <w:rPr>
      <w:rFonts w:ascii="Calibri" w:eastAsia="Times New Roman" w:hAnsi="Calibri" w:cs="Times New Roman"/>
      <w:sz w:val="18"/>
      <w:szCs w:val="20"/>
    </w:rPr>
  </w:style>
  <w:style w:type="character" w:styleId="PageNumber">
    <w:name w:val="page number"/>
    <w:basedOn w:val="DefaultParagraphFont"/>
    <w:rsid w:val="00F12834"/>
    <w:rPr>
      <w:rFonts w:ascii="Trebuchet MS" w:hAnsi="Trebuchet MS"/>
      <w:sz w:val="16"/>
    </w:rPr>
  </w:style>
  <w:style w:type="paragraph" w:customStyle="1" w:styleId="H1">
    <w:name w:val="H1"/>
    <w:next w:val="Normal"/>
    <w:link w:val="H1Char"/>
    <w:rsid w:val="00F12834"/>
    <w:pPr>
      <w:spacing w:after="0" w:line="240" w:lineRule="auto"/>
      <w:jc w:val="center"/>
    </w:pPr>
    <w:rPr>
      <w:rFonts w:ascii="Calibri" w:eastAsia="Times New Roman" w:hAnsi="Calibri" w:cs="Times New Roman"/>
      <w:caps/>
      <w:noProof/>
      <w:sz w:val="40"/>
      <w:szCs w:val="20"/>
    </w:rPr>
  </w:style>
  <w:style w:type="paragraph" w:customStyle="1" w:styleId="H2">
    <w:name w:val="H2"/>
    <w:basedOn w:val="Normal"/>
    <w:link w:val="H2Char"/>
    <w:rsid w:val="00F12834"/>
    <w:pPr>
      <w:pBdr>
        <w:bottom w:val="single" w:sz="4" w:space="1" w:color="808080"/>
      </w:pBdr>
      <w:spacing w:before="120"/>
      <w:jc w:val="center"/>
    </w:pPr>
    <w:rPr>
      <w:caps/>
      <w:noProof/>
      <w:sz w:val="24"/>
    </w:rPr>
  </w:style>
  <w:style w:type="paragraph" w:customStyle="1" w:styleId="H4">
    <w:name w:val="H4"/>
    <w:basedOn w:val="Heading4"/>
    <w:next w:val="Normal"/>
    <w:link w:val="H4Char"/>
    <w:rsid w:val="00F12834"/>
    <w:pPr>
      <w:keepLines w:val="0"/>
      <w:spacing w:before="120" w:after="40"/>
      <w:jc w:val="left"/>
    </w:pPr>
    <w:rPr>
      <w:rFonts w:ascii="Calibri" w:eastAsia="Times New Roman" w:hAnsi="Calibri" w:cs="Times New Roman"/>
      <w:bCs w:val="0"/>
      <w:i w:val="0"/>
      <w:iCs w:val="0"/>
      <w:caps/>
      <w:color w:val="005000"/>
      <w:sz w:val="20"/>
    </w:rPr>
  </w:style>
  <w:style w:type="character" w:styleId="Hyperlink">
    <w:name w:val="Hyperlink"/>
    <w:basedOn w:val="DefaultParagraphFont"/>
    <w:rsid w:val="00F12834"/>
    <w:rPr>
      <w:rFonts w:ascii="Calibri" w:hAnsi="Calibri"/>
      <w:color w:val="0000FF"/>
      <w:sz w:val="16"/>
      <w:u w:val="single"/>
    </w:rPr>
  </w:style>
  <w:style w:type="character" w:customStyle="1" w:styleId="H1Char">
    <w:name w:val="H1 Char"/>
    <w:basedOn w:val="DefaultParagraphFont"/>
    <w:link w:val="H1"/>
    <w:rsid w:val="00F12834"/>
    <w:rPr>
      <w:rFonts w:ascii="Calibri" w:eastAsia="Times New Roman" w:hAnsi="Calibri" w:cs="Times New Roman"/>
      <w:caps/>
      <w:noProof/>
      <w:sz w:val="40"/>
      <w:szCs w:val="20"/>
    </w:rPr>
  </w:style>
  <w:style w:type="character" w:customStyle="1" w:styleId="H2Char">
    <w:name w:val="H2 Char"/>
    <w:basedOn w:val="H1Char"/>
    <w:link w:val="H2"/>
    <w:rsid w:val="00F12834"/>
    <w:rPr>
      <w:sz w:val="24"/>
    </w:rPr>
  </w:style>
  <w:style w:type="character" w:customStyle="1" w:styleId="H4Char">
    <w:name w:val="H4 Char"/>
    <w:basedOn w:val="DefaultParagraphFont"/>
    <w:link w:val="H4"/>
    <w:rsid w:val="00F12834"/>
    <w:rPr>
      <w:rFonts w:ascii="Calibri" w:eastAsia="Times New Roman" w:hAnsi="Calibri" w:cs="Times New Roman"/>
      <w:b/>
      <w:caps/>
      <w:color w:val="005000"/>
      <w:sz w:val="20"/>
      <w:szCs w:val="20"/>
    </w:rPr>
  </w:style>
  <w:style w:type="character" w:customStyle="1" w:styleId="Heading4Char">
    <w:name w:val="Heading 4 Char"/>
    <w:basedOn w:val="DefaultParagraphFont"/>
    <w:link w:val="Heading4"/>
    <w:uiPriority w:val="9"/>
    <w:semiHidden/>
    <w:rsid w:val="00F12834"/>
    <w:rPr>
      <w:rFonts w:asciiTheme="majorHAnsi" w:eastAsiaTheme="majorEastAsia" w:hAnsiTheme="majorHAnsi" w:cstheme="majorBidi"/>
      <w:b/>
      <w:bCs/>
      <w:i/>
      <w:iCs/>
      <w:color w:val="4F81BD" w:themeColor="accent1"/>
      <w:sz w:val="18"/>
      <w:szCs w:val="20"/>
    </w:rPr>
  </w:style>
  <w:style w:type="paragraph" w:styleId="ListParagraph">
    <w:name w:val="List Paragraph"/>
    <w:basedOn w:val="Normal"/>
    <w:uiPriority w:val="34"/>
    <w:qFormat/>
    <w:rsid w:val="00F12834"/>
    <w:pPr>
      <w:ind w:left="720"/>
      <w:contextualSpacing/>
    </w:pPr>
  </w:style>
  <w:style w:type="character" w:customStyle="1" w:styleId="Heading2Char">
    <w:name w:val="Heading 2 Char"/>
    <w:basedOn w:val="DefaultParagraphFont"/>
    <w:link w:val="Heading2"/>
    <w:uiPriority w:val="9"/>
    <w:semiHidden/>
    <w:rsid w:val="00197227"/>
    <w:rPr>
      <w:rFonts w:asciiTheme="majorHAnsi" w:eastAsiaTheme="majorEastAsia" w:hAnsiTheme="majorHAnsi" w:cstheme="majorBidi"/>
      <w:b/>
      <w:bCs/>
      <w:color w:val="4F81BD" w:themeColor="accent1"/>
      <w:sz w:val="26"/>
      <w:szCs w:val="26"/>
    </w:rPr>
  </w:style>
  <w:style w:type="paragraph" w:customStyle="1" w:styleId="ProgramHead">
    <w:name w:val="ProgramHead"/>
    <w:basedOn w:val="H2"/>
    <w:rsid w:val="00C96BA1"/>
    <w:pPr>
      <w:pBdr>
        <w:bottom w:val="none" w:sz="0" w:space="0" w:color="auto"/>
      </w:pBdr>
      <w:spacing w:before="240"/>
      <w:jc w:val="left"/>
    </w:pPr>
    <w:rPr>
      <w:rFonts w:ascii="Trebuchet MS" w:hAnsi="Trebuchet MS"/>
      <w:b/>
      <w:sz w:val="22"/>
    </w:rPr>
  </w:style>
  <w:style w:type="paragraph" w:styleId="BodyText3">
    <w:name w:val="Body Text 3"/>
    <w:basedOn w:val="Normal"/>
    <w:link w:val="BodyText3Char"/>
    <w:rsid w:val="00256593"/>
    <w:pPr>
      <w:spacing w:after="120"/>
    </w:pPr>
  </w:style>
  <w:style w:type="character" w:customStyle="1" w:styleId="BodyText3Char">
    <w:name w:val="Body Text 3 Char"/>
    <w:basedOn w:val="DefaultParagraphFont"/>
    <w:link w:val="BodyText3"/>
    <w:rsid w:val="00256593"/>
    <w:rPr>
      <w:rFonts w:ascii="Calibri" w:eastAsia="Times New Roman" w:hAnsi="Calibri" w:cs="Times New Roman"/>
      <w:sz w:val="18"/>
      <w:szCs w:val="20"/>
    </w:rPr>
  </w:style>
  <w:style w:type="paragraph" w:styleId="NoSpacing">
    <w:name w:val="No Spacing"/>
    <w:uiPriority w:val="1"/>
    <w:qFormat/>
    <w:rsid w:val="009C1E02"/>
    <w:pPr>
      <w:spacing w:after="0" w:line="240" w:lineRule="auto"/>
      <w:jc w:val="both"/>
    </w:pPr>
    <w:rPr>
      <w:rFonts w:ascii="Calibri" w:eastAsia="Times New Roman" w:hAnsi="Calibri"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www.ct.gov/ecd/cwp/view.asp?a=3680&amp;Q=433350&amp;PM=1"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www.ct.gov/ecd/cwp/view.asp?a=3680&amp;Q=433350&amp;PM=1" TargetMode="Externa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t.gov/ecd/cwp/view.asp?a=3680&amp;Q=433350&amp;PM=1" TargetMode="Externa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ct.gov/ecd/lib/ecd/housing_plans/2010-15_cp_-_hud_approved.pdf" TargetMode="Externa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ct.gov/ecd/lib/ecd/2010-15_slrhp_-_final_.pdf" TargetMode="External"/><Relationship Id="rId27" Type="http://schemas.openxmlformats.org/officeDocument/2006/relationships/hyperlink" Target="http://www.ct.gov/ecd/cwp/view.asp?a=3414&amp;Q=249736" TargetMode="Externa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C65EF-5FAB-4D95-8C3F-AE61F53E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Cabanillas</dc:creator>
  <cp:keywords/>
  <dc:description/>
  <cp:lastModifiedBy>Jessica Cabanillas</cp:lastModifiedBy>
  <cp:revision>33</cp:revision>
  <dcterms:created xsi:type="dcterms:W3CDTF">2013-01-09T14:44:00Z</dcterms:created>
  <dcterms:modified xsi:type="dcterms:W3CDTF">2013-01-31T14:04:00Z</dcterms:modified>
</cp:coreProperties>
</file>