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3B0" w:rsidRPr="00CA282E" w:rsidRDefault="005743B0">
      <w:pPr>
        <w:pStyle w:val="H1"/>
      </w:pPr>
      <w:r>
        <w:t xml:space="preserve">Department of Banking  </w:t>
      </w:r>
    </w:p>
    <w:p w:rsidR="005743B0" w:rsidRPr="00CA282E" w:rsidRDefault="005743B0">
      <w:pPr>
        <w:pStyle w:val="H2"/>
        <w:tabs>
          <w:tab w:val="right" w:pos="10530"/>
        </w:tabs>
        <w:outlineLvl w:val="0"/>
      </w:pPr>
      <w:r>
        <w:t>Agency</w:t>
      </w:r>
      <w:r w:rsidRPr="00CA282E">
        <w:t xml:space="preserve"> </w:t>
      </w:r>
      <w:r>
        <w:t>Description</w:t>
      </w:r>
      <w:r w:rsidRPr="00CA282E">
        <w:t xml:space="preserve"> </w:t>
      </w:r>
      <w:r w:rsidR="003E0D72">
        <w:rPr>
          <w:b/>
          <w:bCs/>
          <w:caps w:val="0"/>
          <w:sz w:val="16"/>
        </w:rPr>
        <w:fldChar w:fldCharType="begin"/>
      </w:r>
      <w:r w:rsidR="008A7C76">
        <w:rPr>
          <w:b/>
          <w:bCs/>
          <w:caps w:val="0"/>
          <w:sz w:val="16"/>
        </w:rPr>
        <w:instrText xml:space="preserve"> XE "</w:instrText>
      </w:r>
      <w:r>
        <w:rPr>
          <w:b/>
          <w:bCs/>
          <w:caps w:val="0"/>
          <w:sz w:val="16"/>
        </w:rPr>
        <w:instrText xml:space="preserve"> Banking, Department of" </w:instrText>
      </w:r>
      <w:r w:rsidR="003E0D72">
        <w:rPr>
          <w:b/>
          <w:bCs/>
          <w:caps w:val="0"/>
          <w:sz w:val="16"/>
        </w:rPr>
        <w:fldChar w:fldCharType="end"/>
      </w:r>
    </w:p>
    <w:p w:rsidR="005743B0" w:rsidRPr="00CA282E" w:rsidRDefault="005743B0">
      <w:pPr>
        <w:pStyle w:val="H2"/>
        <w:sectPr w:rsidR="005743B0" w:rsidRPr="00CA282E" w:rsidSect="00991726">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p>
    <w:p w:rsidR="005743B0" w:rsidRDefault="005743B0" w:rsidP="00AB6FDF">
      <w:pPr>
        <w:spacing w:after="120"/>
      </w:pPr>
      <w:r>
        <w:lastRenderedPageBreak/>
        <w:t>The Department of Banking is responsible for the regulation and examination of financial institutions and var</w:t>
      </w:r>
      <w:r w:rsidR="00EB788F">
        <w:t>ious related ent</w:t>
      </w:r>
      <w:r w:rsidR="0041536A">
        <w:t xml:space="preserve">ities </w:t>
      </w:r>
      <w:r>
        <w:t>chartered, licensed or registered by the state</w:t>
      </w:r>
      <w:r w:rsidR="00EB788F">
        <w:t>.  T</w:t>
      </w:r>
      <w:r>
        <w:t xml:space="preserve">he </w:t>
      </w:r>
      <w:r w:rsidR="00C9778E">
        <w:t>c</w:t>
      </w:r>
      <w:r>
        <w:t xml:space="preserve">ommissioner is charged with administering the banking and credit union laws of the state as well as the laws regarding securities, tender offers and business opportunities. The </w:t>
      </w:r>
      <w:r w:rsidR="00C9778E">
        <w:t>c</w:t>
      </w:r>
      <w:r>
        <w:t>ommissioner also administers the Truth-in-Lending Act and other consumer credit laws.</w:t>
      </w:r>
    </w:p>
    <w:p w:rsidR="005743B0" w:rsidRDefault="005743B0" w:rsidP="00AB6FDF">
      <w:pPr>
        <w:spacing w:after="120"/>
      </w:pPr>
      <w:r>
        <w:t xml:space="preserve">The department has four major units: </w:t>
      </w:r>
      <w:r w:rsidR="00D90003">
        <w:t>Financial Institutions Division</w:t>
      </w:r>
      <w:r>
        <w:t>, the Consumer Credit Division, the Securities and Business Investments Division and Management Services.</w:t>
      </w:r>
    </w:p>
    <w:p w:rsidR="005743B0" w:rsidRDefault="005743B0" w:rsidP="00AB6FDF">
      <w:pPr>
        <w:spacing w:after="120"/>
      </w:pPr>
      <w:r w:rsidRPr="002751F5">
        <w:rPr>
          <w:rStyle w:val="Heading4Char"/>
          <w:b w:val="0"/>
        </w:rPr>
        <w:t xml:space="preserve">The </w:t>
      </w:r>
      <w:r w:rsidR="00E33B7D" w:rsidRPr="002751F5">
        <w:rPr>
          <w:rStyle w:val="Heading4Char"/>
          <w:b w:val="0"/>
        </w:rPr>
        <w:t>Financial Institutions</w:t>
      </w:r>
      <w:r w:rsidRPr="002751F5">
        <w:rPr>
          <w:rStyle w:val="Heading4Char"/>
          <w:b w:val="0"/>
        </w:rPr>
        <w:t xml:space="preserve"> Division</w:t>
      </w:r>
      <w:r>
        <w:t xml:space="preserve"> is responsible for the supervision of state-chartered bank and trust companies, savings banks</w:t>
      </w:r>
      <w:r w:rsidR="00EB788F">
        <w:t>,</w:t>
      </w:r>
      <w:r>
        <w:t xml:space="preserve"> savings </w:t>
      </w:r>
      <w:r w:rsidR="009D2DCF">
        <w:t>&amp;</w:t>
      </w:r>
      <w:r>
        <w:t xml:space="preserve"> loan </w:t>
      </w:r>
      <w:r w:rsidR="00EB788F">
        <w:t>associations and credit unions</w:t>
      </w:r>
      <w:r>
        <w:t xml:space="preserve">.  The division also </w:t>
      </w:r>
      <w:r w:rsidR="00EB788F">
        <w:t>licenses</w:t>
      </w:r>
      <w:r>
        <w:t xml:space="preserve"> foreign bank</w:t>
      </w:r>
      <w:r w:rsidR="00E33B7D">
        <w:t>ing organizations</w:t>
      </w:r>
      <w:r w:rsidR="00DE28CF">
        <w:t xml:space="preserve"> </w:t>
      </w:r>
      <w:r w:rsidR="00EB788F">
        <w:t xml:space="preserve">that establish and maintain representative offices, agency offices or branch offices in Connecticut, and supervises bank holding companies. </w:t>
      </w:r>
    </w:p>
    <w:p w:rsidR="005743B0" w:rsidRDefault="005743B0" w:rsidP="00AB6FDF">
      <w:pPr>
        <w:spacing w:after="120"/>
      </w:pPr>
      <w:r w:rsidRPr="002751F5">
        <w:rPr>
          <w:rStyle w:val="Heading4Char"/>
          <w:b w:val="0"/>
        </w:rPr>
        <w:t>The Consumer Credit Division</w:t>
      </w:r>
      <w:r>
        <w:t xml:space="preserve"> </w:t>
      </w:r>
      <w:r w:rsidR="00415DF7">
        <w:t>regulates</w:t>
      </w:r>
      <w:r w:rsidR="000F2585">
        <w:t xml:space="preserve"> the activities of mortgage lenders, brokers</w:t>
      </w:r>
      <w:r w:rsidR="00415DF7">
        <w:t xml:space="preserve">, </w:t>
      </w:r>
      <w:r w:rsidR="000F2585">
        <w:t xml:space="preserve">and </w:t>
      </w:r>
      <w:r w:rsidR="00415DF7">
        <w:t xml:space="preserve">loan </w:t>
      </w:r>
      <w:r w:rsidR="000F2585">
        <w:t xml:space="preserve">originators; small loan companies; sales </w:t>
      </w:r>
      <w:r w:rsidR="000F2585">
        <w:lastRenderedPageBreak/>
        <w:t>finance companies; debt adjusters;</w:t>
      </w:r>
      <w:r w:rsidR="00415DF7">
        <w:t xml:space="preserve"> debt negotiators; </w:t>
      </w:r>
      <w:r w:rsidR="000F2585">
        <w:t>consumer collection agencies; money transmitters; issuers of money orders and traveler’s checks a</w:t>
      </w:r>
      <w:r w:rsidR="00415DF7">
        <w:t>nd check cashing services. The d</w:t>
      </w:r>
      <w:r w:rsidR="000F2585">
        <w:t xml:space="preserve">ivision is responsible for the licensing and examination of these entities and the enforcement of related </w:t>
      </w:r>
      <w:smartTag w:uri="urn:schemas-microsoft-com:office:smarttags" w:element="place">
        <w:smartTag w:uri="urn:schemas-microsoft-com:office:smarttags" w:element="State">
          <w:r w:rsidR="000F2585">
            <w:t>Connecticut</w:t>
          </w:r>
        </w:smartTag>
      </w:smartTag>
      <w:r w:rsidR="00415DF7">
        <w:t xml:space="preserve"> laws. </w:t>
      </w:r>
      <w:r w:rsidR="00AB6FDF">
        <w:t>The division also administers Truth-in-Lending laws and retail installment sales financing laws.</w:t>
      </w:r>
    </w:p>
    <w:p w:rsidR="005743B0" w:rsidRDefault="005743B0" w:rsidP="00AB6FDF">
      <w:pPr>
        <w:spacing w:after="120"/>
      </w:pPr>
      <w:r w:rsidRPr="002751F5">
        <w:rPr>
          <w:rStyle w:val="Heading4Char"/>
          <w:b w:val="0"/>
        </w:rPr>
        <w:t>The Securities and Business Investments Division</w:t>
      </w:r>
      <w:r>
        <w:t xml:space="preserve"> is responsible for the registration of securities and business opportunity offerings for sale in Connecticut; the</w:t>
      </w:r>
      <w:r w:rsidR="00415DF7">
        <w:t xml:space="preserve"> registration of broker-dealers and</w:t>
      </w:r>
      <w:r>
        <w:t xml:space="preserve"> investment advisers</w:t>
      </w:r>
      <w:r w:rsidR="00415DF7">
        <w:t xml:space="preserve">, along with </w:t>
      </w:r>
      <w:r>
        <w:t>their agents and branch offices; the examination of broker-dealer, investment adviser and bra</w:t>
      </w:r>
      <w:r w:rsidR="00415DF7">
        <w:t xml:space="preserve">nch office registrants; and </w:t>
      </w:r>
      <w:r>
        <w:t>enforcement of the state’s securities, business opportunity and tender offer laws.</w:t>
      </w:r>
    </w:p>
    <w:p w:rsidR="005743B0" w:rsidRDefault="005743B0" w:rsidP="00AB6FDF">
      <w:pPr>
        <w:spacing w:after="120"/>
      </w:pPr>
      <w:r w:rsidRPr="002751F5">
        <w:rPr>
          <w:rStyle w:val="Heading4Char"/>
          <w:b w:val="0"/>
        </w:rPr>
        <w:t>Management Services</w:t>
      </w:r>
      <w:r w:rsidRPr="000012E1">
        <w:rPr>
          <w:b/>
        </w:rPr>
        <w:t xml:space="preserve"> </w:t>
      </w:r>
      <w:r>
        <w:t xml:space="preserve">consists of the </w:t>
      </w:r>
      <w:r w:rsidR="004166FD">
        <w:t xml:space="preserve">commissioner’s office and business, human resource and </w:t>
      </w:r>
      <w:r w:rsidR="00D82A6C">
        <w:t>information technology</w:t>
      </w:r>
      <w:r w:rsidR="004166FD">
        <w:t xml:space="preserve"> functions of the agency.</w:t>
      </w:r>
    </w:p>
    <w:p w:rsidR="005743B0" w:rsidRDefault="005743B0" w:rsidP="00CA282E">
      <w:pPr>
        <w:sectPr w:rsidR="005743B0" w:rsidSect="00991726">
          <w:type w:val="continuous"/>
          <w:pgSz w:w="12240" w:h="15840" w:code="1"/>
          <w:pgMar w:top="864" w:right="720" w:bottom="1152" w:left="720" w:header="432" w:footer="288" w:gutter="216"/>
          <w:cols w:num="2" w:space="432"/>
        </w:sectPr>
      </w:pPr>
    </w:p>
    <w:p w:rsidR="005743B0" w:rsidRDefault="005743B0" w:rsidP="00CA282E">
      <w:pPr>
        <w:rPr>
          <w:snapToGrid w:val="0"/>
        </w:rPr>
      </w:pPr>
    </w:p>
    <w:p w:rsidR="0092517D" w:rsidRDefault="0092517D" w:rsidP="00CA282E">
      <w:pPr>
        <w:rPr>
          <w:snapToGrid w:val="0"/>
        </w:rPr>
      </w:pPr>
    </w:p>
    <w:p w:rsidR="005743B0" w:rsidRDefault="003E0D72">
      <w:pPr>
        <w:pStyle w:val="ProgramHead"/>
        <w:outlineLvl w:val="0"/>
      </w:pPr>
      <w:r>
        <w:fldChar w:fldCharType="begin"/>
      </w:r>
      <w:r w:rsidR="005743B0">
        <w:instrText xml:space="preserve"> XE "</w:instrText>
      </w:r>
      <w:r w:rsidR="008A7C76">
        <w:instrText>DOB37000</w:instrText>
      </w:r>
      <w:r w:rsidR="005743B0">
        <w:instrText xml:space="preserve"> </w:instrText>
      </w:r>
      <w:r w:rsidR="005618D2" w:rsidRPr="005618D2">
        <w:instrText>29117</w:instrText>
      </w:r>
      <w:r w:rsidR="005743B0">
        <w:instrText xml:space="preserve">" </w:instrText>
      </w:r>
      <w:r>
        <w:fldChar w:fldCharType="end"/>
      </w:r>
      <w:r w:rsidR="00D90003">
        <w:t>Financial institutions division</w:t>
      </w:r>
      <w:r w:rsidR="005743B0">
        <w:t xml:space="preserve"> </w:t>
      </w:r>
    </w:p>
    <w:p w:rsidR="005743B0" w:rsidRDefault="005743B0">
      <w:pPr>
        <w:pStyle w:val="ProgramHead"/>
        <w:sectPr w:rsidR="005743B0" w:rsidSect="00991726">
          <w:headerReference w:type="default" r:id="rId11"/>
          <w:type w:val="continuous"/>
          <w:pgSz w:w="12240" w:h="15840" w:code="1"/>
          <w:pgMar w:top="864" w:right="720" w:bottom="1152" w:left="720" w:header="432" w:footer="288" w:gutter="216"/>
          <w:cols w:space="720"/>
        </w:sectPr>
      </w:pPr>
    </w:p>
    <w:p w:rsidR="005743B0" w:rsidRDefault="005743B0" w:rsidP="00991726">
      <w:pPr>
        <w:pStyle w:val="Heading2"/>
      </w:pPr>
      <w:r>
        <w:lastRenderedPageBreak/>
        <w:t>Statutory Reference</w:t>
      </w:r>
    </w:p>
    <w:p w:rsidR="005743B0" w:rsidRPr="00AB6FDF" w:rsidRDefault="005743B0">
      <w:pPr>
        <w:pStyle w:val="CommentText"/>
        <w:outlineLvl w:val="0"/>
        <w:rPr>
          <w:sz w:val="18"/>
          <w:szCs w:val="18"/>
        </w:rPr>
      </w:pPr>
      <w:proofErr w:type="spellStart"/>
      <w:proofErr w:type="gramStart"/>
      <w:r w:rsidRPr="00AB6FDF">
        <w:rPr>
          <w:sz w:val="18"/>
          <w:szCs w:val="18"/>
        </w:rPr>
        <w:t>C.G.S.</w:t>
      </w:r>
      <w:proofErr w:type="spellEnd"/>
      <w:r w:rsidRPr="00AB6FDF">
        <w:rPr>
          <w:sz w:val="18"/>
          <w:szCs w:val="18"/>
        </w:rPr>
        <w:t xml:space="preserve"> Title 36a, Chapters 664a, b, c; 665a and b; 666</w:t>
      </w:r>
      <w:r w:rsidR="00B25DB5" w:rsidRPr="00AB6FDF">
        <w:rPr>
          <w:sz w:val="18"/>
          <w:szCs w:val="18"/>
        </w:rPr>
        <w:t>a</w:t>
      </w:r>
      <w:r w:rsidRPr="00AB6FDF">
        <w:rPr>
          <w:sz w:val="18"/>
          <w:szCs w:val="18"/>
        </w:rPr>
        <w:t>, 667 and 668</w:t>
      </w:r>
      <w:r w:rsidR="00C9778E" w:rsidRPr="00AB6FDF">
        <w:rPr>
          <w:sz w:val="18"/>
          <w:szCs w:val="18"/>
        </w:rPr>
        <w:t>.</w:t>
      </w:r>
      <w:proofErr w:type="gramEnd"/>
      <w:r w:rsidRPr="00AB6FDF">
        <w:rPr>
          <w:sz w:val="18"/>
          <w:szCs w:val="18"/>
        </w:rPr>
        <w:t xml:space="preserve"> </w:t>
      </w:r>
    </w:p>
    <w:p w:rsidR="005743B0" w:rsidRDefault="005743B0" w:rsidP="00991726">
      <w:pPr>
        <w:pStyle w:val="Heading2"/>
      </w:pPr>
      <w:r>
        <w:t xml:space="preserve">Statement of Need and Program Objectives </w:t>
      </w:r>
    </w:p>
    <w:p w:rsidR="005743B0" w:rsidRDefault="005743B0">
      <w:pPr>
        <w:outlineLvl w:val="0"/>
      </w:pPr>
      <w:r>
        <w:t>To safeguard depositor funds by regulating state-chartered depository institutions including state bank and trust companies, savings banks, savings and loan associations, uninsured banks, licensed entities</w:t>
      </w:r>
      <w:r w:rsidR="00E33B7D">
        <w:t>,</w:t>
      </w:r>
      <w:r>
        <w:t xml:space="preserve"> credit unions</w:t>
      </w:r>
      <w:r w:rsidR="00E33B7D">
        <w:t>, and foreign banking organizations.</w:t>
      </w:r>
      <w:r>
        <w:t xml:space="preserve"> </w:t>
      </w:r>
    </w:p>
    <w:p w:rsidR="005743B0" w:rsidRDefault="005743B0" w:rsidP="00991726">
      <w:pPr>
        <w:pStyle w:val="Heading2"/>
      </w:pPr>
      <w:r>
        <w:t>Program Description</w:t>
      </w:r>
    </w:p>
    <w:p w:rsidR="005743B0" w:rsidRDefault="005743B0" w:rsidP="00CA282E">
      <w:r>
        <w:t xml:space="preserve">The major activities </w:t>
      </w:r>
      <w:r w:rsidR="004166FD">
        <w:t>of this division</w:t>
      </w:r>
      <w:r>
        <w:t xml:space="preserve"> include:  conduct</w:t>
      </w:r>
      <w:r w:rsidR="004166FD">
        <w:t>ing</w:t>
      </w:r>
      <w:r>
        <w:t xml:space="preserve"> examinations of state-chartered depository institutions, holding companies and </w:t>
      </w:r>
      <w:r>
        <w:lastRenderedPageBreak/>
        <w:t>foreign banking organizations to ensure compliance with statutory and regulatory requirements; prepar</w:t>
      </w:r>
      <w:r w:rsidR="004166FD">
        <w:t>ing</w:t>
      </w:r>
      <w:r>
        <w:t xml:space="preserve"> a Report of Examination for each institution examined to evaluate safety and soundness of the institution; process</w:t>
      </w:r>
      <w:r w:rsidR="004166FD">
        <w:t>ing</w:t>
      </w:r>
      <w:r>
        <w:t xml:space="preserve"> applications for new charters, mergers and acquisitions, establishing new branches, purchase/sale of branches, conversions, trust powers and service corporations</w:t>
      </w:r>
      <w:r w:rsidR="00D74F96">
        <w:t>;</w:t>
      </w:r>
      <w:r>
        <w:t xml:space="preserve"> </w:t>
      </w:r>
      <w:r w:rsidR="002765B0">
        <w:t xml:space="preserve">and </w:t>
      </w:r>
      <w:r>
        <w:t>monitor</w:t>
      </w:r>
      <w:r w:rsidR="004166FD">
        <w:t>ing</w:t>
      </w:r>
      <w:r>
        <w:t xml:space="preserve"> compliance with</w:t>
      </w:r>
      <w:r w:rsidR="00E33B7D">
        <w:t xml:space="preserve"> the Community Reinvestment Act </w:t>
      </w:r>
      <w:r w:rsidR="004166FD">
        <w:t>and investigating</w:t>
      </w:r>
      <w:r>
        <w:t xml:space="preserve"> complaints.</w:t>
      </w:r>
    </w:p>
    <w:p w:rsidR="005743B0" w:rsidRPr="00CA282E" w:rsidRDefault="005743B0">
      <w:pPr>
        <w:pStyle w:val="H2"/>
        <w:sectPr w:rsidR="005743B0" w:rsidRPr="00CA282E" w:rsidSect="00991726">
          <w:headerReference w:type="default" r:id="rId12"/>
          <w:type w:val="continuous"/>
          <w:pgSz w:w="12240" w:h="15840" w:code="1"/>
          <w:pgMar w:top="864" w:right="720" w:bottom="1152" w:left="720" w:header="432" w:footer="288" w:gutter="216"/>
          <w:cols w:num="2" w:space="432"/>
        </w:sectPr>
      </w:pPr>
    </w:p>
    <w:p w:rsidR="00D667B0" w:rsidRDefault="00D667B0">
      <w:pPr>
        <w:pStyle w:val="ProgramHead"/>
        <w:outlineLvl w:val="0"/>
      </w:pPr>
    </w:p>
    <w:p w:rsidR="005743B0" w:rsidRDefault="003E0D72">
      <w:pPr>
        <w:pStyle w:val="ProgramHead"/>
        <w:outlineLvl w:val="0"/>
      </w:pPr>
      <w:r>
        <w:fldChar w:fldCharType="begin"/>
      </w:r>
      <w:r w:rsidR="005618D2">
        <w:instrText xml:space="preserve"> XE "DOB37000 29118" </w:instrText>
      </w:r>
      <w:r>
        <w:fldChar w:fldCharType="end"/>
      </w:r>
      <w:r w:rsidR="005743B0">
        <w:t xml:space="preserve">Securities and Business Investments </w:t>
      </w:r>
    </w:p>
    <w:p w:rsidR="005743B0" w:rsidRDefault="005743B0">
      <w:pPr>
        <w:pStyle w:val="ProgramHead"/>
        <w:sectPr w:rsidR="005743B0" w:rsidSect="00991726">
          <w:type w:val="continuous"/>
          <w:pgSz w:w="12240" w:h="15840" w:code="1"/>
          <w:pgMar w:top="864" w:right="720" w:bottom="1152" w:left="720" w:header="432" w:footer="288" w:gutter="216"/>
          <w:cols w:space="432"/>
        </w:sectPr>
      </w:pPr>
    </w:p>
    <w:p w:rsidR="005743B0" w:rsidRDefault="005743B0" w:rsidP="00991726">
      <w:pPr>
        <w:pStyle w:val="Heading2"/>
      </w:pPr>
      <w:r>
        <w:lastRenderedPageBreak/>
        <w:t xml:space="preserve">Statutory Reference </w:t>
      </w:r>
    </w:p>
    <w:p w:rsidR="005743B0" w:rsidRPr="00AB6FDF" w:rsidRDefault="005743B0">
      <w:pPr>
        <w:pStyle w:val="CommentText"/>
        <w:outlineLvl w:val="0"/>
        <w:rPr>
          <w:sz w:val="18"/>
          <w:szCs w:val="18"/>
        </w:rPr>
      </w:pPr>
      <w:proofErr w:type="spellStart"/>
      <w:r w:rsidRPr="00AB6FDF">
        <w:rPr>
          <w:sz w:val="18"/>
          <w:szCs w:val="18"/>
        </w:rPr>
        <w:t>C.G.S.</w:t>
      </w:r>
      <w:proofErr w:type="spellEnd"/>
      <w:r w:rsidRPr="00AB6FDF">
        <w:rPr>
          <w:sz w:val="18"/>
          <w:szCs w:val="18"/>
        </w:rPr>
        <w:t xml:space="preserve"> Title 36b</w:t>
      </w:r>
      <w:r w:rsidR="00C9778E" w:rsidRPr="00AB6FDF">
        <w:rPr>
          <w:sz w:val="18"/>
          <w:szCs w:val="18"/>
        </w:rPr>
        <w:t>.</w:t>
      </w:r>
    </w:p>
    <w:p w:rsidR="005743B0" w:rsidRDefault="005743B0" w:rsidP="00991726">
      <w:pPr>
        <w:pStyle w:val="Heading2"/>
      </w:pPr>
      <w:r>
        <w:t>Statement of Need and Program Objectives</w:t>
      </w:r>
    </w:p>
    <w:p w:rsidR="005743B0" w:rsidRDefault="005743B0" w:rsidP="00CA282E">
      <w:r>
        <w:t xml:space="preserve">To protect the Connecticut investing public </w:t>
      </w:r>
      <w:r w:rsidR="00F8484A">
        <w:t xml:space="preserve">and to foster capital </w:t>
      </w:r>
      <w:r w:rsidR="00496BD3">
        <w:t>expansion</w:t>
      </w:r>
      <w:r w:rsidR="00F8484A">
        <w:t xml:space="preserve"> by discharging enforcement, examination and registration responsibilities under the Connecticut </w:t>
      </w:r>
      <w:r w:rsidR="00CC3B60">
        <w:t xml:space="preserve">Uniform </w:t>
      </w:r>
      <w:r w:rsidR="00F8484A">
        <w:t>Securities Act, the Connecticut Business Opportunity Investment Act</w:t>
      </w:r>
      <w:r w:rsidR="00C813FB">
        <w:t>,</w:t>
      </w:r>
      <w:r w:rsidR="00F8484A">
        <w:t xml:space="preserve"> and the Connecticut Tender Offer Act</w:t>
      </w:r>
      <w:r w:rsidR="00D667B0">
        <w:t>.  T</w:t>
      </w:r>
      <w:r w:rsidR="00F8484A">
        <w:t>o help the investing public make informed inve</w:t>
      </w:r>
      <w:r w:rsidR="00F64447">
        <w:t xml:space="preserve">stment decisions by requiring </w:t>
      </w:r>
      <w:r w:rsidR="00F8484A">
        <w:t>full and adequate disclosure concerning securities and business opportunity offerings</w:t>
      </w:r>
      <w:r w:rsidR="00D667B0">
        <w:t xml:space="preserve">.  </w:t>
      </w:r>
      <w:r w:rsidR="00D667B0">
        <w:lastRenderedPageBreak/>
        <w:t>T</w:t>
      </w:r>
      <w:r w:rsidR="00F8484A">
        <w:t xml:space="preserve">o promote regulatory compliance as well as investor protection through a comprehensive educational outreach program. </w:t>
      </w:r>
    </w:p>
    <w:p w:rsidR="005743B0" w:rsidRDefault="005743B0" w:rsidP="00991726">
      <w:pPr>
        <w:pStyle w:val="Heading2"/>
      </w:pPr>
      <w:r>
        <w:t>Program Description</w:t>
      </w:r>
    </w:p>
    <w:p w:rsidR="005743B0" w:rsidRDefault="00FD1EFB" w:rsidP="00CA282E">
      <w:r>
        <w:t xml:space="preserve">The following activities promote the </w:t>
      </w:r>
      <w:r w:rsidR="002D01E7">
        <w:t>d</w:t>
      </w:r>
      <w:r>
        <w:t>ivision’s objectives:</w:t>
      </w:r>
      <w:r w:rsidR="005743B0">
        <w:t xml:space="preserve">   examining broker-dealer and investment adviser </w:t>
      </w:r>
      <w:r w:rsidR="00D667B0">
        <w:t>locations</w:t>
      </w:r>
      <w:r w:rsidR="005743B0">
        <w:t xml:space="preserve">; </w:t>
      </w:r>
      <w:r w:rsidR="00F64447">
        <w:t>i</w:t>
      </w:r>
      <w:r w:rsidR="005743B0">
        <w:t xml:space="preserve">nvestigating alleged violations of state securities and business opportunity investment laws; </w:t>
      </w:r>
      <w:r>
        <w:t xml:space="preserve">addressing complaints and inquiries received from Connecticut investors; </w:t>
      </w:r>
      <w:r w:rsidR="005743B0">
        <w:t>registering broker-dealer and investment adviser firms and agents</w:t>
      </w:r>
      <w:proofErr w:type="gramStart"/>
      <w:r w:rsidR="005743B0">
        <w:t xml:space="preserve">; </w:t>
      </w:r>
      <w:r w:rsidR="00D667B0">
        <w:t xml:space="preserve"> and</w:t>
      </w:r>
      <w:proofErr w:type="gramEnd"/>
      <w:r w:rsidR="00D667B0">
        <w:t xml:space="preserve"> </w:t>
      </w:r>
      <w:r w:rsidR="005743B0">
        <w:t>registering public offerings of securities and business opportunities</w:t>
      </w:r>
      <w:r w:rsidR="007E4F10">
        <w:t>.</w:t>
      </w:r>
    </w:p>
    <w:p w:rsidR="007E4F10" w:rsidRDefault="007E4F10" w:rsidP="00CA282E">
      <w:pPr>
        <w:sectPr w:rsidR="007E4F10" w:rsidSect="00991726">
          <w:headerReference w:type="even" r:id="rId13"/>
          <w:headerReference w:type="default" r:id="rId14"/>
          <w:footerReference w:type="even" r:id="rId15"/>
          <w:type w:val="continuous"/>
          <w:pgSz w:w="12240" w:h="15840" w:code="1"/>
          <w:pgMar w:top="864" w:right="720" w:bottom="1152" w:left="720" w:header="432" w:footer="288" w:gutter="216"/>
          <w:cols w:num="2" w:space="432"/>
        </w:sectPr>
      </w:pPr>
    </w:p>
    <w:p w:rsidR="001D58D6" w:rsidRDefault="001D58D6" w:rsidP="00991726"/>
    <w:p w:rsidR="005743B0" w:rsidRDefault="003E0D72">
      <w:pPr>
        <w:pStyle w:val="ProgramHead"/>
        <w:outlineLvl w:val="0"/>
      </w:pPr>
      <w:r>
        <w:fldChar w:fldCharType="begin"/>
      </w:r>
      <w:r w:rsidR="005618D2">
        <w:instrText xml:space="preserve"> XE "DOB37000 29119" </w:instrText>
      </w:r>
      <w:r>
        <w:fldChar w:fldCharType="end"/>
      </w:r>
      <w:r w:rsidR="005743B0">
        <w:t xml:space="preserve">Consumer Credit </w:t>
      </w:r>
    </w:p>
    <w:p w:rsidR="005743B0" w:rsidRDefault="005743B0">
      <w:pPr>
        <w:pStyle w:val="ProgramHead"/>
        <w:sectPr w:rsidR="005743B0" w:rsidSect="00991726">
          <w:type w:val="continuous"/>
          <w:pgSz w:w="12240" w:h="15840" w:code="1"/>
          <w:pgMar w:top="864" w:right="720" w:bottom="1152" w:left="720" w:header="432" w:footer="288" w:gutter="216"/>
          <w:cols w:space="432"/>
        </w:sectPr>
      </w:pPr>
    </w:p>
    <w:p w:rsidR="005743B0" w:rsidRDefault="005743B0" w:rsidP="00991726">
      <w:pPr>
        <w:pStyle w:val="Heading2"/>
      </w:pPr>
      <w:r>
        <w:lastRenderedPageBreak/>
        <w:t xml:space="preserve">Statutory Reference </w:t>
      </w:r>
    </w:p>
    <w:p w:rsidR="005743B0" w:rsidRPr="00AB6FDF" w:rsidRDefault="00D74F96">
      <w:pPr>
        <w:pStyle w:val="CommentText"/>
        <w:outlineLvl w:val="0"/>
        <w:rPr>
          <w:sz w:val="18"/>
          <w:szCs w:val="18"/>
        </w:rPr>
      </w:pPr>
      <w:proofErr w:type="spellStart"/>
      <w:r w:rsidRPr="00AB6FDF">
        <w:rPr>
          <w:sz w:val="18"/>
          <w:szCs w:val="18"/>
        </w:rPr>
        <w:t>C.G.S.</w:t>
      </w:r>
      <w:proofErr w:type="spellEnd"/>
      <w:r w:rsidRPr="00AB6FDF">
        <w:rPr>
          <w:sz w:val="18"/>
          <w:szCs w:val="18"/>
        </w:rPr>
        <w:t xml:space="preserve"> </w:t>
      </w:r>
      <w:r w:rsidR="005743B0" w:rsidRPr="00AB6FDF">
        <w:rPr>
          <w:sz w:val="18"/>
          <w:szCs w:val="18"/>
        </w:rPr>
        <w:t>Title 36a, Chapters 668 and 669</w:t>
      </w:r>
      <w:r w:rsidR="00C9778E" w:rsidRPr="00AB6FDF">
        <w:rPr>
          <w:sz w:val="18"/>
          <w:szCs w:val="18"/>
        </w:rPr>
        <w:t>.</w:t>
      </w:r>
    </w:p>
    <w:p w:rsidR="005743B0" w:rsidRDefault="005743B0" w:rsidP="00991726">
      <w:pPr>
        <w:pStyle w:val="Heading2"/>
      </w:pPr>
      <w:r>
        <w:lastRenderedPageBreak/>
        <w:t>Statement of Need and Program Objectives</w:t>
      </w:r>
    </w:p>
    <w:p w:rsidR="005743B0" w:rsidRDefault="005743B0">
      <w:r>
        <w:t xml:space="preserve">To </w:t>
      </w:r>
      <w:r w:rsidR="0037277A">
        <w:t>en</w:t>
      </w:r>
      <w:r>
        <w:t>sure that participants in the granting and servicing of consumer credit deal fairly and lawfully with users of consumer credit in Connecticut</w:t>
      </w:r>
      <w:r w:rsidR="00D667B0">
        <w:t>.  T</w:t>
      </w:r>
      <w:r>
        <w:t xml:space="preserve">o promote the informed use of credit by active </w:t>
      </w:r>
      <w:r>
        <w:lastRenderedPageBreak/>
        <w:t xml:space="preserve">enforcement of the </w:t>
      </w:r>
      <w:r w:rsidR="00442D61">
        <w:t>s</w:t>
      </w:r>
      <w:r>
        <w:t>tate's consumer credit laws</w:t>
      </w:r>
      <w:r w:rsidR="00D667B0">
        <w:t xml:space="preserve"> and t</w:t>
      </w:r>
      <w:r w:rsidR="0037277A">
        <w:t xml:space="preserve">o </w:t>
      </w:r>
      <w:r>
        <w:t>disseminat</w:t>
      </w:r>
      <w:r w:rsidR="0037277A">
        <w:t>e</w:t>
      </w:r>
      <w:r>
        <w:t xml:space="preserve"> information to consumers and creditors. </w:t>
      </w:r>
    </w:p>
    <w:p w:rsidR="005743B0" w:rsidRDefault="005743B0" w:rsidP="00991726">
      <w:pPr>
        <w:pStyle w:val="Heading2"/>
      </w:pPr>
      <w:r>
        <w:t>Program Description</w:t>
      </w:r>
    </w:p>
    <w:p w:rsidR="005743B0" w:rsidRDefault="00286680" w:rsidP="00CC3FE9">
      <w:pPr>
        <w:spacing w:after="120"/>
      </w:pPr>
      <w:r>
        <w:t>Program objectives are achieved through the licensing, examination and enforcement of laws and regulations relati</w:t>
      </w:r>
      <w:r w:rsidR="0066774A">
        <w:t xml:space="preserve">ng to the following activities: </w:t>
      </w:r>
      <w:r>
        <w:t xml:space="preserve">mortgage lending, small loan lending, check cashing, money transmitting, issuance of </w:t>
      </w:r>
      <w:smartTag w:uri="urn:schemas-microsoft-com:office:smarttags" w:element="place">
        <w:smartTag w:uri="urn:schemas-microsoft-com:office:smarttags" w:element="State">
          <w:r>
            <w:t>Connecticut</w:t>
          </w:r>
        </w:smartTag>
      </w:smartTag>
      <w:r>
        <w:t xml:space="preserve"> payment instruments, </w:t>
      </w:r>
      <w:r w:rsidR="0066774A">
        <w:t xml:space="preserve">sales financing, debt adjusting/negotiating </w:t>
      </w:r>
      <w:r>
        <w:t>and consumer collections. Objectives are also achieved through the administration of Truth-in-Lending, creditors’ collection practices and retail installment sales financing laws</w:t>
      </w:r>
      <w:r w:rsidR="005524F8">
        <w:t>.</w:t>
      </w:r>
    </w:p>
    <w:p w:rsidR="005743B0" w:rsidRDefault="00286680" w:rsidP="00CC3FE9">
      <w:pPr>
        <w:spacing w:after="120"/>
      </w:pPr>
      <w:r>
        <w:lastRenderedPageBreak/>
        <w:t>Licenses are issued to qualified applicants in the following areas: mortgage lending, mortgage correspondent lending, mortgage brokering, mortgage loan originating, small loan lending, sales financing, debt adjusting, consumer collections, money transm</w:t>
      </w:r>
      <w:r w:rsidR="006F6373">
        <w:t xml:space="preserve">ission, check cashing and issuers of </w:t>
      </w:r>
      <w:smartTag w:uri="urn:schemas-microsoft-com:office:smarttags" w:element="place">
        <w:smartTag w:uri="urn:schemas-microsoft-com:office:smarttags" w:element="State">
          <w:r w:rsidR="006F6373">
            <w:t>Connecticut</w:t>
          </w:r>
        </w:smartTag>
      </w:smartTag>
      <w:r w:rsidR="006F6373">
        <w:t xml:space="preserve"> payment instruments.</w:t>
      </w:r>
      <w:r w:rsidR="005743B0">
        <w:t xml:space="preserve"> </w:t>
      </w:r>
    </w:p>
    <w:p w:rsidR="005743B0" w:rsidRDefault="005743B0" w:rsidP="00CC3FE9">
      <w:pPr>
        <w:spacing w:after="120"/>
      </w:pPr>
      <w:r>
        <w:t xml:space="preserve">Licensed entities and entities engaging in regulated activities are examined </w:t>
      </w:r>
      <w:r w:rsidR="006F6373">
        <w:t xml:space="preserve">and investigated to </w:t>
      </w:r>
      <w:r>
        <w:t xml:space="preserve">determine compliance with </w:t>
      </w:r>
      <w:r w:rsidR="006F6373">
        <w:t>related laws and regulations. E</w:t>
      </w:r>
      <w:r>
        <w:t xml:space="preserve">nforcement </w:t>
      </w:r>
      <w:r w:rsidR="006F6373">
        <w:t>actions are taken when appropriate</w:t>
      </w:r>
      <w:r>
        <w:t xml:space="preserve">. </w:t>
      </w:r>
    </w:p>
    <w:p w:rsidR="005743B0" w:rsidRDefault="005743B0">
      <w:pPr>
        <w:sectPr w:rsidR="005743B0" w:rsidSect="00991726">
          <w:type w:val="continuous"/>
          <w:pgSz w:w="12240" w:h="15840" w:code="1"/>
          <w:pgMar w:top="864" w:right="720" w:bottom="1152" w:left="720" w:header="432" w:footer="288" w:gutter="216"/>
          <w:cols w:num="2" w:space="432"/>
        </w:sectPr>
      </w:pPr>
    </w:p>
    <w:p w:rsidR="005743B0" w:rsidRDefault="005743B0"/>
    <w:p w:rsidR="005743B0" w:rsidRDefault="003E0D72">
      <w:pPr>
        <w:pStyle w:val="ProgramHead"/>
        <w:outlineLvl w:val="0"/>
      </w:pPr>
      <w:r>
        <w:fldChar w:fldCharType="begin"/>
      </w:r>
      <w:r w:rsidR="005618D2">
        <w:instrText xml:space="preserve"> XE "DOB37000 14000" </w:instrText>
      </w:r>
      <w:r>
        <w:fldChar w:fldCharType="end"/>
      </w:r>
      <w:r w:rsidR="005743B0">
        <w:t xml:space="preserve">Management Services </w:t>
      </w:r>
    </w:p>
    <w:p w:rsidR="005743B0" w:rsidRDefault="005743B0">
      <w:pPr>
        <w:pStyle w:val="ProgramHead"/>
        <w:sectPr w:rsidR="005743B0" w:rsidSect="00991726">
          <w:headerReference w:type="default" r:id="rId16"/>
          <w:type w:val="continuous"/>
          <w:pgSz w:w="12240" w:h="15840" w:code="1"/>
          <w:pgMar w:top="864" w:right="720" w:bottom="1152" w:left="720" w:header="432" w:footer="288" w:gutter="216"/>
          <w:cols w:space="720"/>
        </w:sectPr>
      </w:pPr>
    </w:p>
    <w:p w:rsidR="005743B0" w:rsidRDefault="005743B0" w:rsidP="00991726">
      <w:pPr>
        <w:pStyle w:val="Heading2"/>
      </w:pPr>
      <w:r>
        <w:lastRenderedPageBreak/>
        <w:t xml:space="preserve">Statutory Reference </w:t>
      </w:r>
    </w:p>
    <w:p w:rsidR="005743B0" w:rsidRPr="00AB6FDF" w:rsidRDefault="005743B0">
      <w:pPr>
        <w:pStyle w:val="CommentText"/>
        <w:outlineLvl w:val="0"/>
        <w:rPr>
          <w:sz w:val="18"/>
          <w:szCs w:val="18"/>
        </w:rPr>
      </w:pPr>
      <w:proofErr w:type="spellStart"/>
      <w:proofErr w:type="gramStart"/>
      <w:r w:rsidRPr="00AB6FDF">
        <w:rPr>
          <w:sz w:val="18"/>
          <w:szCs w:val="18"/>
        </w:rPr>
        <w:t>C.G.S.</w:t>
      </w:r>
      <w:proofErr w:type="spellEnd"/>
      <w:r w:rsidRPr="00AB6FDF">
        <w:rPr>
          <w:sz w:val="18"/>
          <w:szCs w:val="18"/>
        </w:rPr>
        <w:t xml:space="preserve"> Title</w:t>
      </w:r>
      <w:r w:rsidR="00703172" w:rsidRPr="00AB6FDF">
        <w:rPr>
          <w:sz w:val="18"/>
          <w:szCs w:val="18"/>
        </w:rPr>
        <w:t>s</w:t>
      </w:r>
      <w:r w:rsidRPr="00AB6FDF">
        <w:rPr>
          <w:sz w:val="18"/>
          <w:szCs w:val="18"/>
        </w:rPr>
        <w:t xml:space="preserve"> 36a, </w:t>
      </w:r>
      <w:r w:rsidR="00703172" w:rsidRPr="00AB6FDF">
        <w:rPr>
          <w:sz w:val="18"/>
          <w:szCs w:val="18"/>
        </w:rPr>
        <w:t>36b, Chapter</w:t>
      </w:r>
      <w:r w:rsidRPr="00AB6FDF">
        <w:rPr>
          <w:sz w:val="18"/>
          <w:szCs w:val="18"/>
        </w:rPr>
        <w:t xml:space="preserve"> </w:t>
      </w:r>
      <w:r w:rsidR="00703172" w:rsidRPr="00AB6FDF">
        <w:rPr>
          <w:sz w:val="18"/>
          <w:szCs w:val="18"/>
        </w:rPr>
        <w:t>831</w:t>
      </w:r>
      <w:r w:rsidR="00C9778E" w:rsidRPr="00AB6FDF">
        <w:rPr>
          <w:sz w:val="18"/>
          <w:szCs w:val="18"/>
        </w:rPr>
        <w:t>.</w:t>
      </w:r>
      <w:proofErr w:type="gramEnd"/>
    </w:p>
    <w:p w:rsidR="005743B0" w:rsidRDefault="005743B0" w:rsidP="00991726">
      <w:pPr>
        <w:pStyle w:val="Heading2"/>
      </w:pPr>
      <w:r>
        <w:t>Statement of Need and Program Objectives</w:t>
      </w:r>
    </w:p>
    <w:p w:rsidR="005743B0" w:rsidRDefault="005743B0" w:rsidP="00CA282E">
      <w:r>
        <w:t xml:space="preserve">To establish the required policies and guidelines needed to manage and operate the Department of Banking.  To provide support functions to assist line divisions in their regulatory responsibilities.  To directly assist and serve agency customers, including the general public, regulated entities and government officials. </w:t>
      </w:r>
    </w:p>
    <w:p w:rsidR="005743B0" w:rsidRDefault="005743B0" w:rsidP="00991726">
      <w:pPr>
        <w:pStyle w:val="Heading2"/>
      </w:pPr>
      <w:r>
        <w:t xml:space="preserve">Program Description  </w:t>
      </w:r>
    </w:p>
    <w:p w:rsidR="006930BC" w:rsidRDefault="005743B0" w:rsidP="00CC3FE9">
      <w:pPr>
        <w:spacing w:after="120"/>
      </w:pPr>
      <w:r>
        <w:t>Management Services encompasses the following units</w:t>
      </w:r>
      <w:r w:rsidR="00402391">
        <w:t>.</w:t>
      </w:r>
      <w:r>
        <w:t xml:space="preserve">  </w:t>
      </w:r>
    </w:p>
    <w:p w:rsidR="006930BC" w:rsidRDefault="006930BC" w:rsidP="00CC3FE9">
      <w:pPr>
        <w:spacing w:after="120"/>
      </w:pPr>
      <w:r w:rsidRPr="00DF66E6">
        <w:rPr>
          <w:i/>
        </w:rPr>
        <w:t>C</w:t>
      </w:r>
      <w:r w:rsidR="005743B0" w:rsidRPr="00DF66E6">
        <w:rPr>
          <w:i/>
        </w:rPr>
        <w:t>ommissioner</w:t>
      </w:r>
      <w:r w:rsidRPr="00DF66E6">
        <w:rPr>
          <w:i/>
        </w:rPr>
        <w:t xml:space="preserve">’s </w:t>
      </w:r>
      <w:r w:rsidR="00AB6FDF" w:rsidRPr="00DF66E6">
        <w:rPr>
          <w:i/>
        </w:rPr>
        <w:t>O</w:t>
      </w:r>
      <w:r w:rsidRPr="00DF66E6">
        <w:rPr>
          <w:i/>
        </w:rPr>
        <w:t>ffice</w:t>
      </w:r>
      <w:r w:rsidR="005743B0">
        <w:t xml:space="preserve"> sets overall policy for the agency and directs management in the achievement of its regulatory and supervisory responsibilities.</w:t>
      </w:r>
    </w:p>
    <w:p w:rsidR="00CC3FE9" w:rsidRDefault="005743B0" w:rsidP="00CC3FE9">
      <w:pPr>
        <w:spacing w:after="120"/>
      </w:pPr>
      <w:r w:rsidRPr="00DF66E6">
        <w:rPr>
          <w:i/>
        </w:rPr>
        <w:lastRenderedPageBreak/>
        <w:t>Business Office</w:t>
      </w:r>
      <w:r>
        <w:t xml:space="preserve"> is responsible for the accounting, budgeting, fiscal, payroll, purchasing and financial reporting functions</w:t>
      </w:r>
      <w:r w:rsidR="005524F8">
        <w:t xml:space="preserve"> of the agency</w:t>
      </w:r>
      <w:r w:rsidR="00CC3FE9">
        <w:t>.</w:t>
      </w:r>
    </w:p>
    <w:p w:rsidR="00CC3FE9" w:rsidRDefault="005743B0" w:rsidP="00CC3FE9">
      <w:pPr>
        <w:spacing w:after="120"/>
      </w:pPr>
      <w:r w:rsidRPr="00DF66E6">
        <w:rPr>
          <w:i/>
        </w:rPr>
        <w:t>Government Relations and Co</w:t>
      </w:r>
      <w:r w:rsidR="00A4100C" w:rsidRPr="00DF66E6">
        <w:rPr>
          <w:i/>
        </w:rPr>
        <w:t>nsumer Affairs</w:t>
      </w:r>
      <w:r w:rsidRPr="00DF66E6">
        <w:rPr>
          <w:i/>
        </w:rPr>
        <w:t xml:space="preserve"> Division</w:t>
      </w:r>
      <w:r>
        <w:t xml:space="preserve"> </w:t>
      </w:r>
      <w:r w:rsidR="005524F8">
        <w:t xml:space="preserve">assists consumers with issues involving banks, credit unions, investment problems, mortgage lending and other consumer credit matters, foreclosure assistance and issues involving rental security deposits. </w:t>
      </w:r>
    </w:p>
    <w:p w:rsidR="006930BC" w:rsidRDefault="00557A8D" w:rsidP="00CC3FE9">
      <w:pPr>
        <w:spacing w:after="120"/>
      </w:pPr>
      <w:r w:rsidRPr="00DF66E6">
        <w:rPr>
          <w:i/>
        </w:rPr>
        <w:t>Human Resources Office</w:t>
      </w:r>
      <w:r>
        <w:t xml:space="preserve"> addresses day-to-day employee issues, employee benefits, labor relations and professional development activities.  </w:t>
      </w:r>
    </w:p>
    <w:p w:rsidR="005743B0" w:rsidRDefault="006930BC" w:rsidP="00CC3FE9">
      <w:pPr>
        <w:spacing w:after="120"/>
      </w:pPr>
      <w:r w:rsidRPr="00DF66E6">
        <w:rPr>
          <w:i/>
        </w:rPr>
        <w:t xml:space="preserve">Information Technology </w:t>
      </w:r>
      <w:r w:rsidR="00ED50FC" w:rsidRPr="00DF66E6">
        <w:rPr>
          <w:i/>
        </w:rPr>
        <w:t>Unit</w:t>
      </w:r>
      <w:r w:rsidR="00ED50FC">
        <w:t xml:space="preserve"> provides information systems</w:t>
      </w:r>
      <w:r w:rsidR="005743B0">
        <w:t xml:space="preserve"> and office automation support.</w:t>
      </w:r>
    </w:p>
    <w:p w:rsidR="005743B0" w:rsidRDefault="005743B0">
      <w:pPr>
        <w:sectPr w:rsidR="005743B0" w:rsidSect="00991726">
          <w:type w:val="continuous"/>
          <w:pgSz w:w="12240" w:h="15840" w:code="1"/>
          <w:pgMar w:top="864" w:right="720" w:bottom="1152" w:left="720" w:header="432" w:footer="288" w:gutter="216"/>
          <w:cols w:num="2" w:space="432"/>
        </w:sectPr>
      </w:pPr>
    </w:p>
    <w:p w:rsidR="005743B0" w:rsidRDefault="005743B0"/>
    <w:p w:rsidR="0092517D" w:rsidRDefault="0092517D"/>
    <w:sectPr w:rsidR="0092517D" w:rsidSect="00991726">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753" w:rsidRDefault="008C0753">
      <w:r>
        <w:separator/>
      </w:r>
    </w:p>
  </w:endnote>
  <w:endnote w:type="continuationSeparator" w:id="0">
    <w:p w:rsidR="008C0753" w:rsidRDefault="008C07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53" w:rsidRDefault="003E0D72">
    <w:pPr>
      <w:pStyle w:val="Footer"/>
      <w:framePr w:wrap="around" w:vAnchor="text" w:hAnchor="margin" w:xAlign="center" w:y="1"/>
      <w:rPr>
        <w:rStyle w:val="PageNumber"/>
      </w:rPr>
    </w:pPr>
    <w:r>
      <w:rPr>
        <w:rStyle w:val="PageNumber"/>
      </w:rPr>
      <w:fldChar w:fldCharType="begin"/>
    </w:r>
    <w:r w:rsidR="008C0753">
      <w:rPr>
        <w:rStyle w:val="PageNumber"/>
      </w:rPr>
      <w:instrText xml:space="preserve">PAGE  </w:instrText>
    </w:r>
    <w:r>
      <w:rPr>
        <w:rStyle w:val="PageNumber"/>
      </w:rPr>
      <w:fldChar w:fldCharType="separate"/>
    </w:r>
    <w:r w:rsidR="008C0753">
      <w:rPr>
        <w:rStyle w:val="PageNumber"/>
        <w:noProof/>
      </w:rPr>
      <w:t>2</w:t>
    </w:r>
    <w:r>
      <w:rPr>
        <w:rStyle w:val="PageNumber"/>
      </w:rPr>
      <w:fldChar w:fldCharType="end"/>
    </w:r>
  </w:p>
  <w:p w:rsidR="008C0753" w:rsidRDefault="008C0753">
    <w:pPr>
      <w:pStyle w:val="Footer"/>
      <w:tabs>
        <w:tab w:val="right" w:pos="10530"/>
      </w:tabs>
      <w:jc w:val="left"/>
    </w:pPr>
    <w:r>
      <w:t>Department of Banking</w:t>
    </w:r>
    <w:r>
      <w:tab/>
      <w:t>Regulation and Protection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53" w:rsidRDefault="003E0D72">
    <w:pPr>
      <w:pStyle w:val="Footer"/>
      <w:framePr w:wrap="around" w:vAnchor="text" w:hAnchor="margin" w:xAlign="center" w:y="1"/>
      <w:rPr>
        <w:rStyle w:val="PageNumber"/>
      </w:rPr>
    </w:pPr>
    <w:r>
      <w:rPr>
        <w:rStyle w:val="PageNumber"/>
      </w:rPr>
      <w:fldChar w:fldCharType="begin"/>
    </w:r>
    <w:r w:rsidR="008C0753">
      <w:rPr>
        <w:rStyle w:val="PageNumber"/>
      </w:rPr>
      <w:instrText xml:space="preserve">PAGE  </w:instrText>
    </w:r>
    <w:r>
      <w:rPr>
        <w:rStyle w:val="PageNumber"/>
      </w:rPr>
      <w:fldChar w:fldCharType="separate"/>
    </w:r>
    <w:r w:rsidR="00442D61">
      <w:rPr>
        <w:rStyle w:val="PageNumber"/>
        <w:noProof/>
      </w:rPr>
      <w:t>1</w:t>
    </w:r>
    <w:r>
      <w:rPr>
        <w:rStyle w:val="PageNumber"/>
      </w:rPr>
      <w:fldChar w:fldCharType="end"/>
    </w:r>
  </w:p>
  <w:p w:rsidR="008C0753" w:rsidRDefault="008C0753">
    <w:pPr>
      <w:pStyle w:val="Footer"/>
      <w:tabs>
        <w:tab w:val="right" w:pos="10584"/>
      </w:tabs>
      <w:jc w:val="left"/>
    </w:pPr>
    <w:r>
      <w:t>Regulation and Protection</w:t>
    </w:r>
    <w:r>
      <w:tab/>
      <w:t>Department of Banking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53" w:rsidRDefault="003E0D72">
    <w:pPr>
      <w:pStyle w:val="Footer"/>
      <w:framePr w:wrap="around" w:vAnchor="text" w:hAnchor="margin" w:xAlign="center" w:y="1"/>
      <w:rPr>
        <w:rStyle w:val="PageNumber"/>
      </w:rPr>
    </w:pPr>
    <w:r>
      <w:rPr>
        <w:rStyle w:val="PageNumber"/>
      </w:rPr>
      <w:fldChar w:fldCharType="begin"/>
    </w:r>
    <w:r w:rsidR="008C0753">
      <w:rPr>
        <w:rStyle w:val="PageNumber"/>
      </w:rPr>
      <w:instrText xml:space="preserve">PAGE  </w:instrText>
    </w:r>
    <w:r>
      <w:rPr>
        <w:rStyle w:val="PageNumber"/>
      </w:rPr>
      <w:fldChar w:fldCharType="separate"/>
    </w:r>
    <w:r w:rsidR="00442D61">
      <w:rPr>
        <w:rStyle w:val="PageNumber"/>
        <w:noProof/>
      </w:rPr>
      <w:t>2</w:t>
    </w:r>
    <w:r>
      <w:rPr>
        <w:rStyle w:val="PageNumber"/>
      </w:rPr>
      <w:fldChar w:fldCharType="end"/>
    </w:r>
  </w:p>
  <w:p w:rsidR="008C0753" w:rsidRDefault="008C0753">
    <w:pPr>
      <w:pStyle w:val="Footer"/>
      <w:tabs>
        <w:tab w:val="right" w:pos="10530"/>
      </w:tabs>
      <w:jc w:val="left"/>
    </w:pPr>
    <w:r>
      <w:t>Department of Banking</w:t>
    </w:r>
    <w:r>
      <w:tab/>
      <w:t>Regulation and Protection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753" w:rsidRDefault="008C0753">
      <w:r>
        <w:separator/>
      </w:r>
    </w:p>
  </w:footnote>
  <w:footnote w:type="continuationSeparator" w:id="0">
    <w:p w:rsidR="008C0753" w:rsidRDefault="008C07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53" w:rsidRDefault="008C0753">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53" w:rsidRDefault="008C0753">
    <w:pPr>
      <w:pStyle w:val="Header"/>
      <w:jc w:val="righ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53" w:rsidRDefault="008C075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53" w:rsidRDefault="008C075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53" w:rsidRDefault="008C0753">
    <w:pPr>
      <w:pStyle w:val="Header"/>
      <w:jc w:val="left"/>
    </w:pPr>
    <w:smartTag w:uri="urn:schemas-microsoft-com:office:smarttags" w:element="PersonName">
      <w:r>
        <w:t>Budget</w:t>
      </w:r>
    </w:smartTag>
    <w:r>
      <w:t>-in-Detail</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53" w:rsidRDefault="008C0753">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53" w:rsidRDefault="008C0753">
    <w:pPr>
      <w:pStyle w:val="Heade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93B5953"/>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7D1990"/>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4">
    <w:nsid w:val="14E54618"/>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5">
    <w:nsid w:val="18866FF4"/>
    <w:multiLevelType w:val="hybridMultilevel"/>
    <w:tmpl w:val="7728C81A"/>
    <w:lvl w:ilvl="0" w:tplc="305EEF52">
      <w:start w:val="1"/>
      <w:numFmt w:val="bullet"/>
      <w:lvlText w:val=""/>
      <w:lvlJc w:val="left"/>
      <w:pPr>
        <w:tabs>
          <w:tab w:val="num" w:pos="360"/>
        </w:tabs>
        <w:ind w:left="360" w:hanging="360"/>
      </w:pPr>
      <w:rPr>
        <w:rFonts w:ascii="Symbol" w:hAnsi="Symbol" w:hint="default"/>
      </w:rPr>
    </w:lvl>
    <w:lvl w:ilvl="1" w:tplc="BF76CB76" w:tentative="1">
      <w:start w:val="1"/>
      <w:numFmt w:val="bullet"/>
      <w:lvlText w:val="o"/>
      <w:lvlJc w:val="left"/>
      <w:pPr>
        <w:tabs>
          <w:tab w:val="num" w:pos="1440"/>
        </w:tabs>
        <w:ind w:left="1440" w:hanging="360"/>
      </w:pPr>
      <w:rPr>
        <w:rFonts w:ascii="Courier New" w:hAnsi="Courier New" w:hint="default"/>
      </w:rPr>
    </w:lvl>
    <w:lvl w:ilvl="2" w:tplc="F08A93D2" w:tentative="1">
      <w:start w:val="1"/>
      <w:numFmt w:val="bullet"/>
      <w:lvlText w:val=""/>
      <w:lvlJc w:val="left"/>
      <w:pPr>
        <w:tabs>
          <w:tab w:val="num" w:pos="2160"/>
        </w:tabs>
        <w:ind w:left="2160" w:hanging="360"/>
      </w:pPr>
      <w:rPr>
        <w:rFonts w:ascii="Wingdings" w:hAnsi="Wingdings" w:hint="default"/>
      </w:rPr>
    </w:lvl>
    <w:lvl w:ilvl="3" w:tplc="597C4E50" w:tentative="1">
      <w:start w:val="1"/>
      <w:numFmt w:val="bullet"/>
      <w:lvlText w:val=""/>
      <w:lvlJc w:val="left"/>
      <w:pPr>
        <w:tabs>
          <w:tab w:val="num" w:pos="2880"/>
        </w:tabs>
        <w:ind w:left="2880" w:hanging="360"/>
      </w:pPr>
      <w:rPr>
        <w:rFonts w:ascii="Symbol" w:hAnsi="Symbol" w:hint="default"/>
      </w:rPr>
    </w:lvl>
    <w:lvl w:ilvl="4" w:tplc="D9A4268C" w:tentative="1">
      <w:start w:val="1"/>
      <w:numFmt w:val="bullet"/>
      <w:lvlText w:val="o"/>
      <w:lvlJc w:val="left"/>
      <w:pPr>
        <w:tabs>
          <w:tab w:val="num" w:pos="3600"/>
        </w:tabs>
        <w:ind w:left="3600" w:hanging="360"/>
      </w:pPr>
      <w:rPr>
        <w:rFonts w:ascii="Courier New" w:hAnsi="Courier New" w:hint="default"/>
      </w:rPr>
    </w:lvl>
    <w:lvl w:ilvl="5" w:tplc="51B616AA" w:tentative="1">
      <w:start w:val="1"/>
      <w:numFmt w:val="bullet"/>
      <w:lvlText w:val=""/>
      <w:lvlJc w:val="left"/>
      <w:pPr>
        <w:tabs>
          <w:tab w:val="num" w:pos="4320"/>
        </w:tabs>
        <w:ind w:left="4320" w:hanging="360"/>
      </w:pPr>
      <w:rPr>
        <w:rFonts w:ascii="Wingdings" w:hAnsi="Wingdings" w:hint="default"/>
      </w:rPr>
    </w:lvl>
    <w:lvl w:ilvl="6" w:tplc="C890C0D6" w:tentative="1">
      <w:start w:val="1"/>
      <w:numFmt w:val="bullet"/>
      <w:lvlText w:val=""/>
      <w:lvlJc w:val="left"/>
      <w:pPr>
        <w:tabs>
          <w:tab w:val="num" w:pos="5040"/>
        </w:tabs>
        <w:ind w:left="5040" w:hanging="360"/>
      </w:pPr>
      <w:rPr>
        <w:rFonts w:ascii="Symbol" w:hAnsi="Symbol" w:hint="default"/>
      </w:rPr>
    </w:lvl>
    <w:lvl w:ilvl="7" w:tplc="862A8424" w:tentative="1">
      <w:start w:val="1"/>
      <w:numFmt w:val="bullet"/>
      <w:lvlText w:val="o"/>
      <w:lvlJc w:val="left"/>
      <w:pPr>
        <w:tabs>
          <w:tab w:val="num" w:pos="5760"/>
        </w:tabs>
        <w:ind w:left="5760" w:hanging="360"/>
      </w:pPr>
      <w:rPr>
        <w:rFonts w:ascii="Courier New" w:hAnsi="Courier New" w:hint="default"/>
      </w:rPr>
    </w:lvl>
    <w:lvl w:ilvl="8" w:tplc="E2965950" w:tentative="1">
      <w:start w:val="1"/>
      <w:numFmt w:val="bullet"/>
      <w:lvlText w:val=""/>
      <w:lvlJc w:val="left"/>
      <w:pPr>
        <w:tabs>
          <w:tab w:val="num" w:pos="6480"/>
        </w:tabs>
        <w:ind w:left="6480" w:hanging="360"/>
      </w:pPr>
      <w:rPr>
        <w:rFonts w:ascii="Wingdings" w:hAnsi="Wingdings" w:hint="default"/>
      </w:rPr>
    </w:lvl>
  </w:abstractNum>
  <w:abstractNum w:abstractNumId="6">
    <w:nsid w:val="51C23E65"/>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7">
    <w:nsid w:val="58934C7B"/>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8">
    <w:nsid w:val="59780DDF"/>
    <w:multiLevelType w:val="singleLevel"/>
    <w:tmpl w:val="F80EEC2C"/>
    <w:lvl w:ilvl="0">
      <w:start w:val="1"/>
      <w:numFmt w:val="bullet"/>
      <w:lvlText w:val=""/>
      <w:lvlJc w:val="left"/>
      <w:pPr>
        <w:tabs>
          <w:tab w:val="num" w:pos="360"/>
        </w:tabs>
        <w:ind w:left="360" w:hanging="360"/>
      </w:pPr>
      <w:rPr>
        <w:rFonts w:ascii="Symbol" w:hAnsi="Symbol" w:hint="default"/>
      </w:rPr>
    </w:lvl>
  </w:abstractNum>
  <w:abstractNum w:abstractNumId="9">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724B22"/>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11">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3"/>
  </w:num>
  <w:num w:numId="4">
    <w:abstractNumId w:val="10"/>
  </w:num>
  <w:num w:numId="5">
    <w:abstractNumId w:val="1"/>
  </w:num>
  <w:num w:numId="6">
    <w:abstractNumId w:val="4"/>
  </w:num>
  <w:num w:numId="7">
    <w:abstractNumId w:val="7"/>
  </w:num>
  <w:num w:numId="8">
    <w:abstractNumId w:val="6"/>
  </w:num>
  <w:num w:numId="9">
    <w:abstractNumId w:val="5"/>
  </w:num>
  <w:num w:numId="10">
    <w:abstractNumId w:val="2"/>
  </w:num>
  <w:num w:numId="11">
    <w:abstractNumId w:val="9"/>
  </w:num>
  <w:num w:numId="12">
    <w:abstractNumId w:val="2"/>
  </w:num>
  <w:num w:numId="13">
    <w:abstractNumId w:val="9"/>
  </w:num>
  <w:num w:numId="14">
    <w:abstractNumId w:val="2"/>
  </w:num>
  <w:num w:numId="15">
    <w:abstractNumId w:val="9"/>
  </w:num>
  <w:num w:numId="16">
    <w:abstractNumId w:val="11"/>
  </w:num>
  <w:num w:numId="17">
    <w:abstractNumId w:val="2"/>
  </w:num>
  <w:num w:numId="18">
    <w:abstractNumId w:val="9"/>
  </w:num>
  <w:num w:numId="19">
    <w:abstractNumId w:val="11"/>
  </w:num>
  <w:num w:numId="20">
    <w:abstractNumId w:val="2"/>
  </w:num>
  <w:num w:numId="21">
    <w:abstractNumId w:val="9"/>
  </w:num>
  <w:num w:numId="22">
    <w:abstractNumId w:val="2"/>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1F01"/>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rsids>
    <w:rsidRoot w:val="00E33B7D"/>
    <w:rsid w:val="000012E1"/>
    <w:rsid w:val="00003B2F"/>
    <w:rsid w:val="00097161"/>
    <w:rsid w:val="000A7A52"/>
    <w:rsid w:val="000E1AF2"/>
    <w:rsid w:val="000F2585"/>
    <w:rsid w:val="00103B17"/>
    <w:rsid w:val="001707B4"/>
    <w:rsid w:val="001D58D6"/>
    <w:rsid w:val="00252CBC"/>
    <w:rsid w:val="002751F5"/>
    <w:rsid w:val="002765B0"/>
    <w:rsid w:val="00286680"/>
    <w:rsid w:val="002D01E7"/>
    <w:rsid w:val="00320808"/>
    <w:rsid w:val="00323A06"/>
    <w:rsid w:val="00371C54"/>
    <w:rsid w:val="0037277A"/>
    <w:rsid w:val="00376F87"/>
    <w:rsid w:val="003E0D72"/>
    <w:rsid w:val="00402391"/>
    <w:rsid w:val="0041536A"/>
    <w:rsid w:val="00415DF7"/>
    <w:rsid w:val="004166FD"/>
    <w:rsid w:val="00442D61"/>
    <w:rsid w:val="00496BD3"/>
    <w:rsid w:val="005524F8"/>
    <w:rsid w:val="00557A8D"/>
    <w:rsid w:val="005618D2"/>
    <w:rsid w:val="005743B0"/>
    <w:rsid w:val="005B460F"/>
    <w:rsid w:val="0066774A"/>
    <w:rsid w:val="006930BC"/>
    <w:rsid w:val="006E75A8"/>
    <w:rsid w:val="006F6373"/>
    <w:rsid w:val="00703172"/>
    <w:rsid w:val="00715A85"/>
    <w:rsid w:val="00715ED2"/>
    <w:rsid w:val="007414A0"/>
    <w:rsid w:val="00762C02"/>
    <w:rsid w:val="0076671D"/>
    <w:rsid w:val="00766D48"/>
    <w:rsid w:val="007C1FEC"/>
    <w:rsid w:val="007E4F10"/>
    <w:rsid w:val="0081469B"/>
    <w:rsid w:val="0087195C"/>
    <w:rsid w:val="008A7C76"/>
    <w:rsid w:val="008C0753"/>
    <w:rsid w:val="008E547C"/>
    <w:rsid w:val="0092517D"/>
    <w:rsid w:val="00991726"/>
    <w:rsid w:val="009C6807"/>
    <w:rsid w:val="009D2DCF"/>
    <w:rsid w:val="009F54FC"/>
    <w:rsid w:val="00A4100C"/>
    <w:rsid w:val="00A56C3C"/>
    <w:rsid w:val="00AB6FDF"/>
    <w:rsid w:val="00AC0AFE"/>
    <w:rsid w:val="00AC1811"/>
    <w:rsid w:val="00AF333A"/>
    <w:rsid w:val="00B25DB5"/>
    <w:rsid w:val="00B26CB0"/>
    <w:rsid w:val="00B727B5"/>
    <w:rsid w:val="00BC7180"/>
    <w:rsid w:val="00C2212B"/>
    <w:rsid w:val="00C72332"/>
    <w:rsid w:val="00C813FB"/>
    <w:rsid w:val="00C9778E"/>
    <w:rsid w:val="00CA282E"/>
    <w:rsid w:val="00CC3B60"/>
    <w:rsid w:val="00CC3FE9"/>
    <w:rsid w:val="00D33E96"/>
    <w:rsid w:val="00D667B0"/>
    <w:rsid w:val="00D70962"/>
    <w:rsid w:val="00D74F96"/>
    <w:rsid w:val="00D82A6C"/>
    <w:rsid w:val="00D90003"/>
    <w:rsid w:val="00DD068B"/>
    <w:rsid w:val="00DE2647"/>
    <w:rsid w:val="00DE28CF"/>
    <w:rsid w:val="00DF66E6"/>
    <w:rsid w:val="00E33B7D"/>
    <w:rsid w:val="00E96785"/>
    <w:rsid w:val="00EB6CFB"/>
    <w:rsid w:val="00EB788F"/>
    <w:rsid w:val="00ED2FD4"/>
    <w:rsid w:val="00ED50FC"/>
    <w:rsid w:val="00F64447"/>
    <w:rsid w:val="00F7692C"/>
    <w:rsid w:val="00F8484A"/>
    <w:rsid w:val="00FA23A3"/>
    <w:rsid w:val="00FD1EFB"/>
    <w:rsid w:val="00FF2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12E1"/>
    <w:pPr>
      <w:spacing w:after="40"/>
      <w:jc w:val="both"/>
    </w:pPr>
    <w:rPr>
      <w:rFonts w:ascii="Calibri" w:hAnsi="Calibri"/>
      <w:sz w:val="18"/>
    </w:rPr>
  </w:style>
  <w:style w:type="paragraph" w:styleId="Heading1">
    <w:name w:val="heading 1"/>
    <w:basedOn w:val="H1"/>
    <w:next w:val="Normal"/>
    <w:qFormat/>
    <w:rsid w:val="000012E1"/>
    <w:pPr>
      <w:keepNext/>
      <w:spacing w:after="60"/>
      <w:jc w:val="left"/>
      <w:outlineLvl w:val="0"/>
    </w:pPr>
    <w:rPr>
      <w:kern w:val="28"/>
    </w:rPr>
  </w:style>
  <w:style w:type="paragraph" w:styleId="Heading2">
    <w:name w:val="heading 2"/>
    <w:basedOn w:val="Normal"/>
    <w:next w:val="Normal"/>
    <w:qFormat/>
    <w:rsid w:val="000012E1"/>
    <w:pPr>
      <w:keepNext/>
      <w:spacing w:before="80" w:after="0"/>
      <w:outlineLvl w:val="1"/>
    </w:pPr>
    <w:rPr>
      <w:b/>
      <w:i/>
      <w:color w:val="002D86"/>
      <w:sz w:val="20"/>
    </w:rPr>
  </w:style>
  <w:style w:type="paragraph" w:styleId="Heading3">
    <w:name w:val="heading 3"/>
    <w:basedOn w:val="Normal"/>
    <w:next w:val="Normal"/>
    <w:link w:val="Heading3Char"/>
    <w:qFormat/>
    <w:rsid w:val="000012E1"/>
    <w:pPr>
      <w:keepNext/>
      <w:spacing w:after="60"/>
      <w:jc w:val="center"/>
      <w:outlineLvl w:val="2"/>
    </w:pPr>
    <w:rPr>
      <w:b/>
    </w:rPr>
  </w:style>
  <w:style w:type="paragraph" w:styleId="Heading4">
    <w:name w:val="heading 4"/>
    <w:basedOn w:val="Heading3"/>
    <w:next w:val="Normal"/>
    <w:link w:val="Heading4Char"/>
    <w:qFormat/>
    <w:rsid w:val="000012E1"/>
    <w:pPr>
      <w:spacing w:before="120" w:after="0"/>
      <w:jc w:val="left"/>
      <w:outlineLvl w:val="3"/>
    </w:pPr>
    <w:rPr>
      <w:b w:val="0"/>
      <w:i/>
    </w:rPr>
  </w:style>
  <w:style w:type="paragraph" w:styleId="Heading5">
    <w:name w:val="heading 5"/>
    <w:basedOn w:val="Normal"/>
    <w:next w:val="Normal"/>
    <w:qFormat/>
    <w:rsid w:val="000012E1"/>
    <w:pPr>
      <w:spacing w:before="240" w:after="60"/>
      <w:outlineLvl w:val="4"/>
    </w:pPr>
    <w:rPr>
      <w:sz w:val="22"/>
    </w:rPr>
  </w:style>
  <w:style w:type="paragraph" w:styleId="Heading6">
    <w:name w:val="heading 6"/>
    <w:basedOn w:val="Normal"/>
    <w:next w:val="Normal"/>
    <w:qFormat/>
    <w:rsid w:val="000012E1"/>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0012E1"/>
    <w:pPr>
      <w:keepNext/>
      <w:outlineLvl w:val="6"/>
    </w:pPr>
    <w:rPr>
      <w:b/>
      <w:u w:val="single"/>
    </w:rPr>
  </w:style>
  <w:style w:type="paragraph" w:styleId="Heading8">
    <w:name w:val="heading 8"/>
    <w:basedOn w:val="Normal"/>
    <w:next w:val="Normal"/>
    <w:qFormat/>
    <w:rsid w:val="000012E1"/>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0012E1"/>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12E1"/>
    <w:pPr>
      <w:jc w:val="center"/>
    </w:pPr>
  </w:style>
  <w:style w:type="paragraph" w:styleId="Footer">
    <w:name w:val="footer"/>
    <w:basedOn w:val="Header"/>
    <w:rsid w:val="000012E1"/>
  </w:style>
  <w:style w:type="character" w:styleId="PageNumber">
    <w:name w:val="page number"/>
    <w:basedOn w:val="DefaultParagraphFont"/>
    <w:rsid w:val="000012E1"/>
    <w:rPr>
      <w:rFonts w:ascii="Trebuchet MS" w:hAnsi="Trebuchet MS"/>
      <w:sz w:val="16"/>
    </w:rPr>
  </w:style>
  <w:style w:type="paragraph" w:customStyle="1" w:styleId="H1">
    <w:name w:val="H1"/>
    <w:next w:val="Normal"/>
    <w:link w:val="H1Char"/>
    <w:rsid w:val="000012E1"/>
    <w:pPr>
      <w:spacing w:after="240"/>
      <w:jc w:val="center"/>
    </w:pPr>
    <w:rPr>
      <w:rFonts w:ascii="Calibri" w:hAnsi="Calibri"/>
      <w:caps/>
      <w:noProof/>
      <w:color w:val="002D86"/>
      <w:sz w:val="40"/>
    </w:rPr>
  </w:style>
  <w:style w:type="paragraph" w:customStyle="1" w:styleId="H2">
    <w:name w:val="H2"/>
    <w:basedOn w:val="Normal"/>
    <w:link w:val="H2Char"/>
    <w:rsid w:val="000012E1"/>
    <w:pPr>
      <w:pBdr>
        <w:bottom w:val="single" w:sz="4" w:space="1" w:color="808080"/>
      </w:pBdr>
      <w:spacing w:before="120"/>
      <w:jc w:val="left"/>
    </w:pPr>
    <w:rPr>
      <w:caps/>
      <w:noProof/>
      <w:color w:val="002D86"/>
      <w:sz w:val="24"/>
    </w:rPr>
  </w:style>
  <w:style w:type="paragraph" w:customStyle="1" w:styleId="H3">
    <w:name w:val="H3"/>
    <w:basedOn w:val="Heading3"/>
    <w:next w:val="Normal"/>
    <w:rsid w:val="000012E1"/>
  </w:style>
  <w:style w:type="paragraph" w:customStyle="1" w:styleId="H4">
    <w:name w:val="H4"/>
    <w:basedOn w:val="Normal"/>
    <w:next w:val="Normal"/>
    <w:link w:val="H4Char"/>
    <w:rsid w:val="000012E1"/>
    <w:pPr>
      <w:spacing w:before="80"/>
      <w:jc w:val="left"/>
    </w:pPr>
    <w:rPr>
      <w:caps/>
      <w:color w:val="002291"/>
      <w:sz w:val="20"/>
    </w:rPr>
  </w:style>
  <w:style w:type="paragraph" w:customStyle="1" w:styleId="H5">
    <w:name w:val="H5"/>
    <w:basedOn w:val="Heading5"/>
    <w:next w:val="Normal"/>
    <w:rsid w:val="000012E1"/>
  </w:style>
  <w:style w:type="paragraph" w:customStyle="1" w:styleId="H6">
    <w:name w:val="H6"/>
    <w:rsid w:val="000012E1"/>
    <w:pPr>
      <w:spacing w:before="60" w:after="60"/>
    </w:pPr>
    <w:rPr>
      <w:rFonts w:ascii="AvantGarde" w:hAnsi="AvantGarde"/>
      <w:smallCaps/>
      <w:noProof/>
      <w:color w:val="000080"/>
      <w:sz w:val="24"/>
    </w:rPr>
  </w:style>
  <w:style w:type="paragraph" w:customStyle="1" w:styleId="H7">
    <w:name w:val="H7"/>
    <w:basedOn w:val="Normal"/>
    <w:rsid w:val="000012E1"/>
    <w:rPr>
      <w:sz w:val="16"/>
    </w:rPr>
  </w:style>
  <w:style w:type="character" w:styleId="CommentReference">
    <w:name w:val="annotation reference"/>
    <w:basedOn w:val="DefaultParagraphFont"/>
    <w:semiHidden/>
    <w:rsid w:val="000012E1"/>
    <w:rPr>
      <w:sz w:val="16"/>
      <w:szCs w:val="16"/>
    </w:rPr>
  </w:style>
  <w:style w:type="paragraph" w:styleId="CommentText">
    <w:name w:val="annotation text"/>
    <w:basedOn w:val="Normal"/>
    <w:semiHidden/>
    <w:rsid w:val="000012E1"/>
    <w:rPr>
      <w:sz w:val="20"/>
    </w:rPr>
  </w:style>
  <w:style w:type="character" w:customStyle="1" w:styleId="H1Char">
    <w:name w:val="H1 Char"/>
    <w:basedOn w:val="DefaultParagraphFont"/>
    <w:link w:val="H1"/>
    <w:rsid w:val="00CA282E"/>
    <w:rPr>
      <w:rFonts w:ascii="Calibri" w:hAnsi="Calibri"/>
      <w:caps/>
      <w:noProof/>
      <w:color w:val="002D86"/>
      <w:sz w:val="40"/>
      <w:lang w:val="en-US" w:eastAsia="en-US" w:bidi="ar-SA"/>
    </w:rPr>
  </w:style>
  <w:style w:type="paragraph" w:customStyle="1" w:styleId="ProgramHead">
    <w:name w:val="ProgramHead"/>
    <w:basedOn w:val="H2"/>
    <w:rsid w:val="000012E1"/>
    <w:pPr>
      <w:pBdr>
        <w:bottom w:val="single" w:sz="2" w:space="1" w:color="BFBFBF"/>
      </w:pBdr>
      <w:spacing w:after="0"/>
    </w:pPr>
  </w:style>
  <w:style w:type="paragraph" w:customStyle="1" w:styleId="SubProgramHead">
    <w:name w:val="SubProgramHead"/>
    <w:basedOn w:val="ProgramHead"/>
    <w:rsid w:val="000012E1"/>
    <w:pPr>
      <w:jc w:val="center"/>
    </w:pPr>
  </w:style>
  <w:style w:type="paragraph" w:styleId="DocumentMap">
    <w:name w:val="Document Map"/>
    <w:basedOn w:val="Normal"/>
    <w:semiHidden/>
    <w:rsid w:val="000012E1"/>
    <w:pPr>
      <w:shd w:val="clear" w:color="auto" w:fill="000080"/>
    </w:pPr>
    <w:rPr>
      <w:rFonts w:ascii="Tahoma" w:hAnsi="Tahoma" w:cs="Tahoma"/>
    </w:rPr>
  </w:style>
  <w:style w:type="character" w:customStyle="1" w:styleId="H2Char">
    <w:name w:val="H2 Char"/>
    <w:basedOn w:val="H1Char"/>
    <w:link w:val="H2"/>
    <w:rsid w:val="00CA282E"/>
    <w:rPr>
      <w:sz w:val="24"/>
    </w:rPr>
  </w:style>
  <w:style w:type="character" w:styleId="Hyperlink">
    <w:name w:val="Hyperlink"/>
    <w:basedOn w:val="DefaultParagraphFont"/>
    <w:rsid w:val="000012E1"/>
    <w:rPr>
      <w:rFonts w:ascii="Calibri" w:hAnsi="Calibri"/>
      <w:color w:val="17365D"/>
      <w:sz w:val="18"/>
      <w:u w:val="single"/>
    </w:rPr>
  </w:style>
  <w:style w:type="paragraph" w:styleId="BalloonText">
    <w:name w:val="Balloon Text"/>
    <w:basedOn w:val="Normal"/>
    <w:semiHidden/>
    <w:rsid w:val="000012E1"/>
    <w:rPr>
      <w:rFonts w:ascii="Tahoma" w:hAnsi="Tahoma" w:cs="Tahoma"/>
      <w:szCs w:val="16"/>
    </w:rPr>
  </w:style>
  <w:style w:type="paragraph" w:styleId="BodyText">
    <w:name w:val="Body Text"/>
    <w:basedOn w:val="Normal"/>
    <w:rsid w:val="000012E1"/>
    <w:pPr>
      <w:ind w:right="-54"/>
    </w:pPr>
  </w:style>
  <w:style w:type="paragraph" w:customStyle="1" w:styleId="H2SubProgram">
    <w:name w:val="H2 SubProgram"/>
    <w:basedOn w:val="H2"/>
    <w:rsid w:val="000012E1"/>
    <w:pPr>
      <w:jc w:val="center"/>
    </w:pPr>
  </w:style>
  <w:style w:type="paragraph" w:customStyle="1" w:styleId="H7b0">
    <w:name w:val="H7b"/>
    <w:basedOn w:val="H7"/>
    <w:rsid w:val="000012E1"/>
    <w:pPr>
      <w:jc w:val="right"/>
      <w:outlineLvl w:val="0"/>
    </w:pPr>
    <w:rPr>
      <w:rFonts w:ascii="Arial" w:hAnsi="Arial"/>
    </w:rPr>
  </w:style>
  <w:style w:type="paragraph" w:customStyle="1" w:styleId="H7B">
    <w:name w:val="H7B"/>
    <w:basedOn w:val="H7"/>
    <w:rsid w:val="000012E1"/>
    <w:pPr>
      <w:numPr>
        <w:numId w:val="22"/>
      </w:numPr>
      <w:tabs>
        <w:tab w:val="left" w:pos="144"/>
      </w:tabs>
    </w:pPr>
    <w:rPr>
      <w:b/>
      <w:sz w:val="18"/>
    </w:rPr>
  </w:style>
  <w:style w:type="paragraph" w:customStyle="1" w:styleId="NormalB">
    <w:name w:val="NormalB"/>
    <w:basedOn w:val="Normal"/>
    <w:rsid w:val="000012E1"/>
    <w:pPr>
      <w:numPr>
        <w:numId w:val="23"/>
      </w:numPr>
      <w:tabs>
        <w:tab w:val="left" w:pos="144"/>
      </w:tabs>
    </w:pPr>
  </w:style>
  <w:style w:type="paragraph" w:customStyle="1" w:styleId="SubprogramHead0">
    <w:name w:val="SubprogramHead"/>
    <w:basedOn w:val="Heading2"/>
    <w:rsid w:val="000012E1"/>
    <w:pPr>
      <w:spacing w:before="40"/>
    </w:pPr>
  </w:style>
  <w:style w:type="table" w:styleId="TableGrid">
    <w:name w:val="Table Grid"/>
    <w:basedOn w:val="TableNormal"/>
    <w:rsid w:val="000012E1"/>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2">
    <w:name w:val="Body Text 2"/>
    <w:basedOn w:val="Normal"/>
    <w:rsid w:val="000012E1"/>
    <w:rPr>
      <w:kern w:val="16"/>
      <w:sz w:val="16"/>
    </w:rPr>
  </w:style>
  <w:style w:type="paragraph" w:styleId="BodyTextIndent">
    <w:name w:val="Body Text Indent"/>
    <w:basedOn w:val="Normal"/>
    <w:rsid w:val="000012E1"/>
    <w:pPr>
      <w:ind w:left="720"/>
    </w:pPr>
  </w:style>
  <w:style w:type="character" w:customStyle="1" w:styleId="H4Char">
    <w:name w:val="H4 Char"/>
    <w:basedOn w:val="DefaultParagraphFont"/>
    <w:link w:val="H4"/>
    <w:rsid w:val="00CA282E"/>
    <w:rPr>
      <w:rFonts w:ascii="Calibri" w:hAnsi="Calibri"/>
      <w:caps/>
      <w:color w:val="002291"/>
    </w:rPr>
  </w:style>
  <w:style w:type="character" w:customStyle="1" w:styleId="Heading3Char">
    <w:name w:val="Heading 3 Char"/>
    <w:basedOn w:val="DefaultParagraphFont"/>
    <w:link w:val="Heading3"/>
    <w:rsid w:val="00CA282E"/>
    <w:rPr>
      <w:rFonts w:ascii="Calibri" w:hAnsi="Calibri"/>
      <w:b/>
      <w:sz w:val="18"/>
    </w:rPr>
  </w:style>
  <w:style w:type="character" w:customStyle="1" w:styleId="Heading4Char">
    <w:name w:val="Heading 4 Char"/>
    <w:basedOn w:val="Heading3Char"/>
    <w:link w:val="Heading4"/>
    <w:rsid w:val="00CA282E"/>
    <w:rPr>
      <w:i/>
    </w:rPr>
  </w:style>
  <w:style w:type="paragraph" w:styleId="NormalWeb">
    <w:name w:val="Normal (Web)"/>
    <w:basedOn w:val="Normal"/>
    <w:rsid w:val="000012E1"/>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0012E1"/>
    <w:pPr>
      <w:jc w:val="left"/>
    </w:pPr>
    <w:rPr>
      <w:color w:val="005400"/>
    </w:rPr>
  </w:style>
  <w:style w:type="paragraph" w:customStyle="1" w:styleId="Bullets">
    <w:name w:val="Bullets"/>
    <w:basedOn w:val="Normal"/>
    <w:rsid w:val="000012E1"/>
    <w:pPr>
      <w:spacing w:before="40"/>
      <w:jc w:val="left"/>
    </w:pPr>
    <w:rPr>
      <w:rFonts w:ascii="Times New Roman" w:hAnsi="Times New Roman"/>
      <w:sz w:val="22"/>
    </w:rPr>
  </w:style>
  <w:style w:type="paragraph" w:styleId="BodyText3">
    <w:name w:val="Body Text 3"/>
    <w:basedOn w:val="Normal"/>
    <w:link w:val="BodyText3Char"/>
    <w:rsid w:val="000012E1"/>
    <w:pPr>
      <w:spacing w:after="120"/>
    </w:pPr>
  </w:style>
  <w:style w:type="character" w:customStyle="1" w:styleId="BodyText3Char">
    <w:name w:val="Body Text 3 Char"/>
    <w:basedOn w:val="DefaultParagraphFont"/>
    <w:link w:val="BodyText3"/>
    <w:rsid w:val="00320808"/>
    <w:rPr>
      <w:rFonts w:ascii="Calibri" w:hAnsi="Calibri"/>
      <w:sz w:val="18"/>
    </w:rPr>
  </w:style>
  <w:style w:type="character" w:styleId="Strong">
    <w:name w:val="Strong"/>
    <w:basedOn w:val="DefaultParagraphFont"/>
    <w:qFormat/>
    <w:rsid w:val="000012E1"/>
    <w:rPr>
      <w:b/>
      <w:bCs/>
    </w:rPr>
  </w:style>
  <w:style w:type="paragraph" w:customStyle="1" w:styleId="BulletsDigest">
    <w:name w:val="Bullets Digest"/>
    <w:rsid w:val="00320808"/>
    <w:pPr>
      <w:numPr>
        <w:numId w:val="19"/>
      </w:numPr>
    </w:pPr>
    <w:rPr>
      <w:sz w:val="24"/>
    </w:rPr>
  </w:style>
  <w:style w:type="character" w:styleId="FollowedHyperlink">
    <w:name w:val="FollowedHyperlink"/>
    <w:basedOn w:val="DefaultParagraphFont"/>
    <w:rsid w:val="000012E1"/>
    <w:rPr>
      <w:color w:val="800080"/>
      <w:u w:val="single"/>
    </w:rPr>
  </w:style>
  <w:style w:type="paragraph" w:customStyle="1" w:styleId="H4Blue">
    <w:name w:val="H4Blue"/>
    <w:basedOn w:val="H4"/>
    <w:qFormat/>
    <w:rsid w:val="000012E1"/>
    <w:rPr>
      <w:color w:val="002D86"/>
    </w:rPr>
  </w:style>
  <w:style w:type="paragraph" w:customStyle="1" w:styleId="Heading2Green">
    <w:name w:val="Heading2Green"/>
    <w:basedOn w:val="Heading2"/>
    <w:qFormat/>
    <w:rsid w:val="000012E1"/>
    <w:rPr>
      <w:b w:val="0"/>
      <w:color w:val="006600"/>
    </w:rPr>
  </w:style>
  <w:style w:type="character" w:styleId="IntenseEmphasis">
    <w:name w:val="Intense Emphasis"/>
    <w:basedOn w:val="DefaultParagraphFont"/>
    <w:uiPriority w:val="21"/>
    <w:qFormat/>
    <w:rsid w:val="000012E1"/>
    <w:rPr>
      <w:b/>
      <w:bCs/>
      <w:i/>
      <w:iCs/>
      <w:color w:val="4F81BD"/>
    </w:rPr>
  </w:style>
  <w:style w:type="paragraph" w:customStyle="1" w:styleId="StyleHeading4">
    <w:name w:val="Style Heading 4 +"/>
    <w:basedOn w:val="Heading4"/>
    <w:rsid w:val="000012E1"/>
    <w:rPr>
      <w:bCs/>
    </w:rPr>
  </w:style>
  <w:style w:type="paragraph" w:styleId="TOC1">
    <w:name w:val="toc 1"/>
    <w:basedOn w:val="Normal"/>
    <w:next w:val="Normal"/>
    <w:autoRedefine/>
    <w:rsid w:val="000012E1"/>
    <w:rPr>
      <w:rFonts w:ascii="Verdana" w:hAnsi="Verdan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DOB0000X Department of Banking </vt:lpstr>
    </vt:vector>
  </TitlesOfParts>
  <Company>Department of Banking</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DOB0000X Department of Banking </dc:title>
  <dc:subject/>
  <dc:creator>Trecom Business System User</dc:creator>
  <cp:keywords/>
  <dc:description/>
  <cp:lastModifiedBy>Melissa Yeich</cp:lastModifiedBy>
  <cp:revision>7</cp:revision>
  <cp:lastPrinted>2013-01-09T14:40:00Z</cp:lastPrinted>
  <dcterms:created xsi:type="dcterms:W3CDTF">2013-01-08T19:06:00Z</dcterms:created>
  <dcterms:modified xsi:type="dcterms:W3CDTF">2013-01-22T21:00:00Z</dcterms:modified>
</cp:coreProperties>
</file>