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50" w:rsidRPr="00B616A2" w:rsidRDefault="00097010" w:rsidP="008E48BA">
      <w:pPr>
        <w:pStyle w:val="H1"/>
      </w:pPr>
      <w:r>
        <w:t>Office of</w:t>
      </w:r>
      <w:r w:rsidR="008E48BA">
        <w:t xml:space="preserve"> </w:t>
      </w:r>
      <w:r w:rsidR="000B5250" w:rsidRPr="00B616A2">
        <w:t xml:space="preserve">Higher Education </w:t>
      </w:r>
    </w:p>
    <w:p w:rsidR="00496478" w:rsidRPr="00032C6B" w:rsidRDefault="000B5250" w:rsidP="00496478">
      <w:pPr>
        <w:pStyle w:val="H2"/>
        <w:tabs>
          <w:tab w:val="right" w:pos="10449"/>
        </w:tabs>
        <w:sectPr w:rsidR="00496478" w:rsidRPr="00032C6B">
          <w:headerReference w:type="default" r:id="rId7"/>
          <w:footerReference w:type="default" r:id="rId8"/>
          <w:type w:val="continuous"/>
          <w:pgSz w:w="12240" w:h="15840" w:code="1"/>
          <w:pgMar w:top="864" w:right="720" w:bottom="864" w:left="720" w:header="288" w:footer="288" w:gutter="216"/>
          <w:cols w:space="720"/>
        </w:sectPr>
      </w:pPr>
      <w:r>
        <w:t xml:space="preserve">Agency Description </w:t>
      </w:r>
      <w:r w:rsidR="005E7546">
        <w:fldChar w:fldCharType="begin"/>
      </w:r>
      <w:r>
        <w:instrText xml:space="preserve"> XE "</w:instrText>
      </w:r>
      <w:r w:rsidR="001027F3">
        <w:instrText>Board of Regents</w:instrText>
      </w:r>
      <w:r w:rsidR="00234AC0">
        <w:instrText xml:space="preserve"> for higher education</w:instrText>
      </w:r>
      <w:r>
        <w:instrText xml:space="preserve">" </w:instrText>
      </w:r>
      <w:r w:rsidR="005E7546">
        <w:fldChar w:fldCharType="end"/>
      </w:r>
      <w:r w:rsidR="007E2780">
        <w:t xml:space="preserve"> </w:t>
      </w:r>
      <w:r w:rsidR="00496478">
        <w:tab/>
      </w:r>
    </w:p>
    <w:p w:rsidR="00D17730" w:rsidRPr="00E46372" w:rsidRDefault="000E13A4" w:rsidP="00D17730">
      <w:pPr>
        <w:rPr>
          <w:rFonts w:cs="Calibri"/>
          <w:szCs w:val="18"/>
        </w:rPr>
      </w:pPr>
      <w:r w:rsidRPr="00E46372">
        <w:rPr>
          <w:rFonts w:cs="Calibri"/>
          <w:szCs w:val="18"/>
        </w:rPr>
        <w:lastRenderedPageBreak/>
        <w:t>T</w:t>
      </w:r>
      <w:r w:rsidR="00D17730" w:rsidRPr="00E46372">
        <w:rPr>
          <w:rFonts w:cs="Calibri"/>
          <w:szCs w:val="18"/>
        </w:rPr>
        <w:t>he public system of higher education in Connecticut consists of 18 degree-granting institutions organized into:  the University of Connecticut, its five regional branch campuses and health center</w:t>
      </w:r>
      <w:r w:rsidR="00175C24">
        <w:rPr>
          <w:rFonts w:cs="Calibri"/>
          <w:szCs w:val="18"/>
        </w:rPr>
        <w:t>;</w:t>
      </w:r>
      <w:r w:rsidR="00D17730" w:rsidRPr="00E46372">
        <w:rPr>
          <w:rFonts w:cs="Calibri"/>
          <w:szCs w:val="18"/>
        </w:rPr>
        <w:t xml:space="preserve"> and the Board of Regents</w:t>
      </w:r>
      <w:r w:rsidR="00B95126" w:rsidRPr="00E46372">
        <w:rPr>
          <w:rFonts w:cs="Calibri"/>
          <w:szCs w:val="18"/>
        </w:rPr>
        <w:t>,</w:t>
      </w:r>
      <w:r w:rsidR="00D17730" w:rsidRPr="00E46372">
        <w:rPr>
          <w:rFonts w:cs="Calibri"/>
          <w:szCs w:val="18"/>
        </w:rPr>
        <w:t xml:space="preserve"> including the four regional Connecticut State Universities, the twelve Connecticut Community-Technical Colleges, and Charter Oak State College, the state's only external degree-granting institution.  Twenty-eight independent colleges and universities, the U.S. Coast Guard Academy and more than seventy private occupational schools also serve Connecticut. </w:t>
      </w:r>
    </w:p>
    <w:p w:rsidR="000B5250" w:rsidRPr="00E46372" w:rsidRDefault="00D17730" w:rsidP="00D17730">
      <w:pPr>
        <w:rPr>
          <w:rFonts w:cs="Calibri"/>
          <w:snapToGrid w:val="0"/>
          <w:szCs w:val="18"/>
        </w:rPr>
      </w:pPr>
      <w:r w:rsidRPr="00E46372">
        <w:rPr>
          <w:rFonts w:cs="Calibri"/>
          <w:snapToGrid w:val="0"/>
          <w:szCs w:val="18"/>
        </w:rPr>
        <w:t xml:space="preserve">The Office of </w:t>
      </w:r>
      <w:r w:rsidR="00CA533C">
        <w:rPr>
          <w:rFonts w:cs="Calibri"/>
          <w:snapToGrid w:val="0"/>
          <w:szCs w:val="18"/>
        </w:rPr>
        <w:t>Higher Education was re-organized</w:t>
      </w:r>
      <w:r w:rsidRPr="00E46372">
        <w:rPr>
          <w:rFonts w:cs="Calibri"/>
          <w:snapToGrid w:val="0"/>
          <w:szCs w:val="18"/>
        </w:rPr>
        <w:t xml:space="preserve"> in July 2011 to administer programs supporting Connecticut’s higher education system.  Those programs include academic program review and approval for independent institutions, as well as private occupational and hospital-based schools; three student financial aid programs for Connecticut undergraduates, in addition to programs for teachers</w:t>
      </w:r>
      <w:r w:rsidR="000E13A4" w:rsidRPr="00E46372">
        <w:rPr>
          <w:rFonts w:cs="Calibri"/>
          <w:snapToGrid w:val="0"/>
          <w:szCs w:val="18"/>
        </w:rPr>
        <w:t xml:space="preserve"> and</w:t>
      </w:r>
      <w:r w:rsidRPr="00E46372">
        <w:rPr>
          <w:rFonts w:cs="Calibri"/>
          <w:snapToGrid w:val="0"/>
          <w:szCs w:val="18"/>
        </w:rPr>
        <w:t xml:space="preserve"> lawyers; and programs for students through the Minority Advancement Program, the Commission on Community Service, the and Teacher Quality Partnership Grants.</w:t>
      </w:r>
    </w:p>
    <w:p w:rsidR="000B5250" w:rsidRDefault="00430F90" w:rsidP="000F6AED">
      <w:pPr>
        <w:rPr>
          <w:snapToGrid w:val="0"/>
        </w:rPr>
      </w:pPr>
      <w:r>
        <w:rPr>
          <w:snapToGrid w:val="0"/>
        </w:rPr>
        <w:lastRenderedPageBreak/>
        <w:t>In</w:t>
      </w:r>
      <w:r w:rsidR="00C44B1D">
        <w:rPr>
          <w:snapToGrid w:val="0"/>
        </w:rPr>
        <w:t xml:space="preserve"> fall of </w:t>
      </w:r>
      <w:r w:rsidR="00D17730">
        <w:rPr>
          <w:snapToGrid w:val="0"/>
        </w:rPr>
        <w:t>2012</w:t>
      </w:r>
      <w:r w:rsidR="002A2D29" w:rsidRPr="00762D48">
        <w:rPr>
          <w:snapToGrid w:val="0"/>
        </w:rPr>
        <w:t xml:space="preserve">, </w:t>
      </w:r>
      <w:r>
        <w:rPr>
          <w:snapToGrid w:val="0"/>
        </w:rPr>
        <w:t xml:space="preserve">a record </w:t>
      </w:r>
      <w:r w:rsidR="00D17730">
        <w:rPr>
          <w:snapToGrid w:val="0"/>
        </w:rPr>
        <w:t>202,858</w:t>
      </w:r>
      <w:r>
        <w:rPr>
          <w:snapToGrid w:val="0"/>
        </w:rPr>
        <w:t xml:space="preserve"> students</w:t>
      </w:r>
      <w:r w:rsidR="002A2D29">
        <w:rPr>
          <w:snapToGrid w:val="0"/>
        </w:rPr>
        <w:t xml:space="preserve"> enrolled in Connecticut’s public and independent </w:t>
      </w:r>
      <w:r>
        <w:rPr>
          <w:snapToGrid w:val="0"/>
        </w:rPr>
        <w:t>colleges and universi</w:t>
      </w:r>
      <w:r w:rsidR="00AE10E6">
        <w:rPr>
          <w:snapToGrid w:val="0"/>
        </w:rPr>
        <w:t>ties</w:t>
      </w:r>
      <w:r w:rsidR="002315C8">
        <w:rPr>
          <w:snapToGrid w:val="0"/>
        </w:rPr>
        <w:t xml:space="preserve">.  </w:t>
      </w:r>
      <w:r w:rsidR="00AE10E6">
        <w:rPr>
          <w:snapToGrid w:val="0"/>
        </w:rPr>
        <w:t>At the same time,</w:t>
      </w:r>
      <w:r w:rsidR="002315C8" w:rsidRPr="00762D48">
        <w:rPr>
          <w:snapToGrid w:val="0"/>
        </w:rPr>
        <w:t xml:space="preserve"> </w:t>
      </w:r>
      <w:r>
        <w:rPr>
          <w:snapToGrid w:val="0"/>
        </w:rPr>
        <w:t>the state’s</w:t>
      </w:r>
      <w:r w:rsidR="002315C8" w:rsidRPr="00762D48">
        <w:rPr>
          <w:snapToGrid w:val="0"/>
        </w:rPr>
        <w:t xml:space="preserve"> </w:t>
      </w:r>
      <w:r>
        <w:rPr>
          <w:snapToGrid w:val="0"/>
        </w:rPr>
        <w:t>institutions of higher education award</w:t>
      </w:r>
      <w:r w:rsidR="000F1E66">
        <w:rPr>
          <w:snapToGrid w:val="0"/>
        </w:rPr>
        <w:t>ed</w:t>
      </w:r>
      <w:r>
        <w:rPr>
          <w:snapToGrid w:val="0"/>
        </w:rPr>
        <w:t xml:space="preserve"> </w:t>
      </w:r>
      <w:r w:rsidR="000F1E66">
        <w:rPr>
          <w:snapToGrid w:val="0"/>
        </w:rPr>
        <w:t>42,590</w:t>
      </w:r>
      <w:r w:rsidR="002A2D29" w:rsidRPr="00762D48">
        <w:rPr>
          <w:snapToGrid w:val="0"/>
        </w:rPr>
        <w:t xml:space="preserve"> degrees</w:t>
      </w:r>
      <w:r w:rsidR="000B5250">
        <w:rPr>
          <w:snapToGrid w:val="0"/>
        </w:rPr>
        <w:t>.</w:t>
      </w:r>
      <w:r w:rsidR="002A2D29">
        <w:rPr>
          <w:snapToGrid w:val="0"/>
        </w:rPr>
        <w:t xml:space="preserve">  </w:t>
      </w:r>
      <w:r w:rsidR="000F1E66">
        <w:rPr>
          <w:snapToGrid w:val="0"/>
        </w:rPr>
        <w:t>In the last twenty years</w:t>
      </w:r>
      <w:r w:rsidR="002A2D29">
        <w:rPr>
          <w:snapToGrid w:val="0"/>
        </w:rPr>
        <w:t xml:space="preserve">, </w:t>
      </w:r>
      <w:r w:rsidR="007F7988">
        <w:rPr>
          <w:snapToGrid w:val="0"/>
        </w:rPr>
        <w:t xml:space="preserve">the number of </w:t>
      </w:r>
      <w:r>
        <w:rPr>
          <w:snapToGrid w:val="0"/>
        </w:rPr>
        <w:t>degrees award</w:t>
      </w:r>
      <w:r w:rsidR="001622E0">
        <w:rPr>
          <w:snapToGrid w:val="0"/>
        </w:rPr>
        <w:t xml:space="preserve">ed </w:t>
      </w:r>
      <w:r w:rsidR="00416D0F">
        <w:rPr>
          <w:snapToGrid w:val="0"/>
        </w:rPr>
        <w:t xml:space="preserve">per 100,000 </w:t>
      </w:r>
      <w:proofErr w:type="gramStart"/>
      <w:r w:rsidR="00416D0F">
        <w:rPr>
          <w:snapToGrid w:val="0"/>
        </w:rPr>
        <w:t>population</w:t>
      </w:r>
      <w:proofErr w:type="gramEnd"/>
      <w:r w:rsidR="00416D0F">
        <w:rPr>
          <w:snapToGrid w:val="0"/>
        </w:rPr>
        <w:t xml:space="preserve"> </w:t>
      </w:r>
      <w:r w:rsidR="001C2172">
        <w:rPr>
          <w:snapToGrid w:val="0"/>
        </w:rPr>
        <w:t>has</w:t>
      </w:r>
      <w:r w:rsidR="002A2D29" w:rsidRPr="00D120EC">
        <w:rPr>
          <w:snapToGrid w:val="0"/>
        </w:rPr>
        <w:t xml:space="preserve"> increased</w:t>
      </w:r>
      <w:r w:rsidR="00D120EC" w:rsidRPr="00D120EC">
        <w:rPr>
          <w:snapToGrid w:val="0"/>
        </w:rPr>
        <w:t xml:space="preserve"> 24</w:t>
      </w:r>
      <w:r w:rsidR="003D2123" w:rsidRPr="00D120EC">
        <w:rPr>
          <w:snapToGrid w:val="0"/>
        </w:rPr>
        <w:t xml:space="preserve"> percent</w:t>
      </w:r>
      <w:r w:rsidR="003D2123">
        <w:rPr>
          <w:snapToGrid w:val="0"/>
        </w:rPr>
        <w:t>.</w:t>
      </w:r>
      <w:r w:rsidR="001622E0">
        <w:rPr>
          <w:snapToGrid w:val="0"/>
        </w:rPr>
        <w:t xml:space="preserve">  More people</w:t>
      </w:r>
      <w:r>
        <w:rPr>
          <w:snapToGrid w:val="0"/>
        </w:rPr>
        <w:t xml:space="preserve"> – high school graduates, adults, women and members of minority groups</w:t>
      </w:r>
      <w:r w:rsidR="00E02CA3">
        <w:rPr>
          <w:snapToGrid w:val="0"/>
        </w:rPr>
        <w:t xml:space="preserve"> – </w:t>
      </w:r>
      <w:r w:rsidR="001622E0">
        <w:rPr>
          <w:snapToGrid w:val="0"/>
        </w:rPr>
        <w:t>a</w:t>
      </w:r>
      <w:r w:rsidR="00CC1271">
        <w:rPr>
          <w:snapToGrid w:val="0"/>
        </w:rPr>
        <w:t>re entering and completing post-</w:t>
      </w:r>
      <w:r w:rsidR="001622E0">
        <w:rPr>
          <w:snapToGrid w:val="0"/>
        </w:rPr>
        <w:t>secondary education than ever before</w:t>
      </w:r>
      <w:r w:rsidR="00B7199B">
        <w:rPr>
          <w:snapToGrid w:val="0"/>
        </w:rPr>
        <w:t>.</w:t>
      </w:r>
      <w:r w:rsidR="00C16B2F">
        <w:rPr>
          <w:snapToGrid w:val="0"/>
        </w:rPr>
        <w:t xml:space="preserve"> </w:t>
      </w:r>
      <w:r w:rsidR="00B7199B">
        <w:rPr>
          <w:snapToGrid w:val="0"/>
        </w:rPr>
        <w:t>M</w:t>
      </w:r>
      <w:r w:rsidR="00EB5973">
        <w:rPr>
          <w:snapToGrid w:val="0"/>
        </w:rPr>
        <w:t xml:space="preserve">aintaining accessibility and affordability in higher education </w:t>
      </w:r>
      <w:r w:rsidR="00D00FB5">
        <w:rPr>
          <w:snapToGrid w:val="0"/>
        </w:rPr>
        <w:t>in these difficult economic times</w:t>
      </w:r>
      <w:r w:rsidR="00B7199B">
        <w:rPr>
          <w:snapToGrid w:val="0"/>
        </w:rPr>
        <w:t xml:space="preserve"> is crucial</w:t>
      </w:r>
      <w:r w:rsidR="001C2172">
        <w:rPr>
          <w:snapToGrid w:val="0"/>
        </w:rPr>
        <w:t xml:space="preserve"> for the benefit of society and the </w:t>
      </w:r>
      <w:proofErr w:type="gramStart"/>
      <w:r w:rsidR="001C2172">
        <w:rPr>
          <w:snapToGrid w:val="0"/>
        </w:rPr>
        <w:t>economy</w:t>
      </w:r>
      <w:r w:rsidR="00F413DA">
        <w:rPr>
          <w:snapToGrid w:val="0"/>
        </w:rPr>
        <w:t xml:space="preserve"> </w:t>
      </w:r>
      <w:r w:rsidR="001622E0">
        <w:rPr>
          <w:snapToGrid w:val="0"/>
        </w:rPr>
        <w:t>.</w:t>
      </w:r>
      <w:proofErr w:type="gramEnd"/>
    </w:p>
    <w:p w:rsidR="00004357" w:rsidRDefault="00004357" w:rsidP="00D6563C">
      <w:pPr>
        <w:pStyle w:val="Heading2"/>
        <w:rPr>
          <w:snapToGrid w:val="0"/>
        </w:rPr>
      </w:pPr>
    </w:p>
    <w:tbl>
      <w:tblPr>
        <w:tblW w:w="0" w:type="auto"/>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ook w:val="01E0"/>
      </w:tblPr>
      <w:tblGrid>
        <w:gridCol w:w="3483"/>
        <w:gridCol w:w="903"/>
        <w:gridCol w:w="798"/>
      </w:tblGrid>
      <w:tr w:rsidR="00D6563C" w:rsidTr="001C3B77">
        <w:tc>
          <w:tcPr>
            <w:tcW w:w="5184" w:type="dxa"/>
            <w:gridSpan w:val="3"/>
            <w:shd w:val="clear" w:color="auto" w:fill="E5EEFF"/>
          </w:tcPr>
          <w:p w:rsidR="00D6563C" w:rsidRPr="002A51D9" w:rsidRDefault="00D6563C" w:rsidP="00D6563C">
            <w:pPr>
              <w:pStyle w:val="Heading2"/>
              <w:rPr>
                <w:color w:val="auto"/>
              </w:rPr>
            </w:pPr>
            <w:r w:rsidRPr="002A51D9">
              <w:rPr>
                <w:snapToGrid w:val="0"/>
                <w:color w:val="auto"/>
              </w:rPr>
              <w:t>Outcome Measure</w:t>
            </w:r>
          </w:p>
        </w:tc>
      </w:tr>
      <w:tr w:rsidR="006B0B04" w:rsidRPr="00F502DC" w:rsidTr="001C3B77">
        <w:tc>
          <w:tcPr>
            <w:tcW w:w="3483" w:type="dxa"/>
            <w:shd w:val="clear" w:color="auto" w:fill="auto"/>
          </w:tcPr>
          <w:p w:rsidR="006B0B04" w:rsidRPr="001C3B77" w:rsidRDefault="006B0B04" w:rsidP="001C3B77">
            <w:pPr>
              <w:outlineLvl w:val="0"/>
              <w:rPr>
                <w:sz w:val="16"/>
                <w:szCs w:val="16"/>
              </w:rPr>
            </w:pPr>
          </w:p>
        </w:tc>
        <w:tc>
          <w:tcPr>
            <w:tcW w:w="903" w:type="dxa"/>
            <w:shd w:val="clear" w:color="auto" w:fill="auto"/>
          </w:tcPr>
          <w:p w:rsidR="006B0B04" w:rsidRPr="001C3B77" w:rsidRDefault="000F1E66" w:rsidP="001C3B77">
            <w:pPr>
              <w:jc w:val="right"/>
              <w:outlineLvl w:val="0"/>
              <w:rPr>
                <w:sz w:val="16"/>
                <w:szCs w:val="16"/>
              </w:rPr>
            </w:pPr>
            <w:r>
              <w:rPr>
                <w:sz w:val="16"/>
                <w:szCs w:val="16"/>
              </w:rPr>
              <w:t>1992</w:t>
            </w:r>
          </w:p>
        </w:tc>
        <w:tc>
          <w:tcPr>
            <w:tcW w:w="798" w:type="dxa"/>
            <w:shd w:val="clear" w:color="auto" w:fill="auto"/>
          </w:tcPr>
          <w:p w:rsidR="006B0B04" w:rsidRPr="001C3B77" w:rsidRDefault="00762D48" w:rsidP="001C3B77">
            <w:pPr>
              <w:jc w:val="right"/>
              <w:outlineLvl w:val="0"/>
              <w:rPr>
                <w:sz w:val="16"/>
                <w:szCs w:val="16"/>
              </w:rPr>
            </w:pPr>
            <w:r w:rsidRPr="001C3B77">
              <w:rPr>
                <w:sz w:val="16"/>
                <w:szCs w:val="16"/>
              </w:rPr>
              <w:t>20</w:t>
            </w:r>
            <w:r w:rsidR="00D00FB5">
              <w:rPr>
                <w:sz w:val="16"/>
                <w:szCs w:val="16"/>
              </w:rPr>
              <w:t>1</w:t>
            </w:r>
            <w:r w:rsidR="000F1E66">
              <w:rPr>
                <w:sz w:val="16"/>
                <w:szCs w:val="16"/>
              </w:rPr>
              <w:t>2</w:t>
            </w:r>
          </w:p>
        </w:tc>
      </w:tr>
      <w:tr w:rsidR="006B0B04" w:rsidRPr="00D120EC" w:rsidTr="001C3B77">
        <w:tc>
          <w:tcPr>
            <w:tcW w:w="3483" w:type="dxa"/>
          </w:tcPr>
          <w:p w:rsidR="006B0B04" w:rsidRPr="001C3B77" w:rsidRDefault="006B0B04" w:rsidP="001C3B77">
            <w:pPr>
              <w:jc w:val="left"/>
              <w:outlineLvl w:val="0"/>
              <w:rPr>
                <w:sz w:val="16"/>
                <w:szCs w:val="16"/>
              </w:rPr>
            </w:pPr>
            <w:r w:rsidRPr="001C3B77">
              <w:rPr>
                <w:sz w:val="16"/>
                <w:szCs w:val="16"/>
              </w:rPr>
              <w:t>Degrees Conferred per 100,000 Population</w:t>
            </w:r>
          </w:p>
        </w:tc>
        <w:tc>
          <w:tcPr>
            <w:tcW w:w="903" w:type="dxa"/>
          </w:tcPr>
          <w:p w:rsidR="006B0B04" w:rsidRPr="00D120EC" w:rsidRDefault="00D120EC" w:rsidP="001C3B77">
            <w:pPr>
              <w:jc w:val="right"/>
              <w:outlineLvl w:val="0"/>
              <w:rPr>
                <w:sz w:val="16"/>
                <w:szCs w:val="16"/>
              </w:rPr>
            </w:pPr>
            <w:r>
              <w:rPr>
                <w:sz w:val="16"/>
                <w:szCs w:val="16"/>
              </w:rPr>
              <w:t>901</w:t>
            </w:r>
          </w:p>
        </w:tc>
        <w:tc>
          <w:tcPr>
            <w:tcW w:w="798" w:type="dxa"/>
          </w:tcPr>
          <w:p w:rsidR="006B0B04" w:rsidRPr="00D120EC" w:rsidRDefault="006B0B04" w:rsidP="001C3B77">
            <w:pPr>
              <w:jc w:val="right"/>
              <w:outlineLvl w:val="0"/>
              <w:rPr>
                <w:sz w:val="16"/>
                <w:szCs w:val="16"/>
              </w:rPr>
            </w:pPr>
            <w:r w:rsidRPr="00D120EC">
              <w:rPr>
                <w:sz w:val="16"/>
                <w:szCs w:val="16"/>
              </w:rPr>
              <w:t>1,</w:t>
            </w:r>
            <w:r w:rsidR="00D120EC">
              <w:rPr>
                <w:sz w:val="16"/>
                <w:szCs w:val="16"/>
              </w:rPr>
              <w:t>113</w:t>
            </w:r>
          </w:p>
        </w:tc>
      </w:tr>
    </w:tbl>
    <w:p w:rsidR="000B5250" w:rsidRDefault="000B5250"/>
    <w:p w:rsidR="00E94F9A" w:rsidRDefault="00E94F9A">
      <w:pPr>
        <w:sectPr w:rsidR="00E94F9A">
          <w:type w:val="continuous"/>
          <w:pgSz w:w="12240" w:h="15840" w:code="1"/>
          <w:pgMar w:top="864" w:right="720" w:bottom="864" w:left="720" w:header="288" w:footer="288" w:gutter="216"/>
          <w:cols w:num="2" w:space="432"/>
        </w:sectPr>
      </w:pPr>
    </w:p>
    <w:p w:rsidR="00C53F15" w:rsidRDefault="00C53F15" w:rsidP="00C53F15">
      <w:pPr>
        <w:jc w:val="left"/>
        <w:rPr>
          <w:b/>
          <w:i/>
          <w:color w:val="1F497D"/>
          <w:szCs w:val="18"/>
        </w:rPr>
      </w:pPr>
    </w:p>
    <w:p w:rsidR="00B616A2" w:rsidRDefault="00B616A2">
      <w:pPr>
        <w:rPr>
          <w:snapToGrid w:val="0"/>
        </w:rPr>
      </w:pPr>
    </w:p>
    <w:p w:rsidR="000B5250" w:rsidRDefault="005E7546">
      <w:pPr>
        <w:pStyle w:val="ProgramHead"/>
        <w:sectPr w:rsidR="000B5250">
          <w:headerReference w:type="default" r:id="rId9"/>
          <w:type w:val="continuous"/>
          <w:pgSz w:w="12240" w:h="15840" w:code="1"/>
          <w:pgMar w:top="864" w:right="720" w:bottom="864" w:left="720" w:header="288" w:footer="288" w:gutter="216"/>
          <w:cols w:space="432"/>
        </w:sectPr>
      </w:pPr>
      <w:r>
        <w:fldChar w:fldCharType="begin"/>
      </w:r>
      <w:r w:rsidR="000B5250">
        <w:instrText xml:space="preserve"> XE "</w:instrText>
      </w:r>
      <w:r w:rsidR="00004357">
        <w:instrText>DHE66500</w:instrText>
      </w:r>
      <w:r w:rsidR="000B5250">
        <w:instrText xml:space="preserve"> </w:instrText>
      </w:r>
      <w:r w:rsidR="00004357">
        <w:instrText>81001</w:instrText>
      </w:r>
      <w:r w:rsidR="000B5250">
        <w:instrText xml:space="preserve">" </w:instrText>
      </w:r>
      <w:r>
        <w:fldChar w:fldCharType="end"/>
      </w:r>
      <w:r w:rsidR="00D120EC">
        <w:t>Administration</w:t>
      </w:r>
      <w:r w:rsidR="000B5250">
        <w:t xml:space="preserve"> of Higher Education </w:t>
      </w:r>
      <w:r w:rsidR="000F1E66">
        <w:t>programs</w:t>
      </w:r>
    </w:p>
    <w:p w:rsidR="000B5250" w:rsidRDefault="000B5250" w:rsidP="00D6563C">
      <w:pPr>
        <w:pStyle w:val="Heading2"/>
      </w:pPr>
      <w:r>
        <w:lastRenderedPageBreak/>
        <w:t>Statutory Reference</w:t>
      </w:r>
    </w:p>
    <w:p w:rsidR="000B5250" w:rsidRDefault="000B5250" w:rsidP="000F6AED">
      <w:r>
        <w:t>C.G.S. Section</w:t>
      </w:r>
      <w:r w:rsidR="00810066">
        <w:t>s</w:t>
      </w:r>
      <w:r>
        <w:t xml:space="preserve"> 10a-1</w:t>
      </w:r>
      <w:r w:rsidR="000F1E66">
        <w:t>d, 10a-10 through 17, 10a-22, 10a-29, 10a-</w:t>
      </w:r>
      <w:proofErr w:type="gramStart"/>
      <w:r w:rsidR="000F1E66">
        <w:t>34</w:t>
      </w:r>
      <w:r w:rsidR="000E13A4">
        <w:t xml:space="preserve"> </w:t>
      </w:r>
      <w:r w:rsidR="000F1E66">
        <w:t xml:space="preserve"> through</w:t>
      </w:r>
      <w:proofErr w:type="gramEnd"/>
      <w:r w:rsidR="000F1E66">
        <w:t xml:space="preserve"> 10a-42, 10a-48</w:t>
      </w:r>
      <w:r w:rsidR="00455233">
        <w:t>.</w:t>
      </w:r>
      <w:r>
        <w:t xml:space="preserve"> </w:t>
      </w:r>
    </w:p>
    <w:p w:rsidR="000B5250" w:rsidRDefault="000B5250" w:rsidP="00D6563C">
      <w:pPr>
        <w:pStyle w:val="Heading2"/>
      </w:pPr>
      <w:r>
        <w:t xml:space="preserve">Statement of Need and Program Objectives </w:t>
      </w:r>
    </w:p>
    <w:p w:rsidR="00B7199B" w:rsidRDefault="00B7199B" w:rsidP="00B7199B">
      <w:pPr>
        <w:spacing w:after="80"/>
      </w:pPr>
      <w:r>
        <w:t xml:space="preserve">To </w:t>
      </w:r>
      <w:r w:rsidR="000F1E66">
        <w:t>administer programs supporting Connecticut’s higher education system</w:t>
      </w:r>
      <w:r>
        <w:t xml:space="preserve">.  </w:t>
      </w:r>
    </w:p>
    <w:p w:rsidR="000B5250" w:rsidRDefault="000B5250" w:rsidP="00D6563C">
      <w:pPr>
        <w:pStyle w:val="Heading2"/>
      </w:pPr>
      <w:r>
        <w:t xml:space="preserve">Program Description </w:t>
      </w:r>
    </w:p>
    <w:p w:rsidR="00427322" w:rsidRPr="00427322" w:rsidRDefault="00427322" w:rsidP="00427322">
      <w:r>
        <w:t>P</w:t>
      </w:r>
      <w:r w:rsidRPr="00427322">
        <w:t>rovid</w:t>
      </w:r>
      <w:r>
        <w:t>ing</w:t>
      </w:r>
      <w:r w:rsidRPr="00427322">
        <w:t xml:space="preserve"> consumer protection for students, t</w:t>
      </w:r>
      <w:r>
        <w:t>he o</w:t>
      </w:r>
      <w:r w:rsidRPr="00427322">
        <w:t>ffice is responsible for reviewing and approving degree-granting independent colleges and universities (both for-profit and non-profit) as well as academic programs offered in Connecticut by out-of-state schools before final approval is given by the State Board of Education. This work assures that independent institutions located in Connecticut meet the state’s high standards of academic quality before they can admit or graduate students.</w:t>
      </w:r>
    </w:p>
    <w:p w:rsidR="000B5250" w:rsidRPr="003D64E3" w:rsidRDefault="00427322" w:rsidP="00427322">
      <w:r w:rsidRPr="00427322">
        <w:t>Connecticut is home to 26 non-profit and for-profit independent institutions, and 25 programs offered by colleges located outside of the state.</w:t>
      </w:r>
      <w:r>
        <w:t xml:space="preserve"> </w:t>
      </w:r>
      <w:r w:rsidR="00D73D85">
        <w:t>The office</w:t>
      </w:r>
      <w:r w:rsidR="00EB5973" w:rsidRPr="003D64E3">
        <w:t xml:space="preserve"> also manages the following specific programs</w:t>
      </w:r>
      <w:r w:rsidR="00F25B3F" w:rsidRPr="003D64E3">
        <w:t>:</w:t>
      </w:r>
      <w:r w:rsidR="000B5250" w:rsidRPr="003D64E3">
        <w:t xml:space="preserve"> </w:t>
      </w:r>
    </w:p>
    <w:p w:rsidR="00D73D85" w:rsidRPr="003D64E3" w:rsidRDefault="00D73D85" w:rsidP="00D73D85">
      <w:r w:rsidRPr="003B3F9F">
        <w:rPr>
          <w:i/>
        </w:rPr>
        <w:t>Private Occupational School</w:t>
      </w:r>
      <w:r w:rsidRPr="003D64E3">
        <w:t xml:space="preserve"> oversight provides a means to ensure the overall quality an</w:t>
      </w:r>
      <w:r w:rsidR="002408EC">
        <w:t>d financial viability of some 65</w:t>
      </w:r>
      <w:r w:rsidRPr="003D64E3">
        <w:t xml:space="preserve"> ins</w:t>
      </w:r>
      <w:r w:rsidR="002408EC">
        <w:t>titutions, with an identified 28</w:t>
      </w:r>
      <w:r w:rsidRPr="003D64E3">
        <w:t xml:space="preserve"> branches</w:t>
      </w:r>
      <w:r w:rsidR="003D19BC">
        <w:t xml:space="preserve"> as </w:t>
      </w:r>
      <w:r w:rsidR="003D19BC" w:rsidRPr="00EC15C1">
        <w:t xml:space="preserve">well as </w:t>
      </w:r>
      <w:r w:rsidR="00EC15C1" w:rsidRPr="00EC15C1">
        <w:t>8</w:t>
      </w:r>
      <w:r w:rsidR="00417F58" w:rsidRPr="00EC15C1">
        <w:t xml:space="preserve"> hospital</w:t>
      </w:r>
      <w:r w:rsidR="00417F58">
        <w:t>-based schools</w:t>
      </w:r>
      <w:r w:rsidRPr="003D64E3">
        <w:t>.</w:t>
      </w:r>
    </w:p>
    <w:p w:rsidR="00142E5A" w:rsidRPr="003D64E3" w:rsidRDefault="00D73D85" w:rsidP="003D64E3">
      <w:r>
        <w:t>The office</w:t>
      </w:r>
      <w:r w:rsidRPr="003D64E3">
        <w:t xml:space="preserve">, as the state’s </w:t>
      </w:r>
      <w:r w:rsidR="00810066">
        <w:rPr>
          <w:i/>
        </w:rPr>
        <w:t>approving a</w:t>
      </w:r>
      <w:r w:rsidRPr="00CF2A63">
        <w:rPr>
          <w:i/>
        </w:rPr>
        <w:t>gency for the U.S. Department of Veteran Affairs</w:t>
      </w:r>
      <w:r w:rsidRPr="003D64E3">
        <w:t xml:space="preserve">, renders necessary services to inspect, approve </w:t>
      </w:r>
      <w:r w:rsidRPr="003D64E3">
        <w:lastRenderedPageBreak/>
        <w:t>and provide technical assistance to those educational institutions qualified to furnish instruction to veterans and oth</w:t>
      </w:r>
      <w:r w:rsidR="00C86AE7">
        <w:t xml:space="preserve">er eligible persons through </w:t>
      </w:r>
      <w:r w:rsidRPr="003D64E3">
        <w:t xml:space="preserve">the GI Bill. </w:t>
      </w:r>
      <w:r w:rsidR="00B7199B" w:rsidRPr="003D64E3">
        <w:t xml:space="preserve"> </w:t>
      </w:r>
    </w:p>
    <w:p w:rsidR="00CF2A63" w:rsidRDefault="000B5250" w:rsidP="003D64E3">
      <w:r w:rsidRPr="003D64E3">
        <w:t xml:space="preserve">The </w:t>
      </w:r>
      <w:r w:rsidRPr="003B3F9F">
        <w:rPr>
          <w:i/>
        </w:rPr>
        <w:t>Minority Advancement Program (MAP)</w:t>
      </w:r>
      <w:r w:rsidRPr="003D64E3">
        <w:t xml:space="preserve"> </w:t>
      </w:r>
      <w:r w:rsidR="007A48E0" w:rsidRPr="003D64E3">
        <w:t>p</w:t>
      </w:r>
      <w:r w:rsidRPr="003D64E3">
        <w:t>rovides early intervention programs at the high school level (</w:t>
      </w:r>
      <w:proofErr w:type="spellStart"/>
      <w:r w:rsidRPr="003D64E3">
        <w:t>ConnCAP</w:t>
      </w:r>
      <w:proofErr w:type="spellEnd"/>
      <w:r w:rsidRPr="003D64E3">
        <w:t>) to increase the pool of qualified minority students for higher education</w:t>
      </w:r>
      <w:r w:rsidR="00E439F2" w:rsidRPr="003D64E3">
        <w:t xml:space="preserve"> and</w:t>
      </w:r>
      <w:r w:rsidRPr="003D64E3">
        <w:t xml:space="preserve"> provides a </w:t>
      </w:r>
      <w:r w:rsidR="00E439F2" w:rsidRPr="003D64E3">
        <w:t xml:space="preserve">performance-based grant program to </w:t>
      </w:r>
      <w:r w:rsidR="0024359B" w:rsidRPr="003D64E3">
        <w:t>focus</w:t>
      </w:r>
      <w:r w:rsidRPr="003D64E3">
        <w:t xml:space="preserve"> on retention.</w:t>
      </w:r>
    </w:p>
    <w:p w:rsidR="00CF2A63" w:rsidRPr="00CF2A63" w:rsidRDefault="00CF2A63" w:rsidP="00CF2A63">
      <w:r w:rsidRPr="00CF2A63">
        <w:t xml:space="preserve">The state's </w:t>
      </w:r>
      <w:r w:rsidRPr="00CF2A63">
        <w:rPr>
          <w:i/>
        </w:rPr>
        <w:t>National Service Initiative</w:t>
      </w:r>
      <w:r w:rsidRPr="00CF2A63">
        <w:t xml:space="preserve">, which is staffed by the office, </w:t>
      </w:r>
      <w:r w:rsidR="00417F58">
        <w:t xml:space="preserve">administers the federal AmeriCorps Program in Connecticut and </w:t>
      </w:r>
      <w:r w:rsidRPr="00CF2A63">
        <w:t>underwrites service jobs in areas of community need as well as funding the Connecticut State Employee Mentoring and Tutoring Program.</w:t>
      </w:r>
    </w:p>
    <w:p w:rsidR="00CF2A63" w:rsidRPr="00CF2A63" w:rsidRDefault="00CF2A63" w:rsidP="00CF2A63">
      <w:r>
        <w:t xml:space="preserve">The </w:t>
      </w:r>
      <w:r w:rsidRPr="00CF2A63">
        <w:rPr>
          <w:i/>
        </w:rPr>
        <w:t>Teacher Quality Partnership Grant Program</w:t>
      </w:r>
      <w:r w:rsidRPr="00CF2A63">
        <w:t xml:space="preserve"> seeks to raise student achievement by strengthening the effectiveness of teachers and other school</w:t>
      </w:r>
      <w:r>
        <w:t xml:space="preserve"> personnel</w:t>
      </w:r>
      <w:r w:rsidRPr="00CF2A63">
        <w:t>. Using a competitive award process, this</w:t>
      </w:r>
      <w:r>
        <w:t xml:space="preserve"> p</w:t>
      </w:r>
      <w:r w:rsidRPr="00CF2A63">
        <w:t>rogram supports partnerships of schools and colleges which focus on improving content mastery and teaching skills, especially in mathematics and science.</w:t>
      </w:r>
    </w:p>
    <w:p w:rsidR="00D73D85" w:rsidRPr="003D64E3" w:rsidRDefault="00D73D85" w:rsidP="00D73D85">
      <w:r w:rsidRPr="003D64E3">
        <w:t xml:space="preserve">The </w:t>
      </w:r>
      <w:r w:rsidRPr="003B3F9F">
        <w:rPr>
          <w:i/>
        </w:rPr>
        <w:t>Educational and Employment Information Center (EEIC)</w:t>
      </w:r>
      <w:r w:rsidRPr="003D64E3">
        <w:t xml:space="preserve"> is a statewide referral and information service for anyone who has questions about learning and careers.  It provides free information about courses, job training, student financial aid and college preparation.</w:t>
      </w:r>
    </w:p>
    <w:p w:rsidR="000B5250" w:rsidRPr="003D64E3" w:rsidRDefault="000B5250" w:rsidP="003D64E3">
      <w:pPr>
        <w:sectPr w:rsidR="000B5250" w:rsidRPr="003D64E3">
          <w:type w:val="continuous"/>
          <w:pgSz w:w="12240" w:h="15840" w:code="1"/>
          <w:pgMar w:top="864" w:right="720" w:bottom="864" w:left="720" w:header="288" w:footer="288" w:gutter="216"/>
          <w:cols w:num="2" w:space="432"/>
        </w:sectPr>
      </w:pPr>
    </w:p>
    <w:p w:rsidR="00D120EC" w:rsidRDefault="00D120EC"/>
    <w:p w:rsidR="000B5250" w:rsidRDefault="005E7546">
      <w:pPr>
        <w:pStyle w:val="ProgramHead"/>
      </w:pPr>
      <w:r>
        <w:fldChar w:fldCharType="begin"/>
      </w:r>
      <w:r w:rsidR="00004357">
        <w:instrText xml:space="preserve"> XE "DHE66500 81002" </w:instrText>
      </w:r>
      <w:r>
        <w:fldChar w:fldCharType="end"/>
      </w:r>
      <w:r w:rsidR="000B5250">
        <w:t xml:space="preserve">Student Financial Assistance </w:t>
      </w:r>
    </w:p>
    <w:p w:rsidR="000B5250" w:rsidRDefault="000B5250">
      <w:pPr>
        <w:pStyle w:val="ProgramHead"/>
        <w:sectPr w:rsidR="000B5250">
          <w:type w:val="continuous"/>
          <w:pgSz w:w="12240" w:h="15840" w:code="1"/>
          <w:pgMar w:top="864" w:right="720" w:bottom="864" w:left="720" w:header="288" w:footer="288" w:gutter="216"/>
          <w:cols w:space="432"/>
        </w:sectPr>
      </w:pPr>
    </w:p>
    <w:p w:rsidR="000B5250" w:rsidRDefault="000B5250" w:rsidP="00D6563C">
      <w:pPr>
        <w:pStyle w:val="Heading2"/>
      </w:pPr>
      <w:r>
        <w:lastRenderedPageBreak/>
        <w:t>Statutory Reference</w:t>
      </w:r>
    </w:p>
    <w:p w:rsidR="000B5250" w:rsidRDefault="000B5250">
      <w:r>
        <w:t>C.G.S. Se</w:t>
      </w:r>
      <w:r w:rsidR="00D120EC">
        <w:t xml:space="preserve">ctions </w:t>
      </w:r>
      <w:r>
        <w:t>10a-22, 10a-40, 10a-65, and 10a-16</w:t>
      </w:r>
      <w:r w:rsidR="009969B2">
        <w:t>3</w:t>
      </w:r>
      <w:r>
        <w:t xml:space="preserve"> through 10a-16</w:t>
      </w:r>
      <w:r w:rsidR="009969B2">
        <w:t>9</w:t>
      </w:r>
      <w:r w:rsidR="00455233">
        <w:t>.</w:t>
      </w:r>
      <w:r>
        <w:t xml:space="preserve"> </w:t>
      </w:r>
    </w:p>
    <w:p w:rsidR="000B5250" w:rsidRDefault="000B5250" w:rsidP="00D6563C">
      <w:pPr>
        <w:pStyle w:val="Heading2"/>
      </w:pPr>
      <w:r>
        <w:t xml:space="preserve">Statement of Need and Program Objectives </w:t>
      </w:r>
    </w:p>
    <w:p w:rsidR="000B5250" w:rsidRDefault="005D4A4D" w:rsidP="000F6AED">
      <w:r>
        <w:t>To</w:t>
      </w:r>
      <w:r w:rsidR="00D120EC">
        <w:t xml:space="preserve"> ensure</w:t>
      </w:r>
      <w:r w:rsidR="000B5250">
        <w:t xml:space="preserve"> access for qualified and needy residents to educational opportunities at public and private post-secondary educational </w:t>
      </w:r>
      <w:r w:rsidR="000B5250">
        <w:lastRenderedPageBreak/>
        <w:t xml:space="preserve">institutions </w:t>
      </w:r>
      <w:r w:rsidR="00D120EC">
        <w:t xml:space="preserve">and encourage completion once enrolled </w:t>
      </w:r>
      <w:r w:rsidR="000B5250">
        <w:t>by providing various forms of stude</w:t>
      </w:r>
      <w:r w:rsidR="00D120EC">
        <w:t xml:space="preserve">nt financial assistance grants and </w:t>
      </w:r>
      <w:r w:rsidR="000B5250">
        <w:t>scholarships</w:t>
      </w:r>
      <w:r w:rsidR="00D120EC">
        <w:t>.</w:t>
      </w:r>
      <w:r w:rsidR="000B5250">
        <w:t xml:space="preserve">  </w:t>
      </w:r>
    </w:p>
    <w:p w:rsidR="000B5250" w:rsidRDefault="000B5250" w:rsidP="00D6563C">
      <w:pPr>
        <w:pStyle w:val="Heading2"/>
      </w:pPr>
      <w:r>
        <w:t xml:space="preserve">Program Description </w:t>
      </w:r>
    </w:p>
    <w:p w:rsidR="000B5250" w:rsidRPr="00442315" w:rsidRDefault="000B5250" w:rsidP="000F6AED">
      <w:r w:rsidRPr="00442315">
        <w:t>The student financial assistance progra</w:t>
      </w:r>
      <w:r w:rsidR="00D120EC">
        <w:t>m administered by the office</w:t>
      </w:r>
      <w:r w:rsidRPr="00442315">
        <w:t xml:space="preserve"> is comprised of a diversity of specially tailored programs that provide direct and indirect state and federal grant and loan reimbursement aid to Connecticut residents.  There are six major components of the program. </w:t>
      </w:r>
    </w:p>
    <w:p w:rsidR="00240599" w:rsidRPr="00442315" w:rsidRDefault="000B5250" w:rsidP="000F6AED">
      <w:r w:rsidRPr="000A7448">
        <w:lastRenderedPageBreak/>
        <w:t xml:space="preserve">The </w:t>
      </w:r>
      <w:r w:rsidRPr="000A7448">
        <w:rPr>
          <w:i/>
        </w:rPr>
        <w:t xml:space="preserve">Minority Teacher Incentive </w:t>
      </w:r>
      <w:r w:rsidRPr="000E13A4">
        <w:rPr>
          <w:i/>
        </w:rPr>
        <w:t xml:space="preserve">Program </w:t>
      </w:r>
      <w:r w:rsidR="000E13A4" w:rsidRPr="000E13A4">
        <w:rPr>
          <w:i/>
        </w:rPr>
        <w:t>and Weisman Scholarship Program</w:t>
      </w:r>
      <w:r w:rsidR="000E13A4">
        <w:t xml:space="preserve"> provide</w:t>
      </w:r>
      <w:r w:rsidRPr="00442315">
        <w:t xml:space="preserve"> annual $5,000 awards to minority students in teacher training progr</w:t>
      </w:r>
      <w:r w:rsidR="00E310FF" w:rsidRPr="00442315">
        <w:t xml:space="preserve">ams and </w:t>
      </w:r>
      <w:r w:rsidR="00417F58" w:rsidRPr="00442315">
        <w:t>provide</w:t>
      </w:r>
      <w:r w:rsidR="00E310FF" w:rsidRPr="00442315">
        <w:t xml:space="preserve"> </w:t>
      </w:r>
      <w:r w:rsidRPr="00442315">
        <w:t>graduates who teach in Connecticut schools with annual $2,500 stipends to assist in repayment of college loans.  The maximum award, grants and loans combined, for each participant is $20,000.</w:t>
      </w:r>
      <w:r w:rsidR="00EE3F95" w:rsidRPr="00442315">
        <w:t xml:space="preserve">  In </w:t>
      </w:r>
      <w:r w:rsidR="005D221D">
        <w:t>2012</w:t>
      </w:r>
      <w:r w:rsidR="00240599" w:rsidRPr="00442315">
        <w:t>, the</w:t>
      </w:r>
      <w:r w:rsidR="005D221D">
        <w:t xml:space="preserve"> program’s fifteenth</w:t>
      </w:r>
      <w:r w:rsidR="00240599" w:rsidRPr="00442315">
        <w:t xml:space="preserve"> year, 1</w:t>
      </w:r>
      <w:r w:rsidR="00B95126">
        <w:t>81</w:t>
      </w:r>
      <w:r w:rsidR="00751462" w:rsidRPr="00442315">
        <w:t xml:space="preserve"> awards were</w:t>
      </w:r>
      <w:r w:rsidR="0024359B" w:rsidRPr="00442315">
        <w:t xml:space="preserve"> made,</w:t>
      </w:r>
      <w:r w:rsidR="00B95126">
        <w:t xml:space="preserve"> including stipends to 5</w:t>
      </w:r>
      <w:r w:rsidR="00762D48" w:rsidRPr="00442315">
        <w:t>5</w:t>
      </w:r>
      <w:r w:rsidR="00751462" w:rsidRPr="00442315">
        <w:t xml:space="preserve"> recipients teaching in Connecticut schools.</w:t>
      </w:r>
    </w:p>
    <w:p w:rsidR="000B5250" w:rsidRPr="00442315" w:rsidRDefault="000B5250" w:rsidP="000F6AED">
      <w:r w:rsidRPr="000A7448">
        <w:rPr>
          <w:i/>
        </w:rPr>
        <w:lastRenderedPageBreak/>
        <w:t>Awards to Children of Deceased, Disabled, and Missing in Action Veterans</w:t>
      </w:r>
      <w:r w:rsidRPr="00442315">
        <w:t xml:space="preserve"> is designed to provide assistance to the sons and daughters of armed forces veterans who died, were totally disabled, or became missing in action during time of </w:t>
      </w:r>
      <w:r w:rsidR="005D221D">
        <w:t>the Vietnam W</w:t>
      </w:r>
      <w:r w:rsidRPr="00442315">
        <w:t>ar.  The annual grant per student is $400 and students must demonstrate financial need.</w:t>
      </w:r>
      <w:r w:rsidR="005D221D">
        <w:t xml:space="preserve"> This program has been dormant for several years because there are no longer any eligible applicants.</w:t>
      </w:r>
      <w:r w:rsidRPr="00442315">
        <w:t xml:space="preserve"> </w:t>
      </w:r>
    </w:p>
    <w:p w:rsidR="004B5AC3" w:rsidRDefault="004B5AC3" w:rsidP="000F6AED"/>
    <w:p w:rsidR="000B5250" w:rsidRDefault="000B5250">
      <w:pPr>
        <w:sectPr w:rsidR="000B5250">
          <w:type w:val="continuous"/>
          <w:pgSz w:w="12240" w:h="15840" w:code="1"/>
          <w:pgMar w:top="864" w:right="720" w:bottom="864" w:left="720" w:header="288" w:footer="288" w:gutter="216"/>
          <w:cols w:num="2" w:space="432"/>
        </w:sectPr>
      </w:pPr>
    </w:p>
    <w:p w:rsidR="000B5250" w:rsidRDefault="000B5250"/>
    <w:sectPr w:rsidR="000B5250" w:rsidSect="008E62E2">
      <w:type w:val="continuous"/>
      <w:pgSz w:w="12240" w:h="15840" w:code="1"/>
      <w:pgMar w:top="864" w:right="720" w:bottom="864" w:left="720" w:header="288" w:footer="288" w:gutter="216"/>
      <w:cols w:space="432"/>
      <w:docGrid w:linePitch="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3DA" w:rsidRDefault="00F413DA">
      <w:r>
        <w:separator/>
      </w:r>
    </w:p>
  </w:endnote>
  <w:endnote w:type="continuationSeparator" w:id="0">
    <w:p w:rsidR="00F413DA" w:rsidRDefault="00F413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3DA" w:rsidRDefault="00F413DA">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3DA" w:rsidRDefault="00F413DA">
      <w:r>
        <w:separator/>
      </w:r>
    </w:p>
  </w:footnote>
  <w:footnote w:type="continuationSeparator" w:id="0">
    <w:p w:rsidR="00F413DA" w:rsidRDefault="00F413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3DA" w:rsidRDefault="00F413DA">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3DA" w:rsidRDefault="00F413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75pt;height:2in" o:bullet="t" fillcolor="window">
        <v:imagedata r:id="rId1" o:title="bgwhite"/>
      </v:shape>
    </w:pict>
  </w:numPicBullet>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0"/>
  </w:num>
  <w:num w:numId="2">
    <w:abstractNumId w:val="1"/>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1F01"/>
  <w:defaultTabStop w:val="720"/>
  <w:evenAndOddHeaders/>
  <w:drawingGridHorizontalSpacing w:val="43"/>
  <w:drawingGridVerticalSpacing w:val="2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0B5250"/>
    <w:rsid w:val="00004357"/>
    <w:rsid w:val="0000791C"/>
    <w:rsid w:val="00011A2F"/>
    <w:rsid w:val="00012714"/>
    <w:rsid w:val="00032C6B"/>
    <w:rsid w:val="00045DE5"/>
    <w:rsid w:val="000514A9"/>
    <w:rsid w:val="00097010"/>
    <w:rsid w:val="000A7448"/>
    <w:rsid w:val="000B5250"/>
    <w:rsid w:val="000C102C"/>
    <w:rsid w:val="000E13A4"/>
    <w:rsid w:val="000F1E66"/>
    <w:rsid w:val="000F6AED"/>
    <w:rsid w:val="001027F3"/>
    <w:rsid w:val="00103AF5"/>
    <w:rsid w:val="00117F14"/>
    <w:rsid w:val="001331BF"/>
    <w:rsid w:val="00142E5A"/>
    <w:rsid w:val="00150413"/>
    <w:rsid w:val="001622E0"/>
    <w:rsid w:val="00175C24"/>
    <w:rsid w:val="001B6375"/>
    <w:rsid w:val="001C0A84"/>
    <w:rsid w:val="001C2172"/>
    <w:rsid w:val="001C3B77"/>
    <w:rsid w:val="001C7B65"/>
    <w:rsid w:val="001E16A4"/>
    <w:rsid w:val="00227A18"/>
    <w:rsid w:val="002315C8"/>
    <w:rsid w:val="00234AC0"/>
    <w:rsid w:val="00240599"/>
    <w:rsid w:val="002408EC"/>
    <w:rsid w:val="0024359B"/>
    <w:rsid w:val="0024578D"/>
    <w:rsid w:val="00252AAE"/>
    <w:rsid w:val="002703C0"/>
    <w:rsid w:val="00275095"/>
    <w:rsid w:val="00275847"/>
    <w:rsid w:val="002A2D29"/>
    <w:rsid w:val="002A3CEC"/>
    <w:rsid w:val="002A51D9"/>
    <w:rsid w:val="00301476"/>
    <w:rsid w:val="00307AC3"/>
    <w:rsid w:val="00323A1D"/>
    <w:rsid w:val="00350FA2"/>
    <w:rsid w:val="003929D7"/>
    <w:rsid w:val="00392C3E"/>
    <w:rsid w:val="00393A81"/>
    <w:rsid w:val="003B3F9F"/>
    <w:rsid w:val="003D19BC"/>
    <w:rsid w:val="003D2123"/>
    <w:rsid w:val="003D64E3"/>
    <w:rsid w:val="00402888"/>
    <w:rsid w:val="00416D0F"/>
    <w:rsid w:val="00417F58"/>
    <w:rsid w:val="00427322"/>
    <w:rsid w:val="00430F90"/>
    <w:rsid w:val="00434D7B"/>
    <w:rsid w:val="004420E4"/>
    <w:rsid w:val="00442315"/>
    <w:rsid w:val="00455233"/>
    <w:rsid w:val="004642BB"/>
    <w:rsid w:val="00485C81"/>
    <w:rsid w:val="00496478"/>
    <w:rsid w:val="004A267D"/>
    <w:rsid w:val="004A2A5D"/>
    <w:rsid w:val="004A36F6"/>
    <w:rsid w:val="004A7E58"/>
    <w:rsid w:val="004B5AC3"/>
    <w:rsid w:val="004C41E4"/>
    <w:rsid w:val="004E7372"/>
    <w:rsid w:val="00541322"/>
    <w:rsid w:val="00555B73"/>
    <w:rsid w:val="00567E95"/>
    <w:rsid w:val="00570591"/>
    <w:rsid w:val="00595147"/>
    <w:rsid w:val="005970A1"/>
    <w:rsid w:val="005B1875"/>
    <w:rsid w:val="005B7D02"/>
    <w:rsid w:val="005D07E6"/>
    <w:rsid w:val="005D221D"/>
    <w:rsid w:val="005D4A4D"/>
    <w:rsid w:val="005E7546"/>
    <w:rsid w:val="0060255B"/>
    <w:rsid w:val="00637BE9"/>
    <w:rsid w:val="00653C98"/>
    <w:rsid w:val="0068052F"/>
    <w:rsid w:val="00686C32"/>
    <w:rsid w:val="006A0E1A"/>
    <w:rsid w:val="006A42A6"/>
    <w:rsid w:val="006B0B04"/>
    <w:rsid w:val="006E1056"/>
    <w:rsid w:val="006E5277"/>
    <w:rsid w:val="00716566"/>
    <w:rsid w:val="00734129"/>
    <w:rsid w:val="00744730"/>
    <w:rsid w:val="00751462"/>
    <w:rsid w:val="00762D48"/>
    <w:rsid w:val="00781323"/>
    <w:rsid w:val="007A48E0"/>
    <w:rsid w:val="007A7C3B"/>
    <w:rsid w:val="007B00D7"/>
    <w:rsid w:val="007B737C"/>
    <w:rsid w:val="007C657C"/>
    <w:rsid w:val="007C6BF0"/>
    <w:rsid w:val="007D2D09"/>
    <w:rsid w:val="007D5365"/>
    <w:rsid w:val="007E2780"/>
    <w:rsid w:val="007F7988"/>
    <w:rsid w:val="008079F2"/>
    <w:rsid w:val="00810066"/>
    <w:rsid w:val="0082361C"/>
    <w:rsid w:val="00826B6F"/>
    <w:rsid w:val="00855E54"/>
    <w:rsid w:val="00876A93"/>
    <w:rsid w:val="00894004"/>
    <w:rsid w:val="008B60A2"/>
    <w:rsid w:val="008E48BA"/>
    <w:rsid w:val="008E62E2"/>
    <w:rsid w:val="009422B2"/>
    <w:rsid w:val="009467AA"/>
    <w:rsid w:val="00951771"/>
    <w:rsid w:val="00957BF6"/>
    <w:rsid w:val="009777F6"/>
    <w:rsid w:val="00990D6B"/>
    <w:rsid w:val="00995141"/>
    <w:rsid w:val="00996564"/>
    <w:rsid w:val="009969B2"/>
    <w:rsid w:val="009B12DB"/>
    <w:rsid w:val="009B5D86"/>
    <w:rsid w:val="009C7A2A"/>
    <w:rsid w:val="009F0189"/>
    <w:rsid w:val="009F0E6C"/>
    <w:rsid w:val="009F47B5"/>
    <w:rsid w:val="00A26151"/>
    <w:rsid w:val="00A37FE0"/>
    <w:rsid w:val="00AA2C09"/>
    <w:rsid w:val="00AA78E6"/>
    <w:rsid w:val="00AB0D55"/>
    <w:rsid w:val="00AC3EDC"/>
    <w:rsid w:val="00AC67D3"/>
    <w:rsid w:val="00AD0E19"/>
    <w:rsid w:val="00AE10E6"/>
    <w:rsid w:val="00AF027E"/>
    <w:rsid w:val="00B039DC"/>
    <w:rsid w:val="00B32957"/>
    <w:rsid w:val="00B32980"/>
    <w:rsid w:val="00B40B95"/>
    <w:rsid w:val="00B616A2"/>
    <w:rsid w:val="00B67097"/>
    <w:rsid w:val="00B7199B"/>
    <w:rsid w:val="00B77EAD"/>
    <w:rsid w:val="00B875B0"/>
    <w:rsid w:val="00B95126"/>
    <w:rsid w:val="00BA67DF"/>
    <w:rsid w:val="00BC5017"/>
    <w:rsid w:val="00C10285"/>
    <w:rsid w:val="00C16B2F"/>
    <w:rsid w:val="00C20D7D"/>
    <w:rsid w:val="00C326D2"/>
    <w:rsid w:val="00C44B1D"/>
    <w:rsid w:val="00C53F15"/>
    <w:rsid w:val="00C5482D"/>
    <w:rsid w:val="00C86AE7"/>
    <w:rsid w:val="00C92BA2"/>
    <w:rsid w:val="00C966DD"/>
    <w:rsid w:val="00CA533C"/>
    <w:rsid w:val="00CC1271"/>
    <w:rsid w:val="00CD3566"/>
    <w:rsid w:val="00CF2A63"/>
    <w:rsid w:val="00D00FB5"/>
    <w:rsid w:val="00D10FA7"/>
    <w:rsid w:val="00D120EC"/>
    <w:rsid w:val="00D17730"/>
    <w:rsid w:val="00D6563C"/>
    <w:rsid w:val="00D73D85"/>
    <w:rsid w:val="00D75910"/>
    <w:rsid w:val="00D83445"/>
    <w:rsid w:val="00DD3354"/>
    <w:rsid w:val="00DE0B42"/>
    <w:rsid w:val="00DF1706"/>
    <w:rsid w:val="00E02CA3"/>
    <w:rsid w:val="00E11392"/>
    <w:rsid w:val="00E14C9C"/>
    <w:rsid w:val="00E310FF"/>
    <w:rsid w:val="00E374FD"/>
    <w:rsid w:val="00E376B9"/>
    <w:rsid w:val="00E439F2"/>
    <w:rsid w:val="00E46372"/>
    <w:rsid w:val="00E8233F"/>
    <w:rsid w:val="00E8426B"/>
    <w:rsid w:val="00E94F9A"/>
    <w:rsid w:val="00EB5973"/>
    <w:rsid w:val="00EC15C1"/>
    <w:rsid w:val="00EE3F95"/>
    <w:rsid w:val="00EF4843"/>
    <w:rsid w:val="00EF71ED"/>
    <w:rsid w:val="00F25B3F"/>
    <w:rsid w:val="00F317BC"/>
    <w:rsid w:val="00F410E8"/>
    <w:rsid w:val="00F413DA"/>
    <w:rsid w:val="00F502DC"/>
    <w:rsid w:val="00F8494C"/>
    <w:rsid w:val="00FA248A"/>
    <w:rsid w:val="00FB45DF"/>
    <w:rsid w:val="00FD0FFA"/>
    <w:rsid w:val="00FD1B77"/>
    <w:rsid w:val="00FE585C"/>
    <w:rsid w:val="00FF7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6A2"/>
    <w:pPr>
      <w:spacing w:after="40"/>
      <w:jc w:val="both"/>
    </w:pPr>
    <w:rPr>
      <w:rFonts w:ascii="Calibri" w:hAnsi="Calibri"/>
      <w:sz w:val="18"/>
    </w:rPr>
  </w:style>
  <w:style w:type="paragraph" w:styleId="Heading1">
    <w:name w:val="heading 1"/>
    <w:basedOn w:val="H1"/>
    <w:next w:val="Normal"/>
    <w:qFormat/>
    <w:rsid w:val="00B616A2"/>
    <w:pPr>
      <w:keepNext/>
      <w:spacing w:after="60"/>
      <w:jc w:val="left"/>
      <w:outlineLvl w:val="0"/>
    </w:pPr>
    <w:rPr>
      <w:kern w:val="28"/>
    </w:rPr>
  </w:style>
  <w:style w:type="paragraph" w:styleId="Heading2">
    <w:name w:val="heading 2"/>
    <w:basedOn w:val="Normal"/>
    <w:next w:val="Normal"/>
    <w:qFormat/>
    <w:rsid w:val="00B616A2"/>
    <w:pPr>
      <w:keepNext/>
      <w:spacing w:before="80" w:after="0"/>
      <w:outlineLvl w:val="1"/>
    </w:pPr>
    <w:rPr>
      <w:b/>
      <w:i/>
      <w:color w:val="002D86"/>
      <w:sz w:val="20"/>
    </w:rPr>
  </w:style>
  <w:style w:type="paragraph" w:styleId="Heading3">
    <w:name w:val="heading 3"/>
    <w:basedOn w:val="Normal"/>
    <w:next w:val="Normal"/>
    <w:link w:val="Heading3Char"/>
    <w:qFormat/>
    <w:rsid w:val="00B616A2"/>
    <w:pPr>
      <w:keepNext/>
      <w:spacing w:after="60"/>
      <w:jc w:val="center"/>
      <w:outlineLvl w:val="2"/>
    </w:pPr>
    <w:rPr>
      <w:b/>
    </w:rPr>
  </w:style>
  <w:style w:type="paragraph" w:styleId="Heading4">
    <w:name w:val="heading 4"/>
    <w:basedOn w:val="Heading3"/>
    <w:next w:val="Normal"/>
    <w:link w:val="Heading4Char"/>
    <w:qFormat/>
    <w:rsid w:val="00B616A2"/>
    <w:pPr>
      <w:spacing w:before="120" w:after="0"/>
      <w:jc w:val="left"/>
      <w:outlineLvl w:val="3"/>
    </w:pPr>
    <w:rPr>
      <w:i/>
    </w:rPr>
  </w:style>
  <w:style w:type="paragraph" w:styleId="Heading5">
    <w:name w:val="heading 5"/>
    <w:basedOn w:val="Normal"/>
    <w:next w:val="Normal"/>
    <w:qFormat/>
    <w:rsid w:val="00B616A2"/>
    <w:pPr>
      <w:spacing w:before="240" w:after="60"/>
      <w:outlineLvl w:val="4"/>
    </w:pPr>
    <w:rPr>
      <w:sz w:val="22"/>
    </w:rPr>
  </w:style>
  <w:style w:type="paragraph" w:styleId="Heading6">
    <w:name w:val="heading 6"/>
    <w:basedOn w:val="Normal"/>
    <w:next w:val="Normal"/>
    <w:qFormat/>
    <w:rsid w:val="00B616A2"/>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B616A2"/>
    <w:pPr>
      <w:keepNext/>
      <w:outlineLvl w:val="6"/>
    </w:pPr>
    <w:rPr>
      <w:b/>
      <w:u w:val="single"/>
    </w:rPr>
  </w:style>
  <w:style w:type="paragraph" w:styleId="Heading8">
    <w:name w:val="heading 8"/>
    <w:basedOn w:val="Normal"/>
    <w:next w:val="Normal"/>
    <w:qFormat/>
    <w:rsid w:val="00B616A2"/>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B616A2"/>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B616A2"/>
    <w:pPr>
      <w:spacing w:after="240"/>
      <w:jc w:val="center"/>
    </w:pPr>
    <w:rPr>
      <w:rFonts w:ascii="Calibri" w:hAnsi="Calibri"/>
      <w:caps/>
      <w:noProof/>
      <w:color w:val="002D86"/>
      <w:sz w:val="40"/>
    </w:rPr>
  </w:style>
  <w:style w:type="character" w:customStyle="1" w:styleId="H1Char">
    <w:name w:val="H1 Char"/>
    <w:link w:val="H1"/>
    <w:rsid w:val="00D6563C"/>
    <w:rPr>
      <w:rFonts w:ascii="Calibri" w:hAnsi="Calibri"/>
      <w:caps/>
      <w:noProof/>
      <w:color w:val="002D86"/>
      <w:sz w:val="40"/>
      <w:lang w:val="en-US" w:eastAsia="en-US" w:bidi="ar-SA"/>
    </w:rPr>
  </w:style>
  <w:style w:type="character" w:customStyle="1" w:styleId="Heading3Char">
    <w:name w:val="Heading 3 Char"/>
    <w:link w:val="Heading3"/>
    <w:rsid w:val="00D6563C"/>
    <w:rPr>
      <w:rFonts w:ascii="Calibri" w:hAnsi="Calibri"/>
      <w:b/>
      <w:sz w:val="18"/>
    </w:rPr>
  </w:style>
  <w:style w:type="character" w:customStyle="1" w:styleId="Heading4Char">
    <w:name w:val="Heading 4 Char"/>
    <w:link w:val="Heading4"/>
    <w:rsid w:val="00D6563C"/>
    <w:rPr>
      <w:rFonts w:ascii="Calibri" w:hAnsi="Calibri"/>
      <w:b/>
      <w:i/>
      <w:sz w:val="18"/>
    </w:rPr>
  </w:style>
  <w:style w:type="paragraph" w:customStyle="1" w:styleId="H2">
    <w:name w:val="H2"/>
    <w:basedOn w:val="Normal"/>
    <w:link w:val="H2Char"/>
    <w:rsid w:val="00B616A2"/>
    <w:pPr>
      <w:pBdr>
        <w:bottom w:val="single" w:sz="4" w:space="1" w:color="808080"/>
      </w:pBdr>
      <w:spacing w:before="120"/>
      <w:jc w:val="left"/>
    </w:pPr>
    <w:rPr>
      <w:caps/>
      <w:noProof/>
      <w:color w:val="002D86"/>
      <w:sz w:val="24"/>
    </w:rPr>
  </w:style>
  <w:style w:type="character" w:customStyle="1" w:styleId="H2Char">
    <w:name w:val="H2 Char"/>
    <w:link w:val="H2"/>
    <w:rsid w:val="00D6563C"/>
    <w:rPr>
      <w:rFonts w:ascii="Calibri" w:hAnsi="Calibri"/>
      <w:caps/>
      <w:noProof/>
      <w:color w:val="002D86"/>
      <w:sz w:val="24"/>
      <w:lang w:val="en-US" w:eastAsia="en-US" w:bidi="ar-SA"/>
    </w:rPr>
  </w:style>
  <w:style w:type="paragraph" w:customStyle="1" w:styleId="H3">
    <w:name w:val="H3"/>
    <w:basedOn w:val="Heading3"/>
    <w:next w:val="Normal"/>
    <w:rsid w:val="00B616A2"/>
  </w:style>
  <w:style w:type="paragraph" w:customStyle="1" w:styleId="H4">
    <w:name w:val="H4"/>
    <w:basedOn w:val="Normal"/>
    <w:next w:val="Normal"/>
    <w:link w:val="H4Char"/>
    <w:rsid w:val="00B616A2"/>
    <w:pPr>
      <w:spacing w:before="80"/>
      <w:jc w:val="left"/>
    </w:pPr>
    <w:rPr>
      <w:caps/>
      <w:color w:val="002291"/>
      <w:sz w:val="20"/>
    </w:rPr>
  </w:style>
  <w:style w:type="character" w:customStyle="1" w:styleId="H4Char">
    <w:name w:val="H4 Char"/>
    <w:link w:val="H4"/>
    <w:rsid w:val="00D6563C"/>
    <w:rPr>
      <w:rFonts w:ascii="Calibri" w:hAnsi="Calibri"/>
      <w:caps/>
      <w:color w:val="002291"/>
    </w:rPr>
  </w:style>
  <w:style w:type="paragraph" w:styleId="Header">
    <w:name w:val="header"/>
    <w:basedOn w:val="Normal"/>
    <w:rsid w:val="00B616A2"/>
    <w:pPr>
      <w:jc w:val="center"/>
    </w:pPr>
  </w:style>
  <w:style w:type="paragraph" w:styleId="Footer">
    <w:name w:val="footer"/>
    <w:basedOn w:val="Header"/>
    <w:rsid w:val="00B616A2"/>
  </w:style>
  <w:style w:type="paragraph" w:customStyle="1" w:styleId="H5">
    <w:name w:val="H5"/>
    <w:basedOn w:val="Heading5"/>
    <w:next w:val="Normal"/>
    <w:rsid w:val="00B616A2"/>
  </w:style>
  <w:style w:type="paragraph" w:customStyle="1" w:styleId="H6">
    <w:name w:val="H6"/>
    <w:rsid w:val="00B616A2"/>
    <w:pPr>
      <w:spacing w:before="60" w:after="60"/>
    </w:pPr>
    <w:rPr>
      <w:rFonts w:ascii="AvantGarde" w:hAnsi="AvantGarde"/>
      <w:smallCaps/>
      <w:noProof/>
      <w:color w:val="000080"/>
      <w:sz w:val="24"/>
    </w:rPr>
  </w:style>
  <w:style w:type="paragraph" w:customStyle="1" w:styleId="H7">
    <w:name w:val="H7"/>
    <w:basedOn w:val="Normal"/>
    <w:rsid w:val="00B616A2"/>
    <w:rPr>
      <w:sz w:val="16"/>
    </w:rPr>
  </w:style>
  <w:style w:type="character" w:styleId="PageNumber">
    <w:name w:val="page number"/>
    <w:rsid w:val="00B616A2"/>
    <w:rPr>
      <w:rFonts w:ascii="Trebuchet MS" w:hAnsi="Trebuchet MS"/>
      <w:sz w:val="16"/>
    </w:rPr>
  </w:style>
  <w:style w:type="paragraph" w:customStyle="1" w:styleId="ProgramHead">
    <w:name w:val="ProgramHead"/>
    <w:basedOn w:val="H2"/>
    <w:rsid w:val="00B616A2"/>
    <w:pPr>
      <w:pBdr>
        <w:bottom w:val="single" w:sz="2" w:space="1" w:color="BFBFBF"/>
      </w:pBdr>
      <w:spacing w:after="0"/>
    </w:pPr>
  </w:style>
  <w:style w:type="paragraph" w:customStyle="1" w:styleId="H7B">
    <w:name w:val="H7B"/>
    <w:basedOn w:val="H7"/>
    <w:rsid w:val="00B616A2"/>
    <w:pPr>
      <w:numPr>
        <w:numId w:val="11"/>
      </w:numPr>
      <w:tabs>
        <w:tab w:val="left" w:pos="144"/>
      </w:tabs>
    </w:pPr>
    <w:rPr>
      <w:b/>
      <w:sz w:val="18"/>
    </w:rPr>
  </w:style>
  <w:style w:type="paragraph" w:customStyle="1" w:styleId="NormalB">
    <w:name w:val="NormalB"/>
    <w:basedOn w:val="Normal"/>
    <w:rsid w:val="00B616A2"/>
    <w:pPr>
      <w:numPr>
        <w:numId w:val="12"/>
      </w:numPr>
      <w:tabs>
        <w:tab w:val="left" w:pos="144"/>
      </w:tabs>
    </w:pPr>
  </w:style>
  <w:style w:type="character" w:styleId="Hyperlink">
    <w:name w:val="Hyperlink"/>
    <w:rsid w:val="00B616A2"/>
    <w:rPr>
      <w:rFonts w:ascii="Calibri" w:hAnsi="Calibri"/>
      <w:color w:val="17365D"/>
      <w:sz w:val="18"/>
      <w:u w:val="single"/>
    </w:rPr>
  </w:style>
  <w:style w:type="paragraph" w:styleId="BalloonText">
    <w:name w:val="Balloon Text"/>
    <w:basedOn w:val="Normal"/>
    <w:semiHidden/>
    <w:rsid w:val="00B616A2"/>
    <w:rPr>
      <w:rFonts w:ascii="Tahoma" w:hAnsi="Tahoma" w:cs="Tahoma"/>
      <w:szCs w:val="16"/>
    </w:rPr>
  </w:style>
  <w:style w:type="paragraph" w:styleId="BodyText">
    <w:name w:val="Body Text"/>
    <w:basedOn w:val="Normal"/>
    <w:link w:val="BodyTextChar"/>
    <w:rsid w:val="00B616A2"/>
    <w:pPr>
      <w:ind w:right="-54"/>
    </w:pPr>
  </w:style>
  <w:style w:type="character" w:customStyle="1" w:styleId="BodyTextChar">
    <w:name w:val="Body Text Char"/>
    <w:link w:val="BodyText"/>
    <w:rsid w:val="00496478"/>
    <w:rPr>
      <w:rFonts w:ascii="Calibri" w:hAnsi="Calibri"/>
      <w:sz w:val="18"/>
    </w:rPr>
  </w:style>
  <w:style w:type="character" w:styleId="CommentReference">
    <w:name w:val="annotation reference"/>
    <w:semiHidden/>
    <w:rsid w:val="00B616A2"/>
    <w:rPr>
      <w:sz w:val="16"/>
      <w:szCs w:val="16"/>
    </w:rPr>
  </w:style>
  <w:style w:type="paragraph" w:styleId="CommentText">
    <w:name w:val="annotation text"/>
    <w:basedOn w:val="Normal"/>
    <w:semiHidden/>
    <w:rsid w:val="00B616A2"/>
    <w:rPr>
      <w:sz w:val="20"/>
    </w:rPr>
  </w:style>
  <w:style w:type="paragraph" w:customStyle="1" w:styleId="H7b0">
    <w:name w:val="H7b"/>
    <w:basedOn w:val="H7"/>
    <w:rsid w:val="00B616A2"/>
    <w:pPr>
      <w:jc w:val="right"/>
      <w:outlineLvl w:val="0"/>
    </w:pPr>
    <w:rPr>
      <w:rFonts w:ascii="Arial" w:hAnsi="Arial"/>
    </w:rPr>
  </w:style>
  <w:style w:type="paragraph" w:customStyle="1" w:styleId="SubprogramHead">
    <w:name w:val="SubprogramHead"/>
    <w:basedOn w:val="Heading2"/>
    <w:rsid w:val="00B616A2"/>
    <w:pPr>
      <w:spacing w:before="40"/>
    </w:pPr>
  </w:style>
  <w:style w:type="table" w:styleId="TableGrid">
    <w:name w:val="Table Grid"/>
    <w:basedOn w:val="TableNormal"/>
    <w:rsid w:val="00B616A2"/>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customStyle="1" w:styleId="Bullets">
    <w:name w:val="Bullets"/>
    <w:basedOn w:val="Normal"/>
    <w:rsid w:val="00B616A2"/>
    <w:pPr>
      <w:spacing w:before="40"/>
      <w:jc w:val="left"/>
    </w:pPr>
    <w:rPr>
      <w:rFonts w:ascii="Times New Roman" w:hAnsi="Times New Roman"/>
      <w:sz w:val="22"/>
    </w:rPr>
  </w:style>
  <w:style w:type="paragraph" w:styleId="DocumentMap">
    <w:name w:val="Document Map"/>
    <w:basedOn w:val="Normal"/>
    <w:semiHidden/>
    <w:rsid w:val="00B616A2"/>
    <w:pPr>
      <w:shd w:val="clear" w:color="auto" w:fill="000080"/>
    </w:pPr>
    <w:rPr>
      <w:rFonts w:ascii="Tahoma" w:hAnsi="Tahoma" w:cs="Tahoma"/>
    </w:rPr>
  </w:style>
  <w:style w:type="character" w:styleId="FollowedHyperlink">
    <w:name w:val="FollowedHyperlink"/>
    <w:rsid w:val="00B616A2"/>
    <w:rPr>
      <w:color w:val="800080"/>
      <w:u w:val="single"/>
    </w:rPr>
  </w:style>
  <w:style w:type="paragraph" w:styleId="BodyText2">
    <w:name w:val="Body Text 2"/>
    <w:basedOn w:val="Normal"/>
    <w:link w:val="BodyText2Char"/>
    <w:rsid w:val="00B616A2"/>
    <w:rPr>
      <w:kern w:val="16"/>
      <w:sz w:val="16"/>
    </w:rPr>
  </w:style>
  <w:style w:type="character" w:customStyle="1" w:styleId="BodyText2Char">
    <w:name w:val="Body Text 2 Char"/>
    <w:link w:val="BodyText2"/>
    <w:rsid w:val="00227A18"/>
    <w:rPr>
      <w:rFonts w:ascii="Calibri" w:hAnsi="Calibri"/>
      <w:kern w:val="16"/>
      <w:sz w:val="16"/>
    </w:rPr>
  </w:style>
  <w:style w:type="paragraph" w:styleId="BodyText3">
    <w:name w:val="Body Text 3"/>
    <w:basedOn w:val="Normal"/>
    <w:link w:val="BodyText3Char"/>
    <w:rsid w:val="00B616A2"/>
    <w:pPr>
      <w:spacing w:after="120"/>
    </w:pPr>
  </w:style>
  <w:style w:type="character" w:customStyle="1" w:styleId="BodyText3Char">
    <w:name w:val="Body Text 3 Char"/>
    <w:link w:val="BodyText3"/>
    <w:rsid w:val="00227A18"/>
    <w:rPr>
      <w:rFonts w:ascii="Calibri" w:hAnsi="Calibri"/>
      <w:sz w:val="18"/>
    </w:rPr>
  </w:style>
  <w:style w:type="paragraph" w:styleId="BodyTextIndent">
    <w:name w:val="Body Text Indent"/>
    <w:basedOn w:val="Normal"/>
    <w:link w:val="BodyTextIndentChar"/>
    <w:rsid w:val="00B616A2"/>
    <w:pPr>
      <w:ind w:left="720"/>
    </w:pPr>
  </w:style>
  <w:style w:type="character" w:customStyle="1" w:styleId="BodyTextIndentChar">
    <w:name w:val="Body Text Indent Char"/>
    <w:link w:val="BodyTextIndent"/>
    <w:rsid w:val="00227A18"/>
    <w:rPr>
      <w:rFonts w:ascii="Calibri" w:hAnsi="Calibri"/>
      <w:sz w:val="18"/>
    </w:rPr>
  </w:style>
  <w:style w:type="paragraph" w:customStyle="1" w:styleId="BulletsDigest">
    <w:name w:val="Bullets Digest"/>
    <w:rsid w:val="00227A18"/>
    <w:pPr>
      <w:numPr>
        <w:numId w:val="8"/>
      </w:numPr>
    </w:pPr>
    <w:rPr>
      <w:sz w:val="24"/>
    </w:rPr>
  </w:style>
  <w:style w:type="paragraph" w:customStyle="1" w:styleId="H2SubProgram">
    <w:name w:val="H2 SubProgram"/>
    <w:basedOn w:val="H2"/>
    <w:rsid w:val="00B616A2"/>
    <w:pPr>
      <w:jc w:val="center"/>
    </w:pPr>
  </w:style>
  <w:style w:type="paragraph" w:customStyle="1" w:styleId="H4Blue">
    <w:name w:val="H4Blue"/>
    <w:basedOn w:val="H4"/>
    <w:qFormat/>
    <w:rsid w:val="00B616A2"/>
    <w:rPr>
      <w:color w:val="002D86"/>
    </w:rPr>
  </w:style>
  <w:style w:type="paragraph" w:customStyle="1" w:styleId="Heading2Green">
    <w:name w:val="Heading2Green"/>
    <w:basedOn w:val="Heading2"/>
    <w:qFormat/>
    <w:rsid w:val="00B616A2"/>
    <w:rPr>
      <w:b w:val="0"/>
      <w:color w:val="006600"/>
    </w:rPr>
  </w:style>
  <w:style w:type="character" w:styleId="IntenseEmphasis">
    <w:name w:val="Intense Emphasis"/>
    <w:uiPriority w:val="21"/>
    <w:qFormat/>
    <w:rsid w:val="00B616A2"/>
    <w:rPr>
      <w:b/>
      <w:bCs/>
      <w:i/>
      <w:iCs/>
      <w:color w:val="4F81BD"/>
    </w:rPr>
  </w:style>
  <w:style w:type="paragraph" w:styleId="NormalWeb">
    <w:name w:val="Normal (Web)"/>
    <w:basedOn w:val="Normal"/>
    <w:rsid w:val="00B616A2"/>
    <w:pPr>
      <w:spacing w:before="100" w:beforeAutospacing="1" w:after="100" w:afterAutospacing="1"/>
      <w:jc w:val="left"/>
    </w:pPr>
    <w:rPr>
      <w:rFonts w:ascii="Times New Roman" w:hAnsi="Times New Roman"/>
      <w:sz w:val="24"/>
      <w:szCs w:val="24"/>
    </w:rPr>
  </w:style>
  <w:style w:type="character" w:styleId="Strong">
    <w:name w:val="Strong"/>
    <w:qFormat/>
    <w:rsid w:val="00B616A2"/>
    <w:rPr>
      <w:b/>
      <w:bCs/>
    </w:rPr>
  </w:style>
  <w:style w:type="paragraph" w:customStyle="1" w:styleId="StyleH1Left">
    <w:name w:val="Style H1 + Left"/>
    <w:basedOn w:val="H1"/>
    <w:rsid w:val="00B616A2"/>
    <w:pPr>
      <w:jc w:val="left"/>
    </w:pPr>
    <w:rPr>
      <w:color w:val="005400"/>
    </w:rPr>
  </w:style>
  <w:style w:type="paragraph" w:customStyle="1" w:styleId="StyleHeading4">
    <w:name w:val="Style Heading 4 +"/>
    <w:basedOn w:val="Heading4"/>
    <w:rsid w:val="00B616A2"/>
    <w:rPr>
      <w:bCs/>
    </w:rPr>
  </w:style>
  <w:style w:type="paragraph" w:customStyle="1" w:styleId="SubProgramHead0">
    <w:name w:val="SubProgramHead"/>
    <w:basedOn w:val="ProgramHead"/>
    <w:rsid w:val="00B616A2"/>
    <w:pPr>
      <w:jc w:val="center"/>
    </w:pPr>
  </w:style>
  <w:style w:type="paragraph" w:styleId="TOC1">
    <w:name w:val="toc 1"/>
    <w:basedOn w:val="Normal"/>
    <w:next w:val="Normal"/>
    <w:autoRedefine/>
    <w:rsid w:val="00B616A2"/>
    <w:rPr>
      <w:rFonts w:ascii="Verdana" w:hAnsi="Verdana"/>
    </w:rPr>
  </w:style>
</w:styles>
</file>

<file path=word/webSettings.xml><?xml version="1.0" encoding="utf-8"?>
<w:webSettings xmlns:r="http://schemas.openxmlformats.org/officeDocument/2006/relationships" xmlns:w="http://schemas.openxmlformats.org/wordprocessingml/2006/main">
  <w:divs>
    <w:div w:id="14781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858</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HIGHER EDUCATION</vt:lpstr>
    </vt:vector>
  </TitlesOfParts>
  <Company>State of Connecticut</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HIGHER EDUCATION</dc:title>
  <dc:subject/>
  <dc:creator>Linda Lach</dc:creator>
  <cp:keywords/>
  <cp:lastModifiedBy>Kerry Kelley</cp:lastModifiedBy>
  <cp:revision>11</cp:revision>
  <cp:lastPrinted>2012-12-21T16:41:00Z</cp:lastPrinted>
  <dcterms:created xsi:type="dcterms:W3CDTF">2013-01-09T14:02:00Z</dcterms:created>
  <dcterms:modified xsi:type="dcterms:W3CDTF">2013-01-23T13:53:00Z</dcterms:modified>
</cp:coreProperties>
</file>