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BB" w:rsidRDefault="00601DEF" w:rsidP="00EB73EB">
      <w:pPr>
        <w:pStyle w:val="H1"/>
        <w:sectPr w:rsidR="007C35B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864" w:right="720" w:bottom="1152" w:left="720" w:header="432" w:footer="288" w:gutter="216"/>
          <w:cols w:space="720"/>
        </w:sectPr>
      </w:pPr>
      <w:r>
        <w:t xml:space="preserve"> </w:t>
      </w:r>
      <w:r w:rsidR="007C35BB">
        <w:t>Department of Developmental Servic</w:t>
      </w:r>
      <w:r w:rsidR="00EB73EB">
        <w:t>es</w:t>
      </w:r>
    </w:p>
    <w:p w:rsidR="007C35BB" w:rsidRPr="009C3B33" w:rsidRDefault="007C35BB" w:rsidP="009C3B33">
      <w:pPr>
        <w:pStyle w:val="H2"/>
        <w:sectPr w:rsidR="007C35BB" w:rsidRPr="009C3B33">
          <w:type w:val="continuous"/>
          <w:pgSz w:w="12240" w:h="15840"/>
          <w:pgMar w:top="864" w:right="720" w:bottom="1152" w:left="720" w:header="432" w:footer="288" w:gutter="216"/>
          <w:cols w:space="720"/>
        </w:sectPr>
      </w:pPr>
      <w:r w:rsidRPr="009C3B33">
        <w:lastRenderedPageBreak/>
        <w:t xml:space="preserve">AGENCY DESCRIPTION </w:t>
      </w:r>
      <w:r w:rsidR="00C6367E" w:rsidRPr="009C3B33">
        <w:fldChar w:fldCharType="begin"/>
      </w:r>
      <w:r w:rsidRPr="009C3B33">
        <w:instrText xml:space="preserve"> XE "Developmental Services, Department of" </w:instrText>
      </w:r>
      <w:r w:rsidR="00C6367E" w:rsidRPr="009C3B33">
        <w:fldChar w:fldCharType="end"/>
      </w:r>
      <w:r w:rsidRPr="009C3B33">
        <w:tab/>
      </w:r>
    </w:p>
    <w:p w:rsidR="007C35BB" w:rsidRDefault="007C35BB" w:rsidP="00D25949">
      <w:r>
        <w:lastRenderedPageBreak/>
        <w:t xml:space="preserve">It is the responsibility of the Department of Developmental Services (DDS) to plan for and assist in the development of a comprehensive array of supports and services for Connecticut citizens who have </w:t>
      </w:r>
      <w:r w:rsidR="0046125B">
        <w:t>intellectual disability</w:t>
      </w:r>
      <w:r>
        <w:t xml:space="preserve"> or </w:t>
      </w:r>
      <w:proofErr w:type="spellStart"/>
      <w:r>
        <w:t>Prader-Willi</w:t>
      </w:r>
      <w:proofErr w:type="spellEnd"/>
      <w:r>
        <w:t xml:space="preserve"> Sy</w:t>
      </w:r>
      <w:r w:rsidR="000872A3">
        <w:t xml:space="preserve">ndrome.  The department </w:t>
      </w:r>
      <w:r w:rsidR="00096D33">
        <w:t>is mandated to</w:t>
      </w:r>
      <w:r w:rsidR="000872A3">
        <w:t xml:space="preserve"> </w:t>
      </w:r>
      <w:r>
        <w:t>serve as the lead agency</w:t>
      </w:r>
      <w:r w:rsidR="000872A3">
        <w:t xml:space="preserve"> in providing </w:t>
      </w:r>
      <w:r w:rsidR="00FF6FA3">
        <w:t>support</w:t>
      </w:r>
      <w:r w:rsidR="000872A3">
        <w:t xml:space="preserve"> and coordination</w:t>
      </w:r>
      <w:r>
        <w:t xml:space="preserve"> for ser</w:t>
      </w:r>
      <w:r w:rsidR="00096D33">
        <w:t xml:space="preserve">vices for </w:t>
      </w:r>
      <w:r w:rsidR="00FF6FA3">
        <w:t>individuals</w:t>
      </w:r>
      <w:r w:rsidR="00096D33">
        <w:t xml:space="preserve"> with autism</w:t>
      </w:r>
      <w:r w:rsidR="00B60AB5">
        <w:t xml:space="preserve">. </w:t>
      </w:r>
      <w:r>
        <w:t xml:space="preserve">DDS </w:t>
      </w:r>
      <w:r w:rsidR="00096D33">
        <w:t xml:space="preserve">is also </w:t>
      </w:r>
      <w:r>
        <w:t xml:space="preserve">mandated to administer a system to provide early intervention services for all infants and toddlers under the age of three who have any type of disability or significant developmental delay. </w:t>
      </w:r>
    </w:p>
    <w:p w:rsidR="00B60AB5" w:rsidRDefault="00B60AB5" w:rsidP="00D25949">
      <w:pPr>
        <w:spacing w:before="80" w:after="0"/>
        <w:rPr>
          <w:rStyle w:val="H4Char"/>
        </w:rPr>
      </w:pPr>
    </w:p>
    <w:p w:rsidR="007C35BB" w:rsidRDefault="007C35BB" w:rsidP="00D25949">
      <w:pPr>
        <w:spacing w:before="80" w:after="0"/>
      </w:pPr>
      <w:r w:rsidRPr="00D25949">
        <w:rPr>
          <w:rStyle w:val="H4Char"/>
        </w:rPr>
        <w:t>Eligibility for Services</w:t>
      </w:r>
      <w:r w:rsidRPr="00D25949">
        <w:rPr>
          <w:rStyle w:val="H4Char"/>
        </w:rPr>
        <w:cr/>
      </w:r>
      <w:r w:rsidRPr="00CC6D7D">
        <w:rPr>
          <w:rFonts w:asciiTheme="minorHAnsi" w:hAnsiTheme="minorHAnsi"/>
        </w:rPr>
        <w:t>Section 1-1g of the Connecticut General Statutes</w:t>
      </w:r>
      <w:r w:rsidR="00DE0059" w:rsidRPr="00CC6D7D">
        <w:rPr>
          <w:rFonts w:asciiTheme="minorHAnsi" w:hAnsiTheme="minorHAnsi"/>
        </w:rPr>
        <w:t xml:space="preserve"> states</w:t>
      </w:r>
      <w:r w:rsidR="003F765D">
        <w:rPr>
          <w:rFonts w:asciiTheme="minorHAnsi" w:hAnsiTheme="minorHAnsi"/>
        </w:rPr>
        <w:t xml:space="preserve"> “‘</w:t>
      </w:r>
      <w:r w:rsidR="002630E0" w:rsidRPr="00CC6D7D">
        <w:rPr>
          <w:rFonts w:asciiTheme="minorHAnsi" w:hAnsiTheme="minorHAnsi"/>
        </w:rPr>
        <w:t>intellectual disability</w:t>
      </w:r>
      <w:r w:rsidR="003F765D">
        <w:rPr>
          <w:rFonts w:asciiTheme="minorHAnsi" w:hAnsiTheme="minorHAnsi"/>
        </w:rPr>
        <w:t>’</w:t>
      </w:r>
      <w:r w:rsidRPr="00CC6D7D">
        <w:rPr>
          <w:rFonts w:asciiTheme="minorHAnsi" w:hAnsiTheme="minorHAnsi"/>
        </w:rPr>
        <w:t xml:space="preserve"> means </w:t>
      </w:r>
      <w:r w:rsidR="00DE0059" w:rsidRPr="00CC6D7D">
        <w:rPr>
          <w:rFonts w:asciiTheme="minorHAnsi" w:hAnsiTheme="minorHAnsi"/>
        </w:rPr>
        <w:t>a significant limitation in intellectual functioning and deficits in adaptive behavior that originated during the developmental period before eighteen years of age.</w:t>
      </w:r>
      <w:r w:rsidRPr="00CC6D7D">
        <w:t>" Thus, three factors must be in place for a person to be diagnosed as having</w:t>
      </w:r>
      <w:r>
        <w:t xml:space="preserve"> </w:t>
      </w:r>
      <w:r w:rsidR="0046125B">
        <w:t>intellectual disability</w:t>
      </w:r>
      <w:r>
        <w:t>.  The person has an intelligence quotient (IQ) of less than 70 as measured by a standardized intelligence test; the everyday behavior or adaptive behavior of the person is markedly below what is expected for someone of the same age in the same cultural group</w:t>
      </w:r>
      <w:r w:rsidR="00B60AB5">
        <w:t>;</w:t>
      </w:r>
      <w:r>
        <w:t xml:space="preserve"> and the </w:t>
      </w:r>
      <w:r w:rsidR="0046125B">
        <w:t>intellectual disability</w:t>
      </w:r>
      <w:r>
        <w:t xml:space="preserve"> occurred before the individual's 18th birthday.</w:t>
      </w:r>
    </w:p>
    <w:p w:rsidR="00A35622" w:rsidRDefault="00A35622" w:rsidP="00D25949">
      <w:pPr>
        <w:spacing w:before="80" w:after="0"/>
      </w:pPr>
    </w:p>
    <w:p w:rsidR="00B60AB5" w:rsidRDefault="007C35BB" w:rsidP="0042123D">
      <w:pPr>
        <w:rPr>
          <w:rFonts w:asciiTheme="minorHAnsi" w:hAnsiTheme="minorHAnsi"/>
          <w:szCs w:val="18"/>
        </w:rPr>
      </w:pPr>
      <w:r w:rsidRPr="00D25949">
        <w:rPr>
          <w:rStyle w:val="H4Char"/>
        </w:rPr>
        <w:t>The Department’s Mission</w:t>
      </w:r>
      <w:r w:rsidRPr="00D25949">
        <w:rPr>
          <w:rStyle w:val="H4Char"/>
        </w:rPr>
        <w:cr/>
      </w:r>
      <w:r w:rsidR="0042123D" w:rsidRPr="0042123D">
        <w:rPr>
          <w:rFonts w:asciiTheme="minorHAnsi" w:hAnsiTheme="minorHAnsi"/>
          <w:szCs w:val="18"/>
        </w:rPr>
        <w:t>The mission of the Department of Developmental Services is to partner with t</w:t>
      </w:r>
      <w:r w:rsidR="00226BED">
        <w:rPr>
          <w:rFonts w:asciiTheme="minorHAnsi" w:hAnsiTheme="minorHAnsi"/>
          <w:szCs w:val="18"/>
        </w:rPr>
        <w:t>he individuals it</w:t>
      </w:r>
      <w:r w:rsidR="0042123D" w:rsidRPr="0042123D">
        <w:rPr>
          <w:rFonts w:asciiTheme="minorHAnsi" w:hAnsiTheme="minorHAnsi"/>
          <w:szCs w:val="18"/>
        </w:rPr>
        <w:t xml:space="preserve"> support</w:t>
      </w:r>
      <w:r w:rsidR="00226BED">
        <w:rPr>
          <w:rFonts w:asciiTheme="minorHAnsi" w:hAnsiTheme="minorHAnsi"/>
          <w:szCs w:val="18"/>
        </w:rPr>
        <w:t>s</w:t>
      </w:r>
      <w:r w:rsidR="0042123D" w:rsidRPr="0042123D">
        <w:rPr>
          <w:rFonts w:asciiTheme="minorHAnsi" w:hAnsiTheme="minorHAnsi"/>
          <w:szCs w:val="18"/>
        </w:rPr>
        <w:t xml:space="preserve"> and their families, to support lifelong planning and to join with others to create and promote meaningful opportunities for individuals to fully participate as valued</w:t>
      </w:r>
      <w:r w:rsidR="0042123D">
        <w:rPr>
          <w:rFonts w:asciiTheme="minorHAnsi" w:hAnsiTheme="minorHAnsi"/>
          <w:szCs w:val="18"/>
        </w:rPr>
        <w:t xml:space="preserve"> members of their communities. </w:t>
      </w:r>
      <w:r w:rsidR="00DE0059">
        <w:rPr>
          <w:rFonts w:asciiTheme="minorHAnsi" w:hAnsiTheme="minorHAnsi"/>
          <w:szCs w:val="18"/>
        </w:rPr>
        <w:t xml:space="preserve"> </w:t>
      </w:r>
      <w:r w:rsidR="0042123D" w:rsidRPr="0042123D">
        <w:rPr>
          <w:rFonts w:asciiTheme="minorHAnsi" w:hAnsiTheme="minorHAnsi"/>
          <w:szCs w:val="18"/>
        </w:rPr>
        <w:t xml:space="preserve">All citizens supported by the Department of Developmental Services are valued contributors to their communities as family members, friends, neighbors, students, employees, </w:t>
      </w:r>
      <w:proofErr w:type="gramStart"/>
      <w:r w:rsidR="0042123D" w:rsidRPr="0042123D">
        <w:rPr>
          <w:rFonts w:asciiTheme="minorHAnsi" w:hAnsiTheme="minorHAnsi"/>
          <w:szCs w:val="18"/>
        </w:rPr>
        <w:t>volunteers</w:t>
      </w:r>
      <w:proofErr w:type="gramEnd"/>
      <w:r w:rsidR="0042123D" w:rsidRPr="0042123D">
        <w:rPr>
          <w:rFonts w:asciiTheme="minorHAnsi" w:hAnsiTheme="minorHAnsi"/>
          <w:szCs w:val="18"/>
        </w:rPr>
        <w:t xml:space="preserve">, members of civic and religious associations, voters and advocates.  </w:t>
      </w:r>
    </w:p>
    <w:p w:rsidR="00B60AB5" w:rsidRDefault="00B60AB5" w:rsidP="0042123D">
      <w:pPr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</w:rPr>
        <w:t>These individuals</w:t>
      </w:r>
      <w:r w:rsidR="0042123D">
        <w:rPr>
          <w:rFonts w:asciiTheme="minorHAnsi" w:hAnsiTheme="minorHAnsi"/>
          <w:szCs w:val="18"/>
        </w:rPr>
        <w:t xml:space="preserve"> </w:t>
      </w:r>
    </w:p>
    <w:p w:rsidR="00B60AB5" w:rsidRDefault="0042123D" w:rsidP="00B60AB5">
      <w:pPr>
        <w:pStyle w:val="ListParagraph"/>
        <w:numPr>
          <w:ilvl w:val="0"/>
          <w:numId w:val="37"/>
        </w:numPr>
        <w:rPr>
          <w:rFonts w:asciiTheme="minorHAnsi" w:hAnsiTheme="minorHAnsi"/>
          <w:szCs w:val="18"/>
        </w:rPr>
      </w:pPr>
      <w:r w:rsidRPr="00B60AB5">
        <w:rPr>
          <w:rFonts w:asciiTheme="minorHAnsi" w:hAnsiTheme="minorHAnsi"/>
          <w:szCs w:val="18"/>
        </w:rPr>
        <w:t>Live, learn, work and enjoy community life in places where they can use their personal strengths, talents and passions.</w:t>
      </w:r>
    </w:p>
    <w:p w:rsidR="00B60AB5" w:rsidRDefault="0042123D" w:rsidP="00B60AB5">
      <w:pPr>
        <w:pStyle w:val="ListParagraph"/>
        <w:numPr>
          <w:ilvl w:val="0"/>
          <w:numId w:val="37"/>
        </w:numPr>
        <w:rPr>
          <w:rFonts w:asciiTheme="minorHAnsi" w:hAnsiTheme="minorHAnsi"/>
          <w:szCs w:val="18"/>
        </w:rPr>
      </w:pPr>
      <w:r w:rsidRPr="00B60AB5">
        <w:rPr>
          <w:rFonts w:asciiTheme="minorHAnsi" w:hAnsiTheme="minorHAnsi"/>
          <w:szCs w:val="18"/>
        </w:rPr>
        <w:t xml:space="preserve">Have safe, meaningful and empowering relationships. </w:t>
      </w:r>
    </w:p>
    <w:p w:rsidR="00B60AB5" w:rsidRDefault="0042123D" w:rsidP="00B60AB5">
      <w:pPr>
        <w:pStyle w:val="ListParagraph"/>
        <w:numPr>
          <w:ilvl w:val="0"/>
          <w:numId w:val="37"/>
        </w:numPr>
        <w:rPr>
          <w:rFonts w:asciiTheme="minorHAnsi" w:hAnsiTheme="minorHAnsi"/>
          <w:szCs w:val="18"/>
        </w:rPr>
      </w:pPr>
      <w:r w:rsidRPr="00B60AB5">
        <w:rPr>
          <w:rFonts w:asciiTheme="minorHAnsi" w:hAnsiTheme="minorHAnsi"/>
          <w:szCs w:val="18"/>
        </w:rPr>
        <w:t xml:space="preserve">Have families who feel supported from the earliest years and throughout their lifetimes. </w:t>
      </w:r>
    </w:p>
    <w:p w:rsidR="00B60AB5" w:rsidRDefault="0042123D" w:rsidP="00B60AB5">
      <w:pPr>
        <w:pStyle w:val="ListParagraph"/>
        <w:numPr>
          <w:ilvl w:val="0"/>
          <w:numId w:val="37"/>
        </w:numPr>
        <w:rPr>
          <w:rFonts w:asciiTheme="minorHAnsi" w:hAnsiTheme="minorHAnsi"/>
          <w:szCs w:val="18"/>
        </w:rPr>
      </w:pPr>
      <w:r w:rsidRPr="00B60AB5">
        <w:rPr>
          <w:rFonts w:asciiTheme="minorHAnsi" w:hAnsiTheme="minorHAnsi"/>
          <w:szCs w:val="18"/>
        </w:rPr>
        <w:t>Have lifelong opportunities and the assistance to learn things that matter to them.</w:t>
      </w:r>
    </w:p>
    <w:p w:rsidR="00B60AB5" w:rsidRDefault="0042123D" w:rsidP="00B60AB5">
      <w:pPr>
        <w:pStyle w:val="ListParagraph"/>
        <w:numPr>
          <w:ilvl w:val="0"/>
          <w:numId w:val="37"/>
        </w:numPr>
        <w:rPr>
          <w:rFonts w:asciiTheme="minorHAnsi" w:hAnsiTheme="minorHAnsi"/>
          <w:szCs w:val="18"/>
        </w:rPr>
      </w:pPr>
      <w:r w:rsidRPr="00B60AB5">
        <w:rPr>
          <w:rFonts w:asciiTheme="minorHAnsi" w:hAnsiTheme="minorHAnsi"/>
          <w:szCs w:val="18"/>
        </w:rPr>
        <w:t xml:space="preserve">Make informed choices and take responsibility for their lives and experience the dignity of risk. </w:t>
      </w:r>
    </w:p>
    <w:p w:rsidR="00B60AB5" w:rsidRDefault="0042123D" w:rsidP="00B60AB5">
      <w:pPr>
        <w:pStyle w:val="ListParagraph"/>
        <w:numPr>
          <w:ilvl w:val="0"/>
          <w:numId w:val="37"/>
        </w:numPr>
        <w:rPr>
          <w:rFonts w:asciiTheme="minorHAnsi" w:hAnsiTheme="minorHAnsi"/>
          <w:szCs w:val="18"/>
        </w:rPr>
      </w:pPr>
      <w:r w:rsidRPr="00B60AB5">
        <w:rPr>
          <w:rFonts w:asciiTheme="minorHAnsi" w:hAnsiTheme="minorHAnsi"/>
          <w:szCs w:val="18"/>
        </w:rPr>
        <w:t xml:space="preserve">Earn money to facilitate personal choices. </w:t>
      </w:r>
    </w:p>
    <w:p w:rsidR="0042123D" w:rsidRPr="00B60AB5" w:rsidRDefault="0042123D" w:rsidP="00B60AB5">
      <w:pPr>
        <w:pStyle w:val="ListParagraph"/>
        <w:numPr>
          <w:ilvl w:val="0"/>
          <w:numId w:val="37"/>
        </w:numPr>
        <w:rPr>
          <w:rFonts w:asciiTheme="minorHAnsi" w:hAnsiTheme="minorHAnsi"/>
          <w:szCs w:val="18"/>
        </w:rPr>
      </w:pPr>
      <w:r w:rsidRPr="00B60AB5">
        <w:rPr>
          <w:rFonts w:asciiTheme="minorHAnsi" w:hAnsiTheme="minorHAnsi"/>
          <w:szCs w:val="18"/>
        </w:rPr>
        <w:t>Know their rights and responsibilities and pursue opportunities to live the life they choose.</w:t>
      </w:r>
    </w:p>
    <w:p w:rsidR="00D04F05" w:rsidRPr="00A7222A" w:rsidRDefault="007C35BB" w:rsidP="00A7222A">
      <w:pPr>
        <w:spacing w:before="80" w:after="0"/>
        <w:rPr>
          <w:rFonts w:cs="Arial"/>
        </w:rPr>
      </w:pPr>
      <w:r>
        <w:rPr>
          <w:rFonts w:cs="Arial"/>
        </w:rPr>
        <w:t xml:space="preserve"> </w:t>
      </w:r>
    </w:p>
    <w:p w:rsidR="00D04F05" w:rsidRDefault="007C35BB" w:rsidP="00D04F05">
      <w:pPr>
        <w:pStyle w:val="H4"/>
        <w:rPr>
          <w:sz w:val="18"/>
          <w:szCs w:val="18"/>
        </w:rPr>
      </w:pPr>
      <w:r w:rsidRPr="0090734C">
        <w:rPr>
          <w:sz w:val="18"/>
          <w:szCs w:val="18"/>
        </w:rPr>
        <w:lastRenderedPageBreak/>
        <w:t>Services and Trends</w:t>
      </w:r>
    </w:p>
    <w:p w:rsidR="007C35BB" w:rsidRPr="00CC6D7D" w:rsidRDefault="007C35BB">
      <w:r>
        <w:t xml:space="preserve">Persons with </w:t>
      </w:r>
      <w:r w:rsidR="0046125B">
        <w:t>intellectual disability</w:t>
      </w:r>
      <w:r>
        <w:t xml:space="preserve"> have much in common with non-disabled citizens in Connecticut, although individuals who have </w:t>
      </w:r>
      <w:r w:rsidR="0046125B">
        <w:t>intellectual disability</w:t>
      </w:r>
      <w:r>
        <w:t xml:space="preserve"> often need lifelong support to exercise their rights to become full and contributing members of their communities.  As of June 30, 20</w:t>
      </w:r>
      <w:r w:rsidR="0042123D">
        <w:t>12</w:t>
      </w:r>
      <w:r>
        <w:t xml:space="preserve">, the Department of Developmental Services was serving </w:t>
      </w:r>
      <w:r w:rsidR="00831111">
        <w:t>20</w:t>
      </w:r>
      <w:r w:rsidR="00D04F05">
        <w:t>,</w:t>
      </w:r>
      <w:r w:rsidR="00831111">
        <w:t>398</w:t>
      </w:r>
      <w:r>
        <w:t xml:space="preserve"> persons, including those </w:t>
      </w:r>
      <w:r w:rsidR="00703E12">
        <w:t>enrolled in the Birth to Three P</w:t>
      </w:r>
      <w:r>
        <w:t>rogram</w:t>
      </w:r>
      <w:r w:rsidRPr="00CC6D7D">
        <w:t xml:space="preserve">.  </w:t>
      </w:r>
      <w:r w:rsidR="002630E0" w:rsidRPr="00CC6D7D">
        <w:t xml:space="preserve">In </w:t>
      </w:r>
      <w:r w:rsidR="008E46B7" w:rsidRPr="00CC6D7D">
        <w:t xml:space="preserve">a </w:t>
      </w:r>
      <w:r w:rsidR="002630E0" w:rsidRPr="00CC6D7D">
        <w:t xml:space="preserve">comparison of demographic information from 10 years ago, the number of people </w:t>
      </w:r>
      <w:r w:rsidR="00DE0059" w:rsidRPr="00CC6D7D">
        <w:t xml:space="preserve">DDS supports </w:t>
      </w:r>
      <w:r w:rsidR="002630E0" w:rsidRPr="00CC6D7D">
        <w:t xml:space="preserve">under the age of 45 is nearly identical.  However, the number of people </w:t>
      </w:r>
      <w:r w:rsidR="00DE0059" w:rsidRPr="00CC6D7D">
        <w:t xml:space="preserve">DDS supports </w:t>
      </w:r>
      <w:r w:rsidR="006A55BA" w:rsidRPr="00CC6D7D">
        <w:t xml:space="preserve">who are </w:t>
      </w:r>
      <w:r w:rsidR="002630E0" w:rsidRPr="00CC6D7D">
        <w:t xml:space="preserve">45 or older has grown by 31%. </w:t>
      </w:r>
      <w:r w:rsidRPr="00CC6D7D">
        <w:t>DDS also initiated a</w:t>
      </w:r>
      <w:r w:rsidR="00D04F05">
        <w:t xml:space="preserve"> pilot program for adults with Autism Spectrum D</w:t>
      </w:r>
      <w:r w:rsidRPr="00CC6D7D">
        <w:t xml:space="preserve">isorder </w:t>
      </w:r>
      <w:r w:rsidR="00D04F05">
        <w:t xml:space="preserve">(but not intellectual disability) </w:t>
      </w:r>
      <w:r w:rsidRPr="00CC6D7D">
        <w:t xml:space="preserve">as a result of Section 37 of Public Act 06-188. This </w:t>
      </w:r>
      <w:r w:rsidR="00D04F05">
        <w:t>program</w:t>
      </w:r>
      <w:r w:rsidR="006A55BA" w:rsidRPr="00CC6D7D">
        <w:t xml:space="preserve"> </w:t>
      </w:r>
      <w:r w:rsidRPr="00CC6D7D">
        <w:t xml:space="preserve">served approximately </w:t>
      </w:r>
      <w:r w:rsidR="0042123D" w:rsidRPr="00CC6D7D">
        <w:t>78</w:t>
      </w:r>
      <w:r w:rsidRPr="00CC6D7D">
        <w:t xml:space="preserve"> individuals with </w:t>
      </w:r>
      <w:r w:rsidR="00D04F05">
        <w:t>autism</w:t>
      </w:r>
      <w:r w:rsidRPr="00CC6D7D">
        <w:t xml:space="preserve"> in </w:t>
      </w:r>
      <w:r w:rsidR="009D5B92">
        <w:t>FY 2012</w:t>
      </w:r>
      <w:r w:rsidR="0042123D" w:rsidRPr="00CC6D7D">
        <w:t>.</w:t>
      </w:r>
      <w:r w:rsidRPr="00CC6D7D">
        <w:t xml:space="preserve"> </w:t>
      </w:r>
    </w:p>
    <w:p w:rsidR="005B4A88" w:rsidRDefault="005B4A88"/>
    <w:tbl>
      <w:tblPr>
        <w:tblW w:w="5048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1683"/>
        <w:gridCol w:w="856"/>
        <w:gridCol w:w="1131"/>
        <w:gridCol w:w="621"/>
        <w:gridCol w:w="757"/>
      </w:tblGrid>
      <w:tr w:rsidR="00891CF5" w:rsidTr="00D25949">
        <w:tc>
          <w:tcPr>
            <w:tcW w:w="5048" w:type="dxa"/>
            <w:gridSpan w:val="5"/>
            <w:tcBorders>
              <w:bottom w:val="single" w:sz="4" w:space="0" w:color="999999"/>
            </w:tcBorders>
            <w:shd w:val="clear" w:color="auto" w:fill="E5EEFF"/>
          </w:tcPr>
          <w:p w:rsidR="00891CF5" w:rsidRPr="003D3807" w:rsidRDefault="00891CF5" w:rsidP="009B1754">
            <w:pPr>
              <w:pStyle w:val="H4"/>
            </w:pPr>
            <w:r>
              <w:t>Outcome Measures</w:t>
            </w:r>
          </w:p>
        </w:tc>
      </w:tr>
      <w:tr w:rsidR="007C35BB" w:rsidRPr="000E17C7" w:rsidTr="000E17C7">
        <w:tc>
          <w:tcPr>
            <w:tcW w:w="5048" w:type="dxa"/>
            <w:gridSpan w:val="5"/>
            <w:shd w:val="clear" w:color="auto" w:fill="auto"/>
          </w:tcPr>
          <w:p w:rsidR="007C35BB" w:rsidRPr="000E17C7" w:rsidRDefault="001C4E69" w:rsidP="0046125B">
            <w:pPr>
              <w:pStyle w:val="Heading3"/>
              <w:rPr>
                <w:b w:val="0"/>
                <w:sz w:val="16"/>
                <w:szCs w:val="16"/>
              </w:rPr>
            </w:pPr>
            <w:r>
              <w:rPr>
                <w:b w:val="0"/>
                <w:szCs w:val="18"/>
              </w:rPr>
              <w:t xml:space="preserve">PEOPLE SERVED BY DDS </w:t>
            </w:r>
            <w:r w:rsidR="008F57C6" w:rsidRPr="008F57C6">
              <w:rPr>
                <w:b w:val="0"/>
                <w:szCs w:val="18"/>
              </w:rPr>
              <w:br/>
            </w:r>
            <w:r w:rsidR="007C35BB" w:rsidRPr="000E17C7">
              <w:rPr>
                <w:b w:val="0"/>
                <w:sz w:val="16"/>
                <w:szCs w:val="16"/>
              </w:rPr>
              <w:t xml:space="preserve">(as of June </w:t>
            </w:r>
            <w:r w:rsidR="0046125B">
              <w:rPr>
                <w:b w:val="0"/>
                <w:sz w:val="16"/>
                <w:szCs w:val="16"/>
              </w:rPr>
              <w:t>2012</w:t>
            </w:r>
            <w:r w:rsidR="007C35BB" w:rsidRPr="000E17C7">
              <w:rPr>
                <w:b w:val="0"/>
                <w:sz w:val="16"/>
                <w:szCs w:val="16"/>
              </w:rPr>
              <w:t>)</w:t>
            </w:r>
          </w:p>
        </w:tc>
      </w:tr>
      <w:tr w:rsidR="007C35BB" w:rsidRPr="000E17C7" w:rsidTr="000E17C7">
        <w:tc>
          <w:tcPr>
            <w:tcW w:w="1683" w:type="dxa"/>
          </w:tcPr>
          <w:p w:rsidR="007C35BB" w:rsidRPr="000E17C7" w:rsidRDefault="007C35BB" w:rsidP="007F79B9">
            <w:pPr>
              <w:spacing w:beforeLines="40"/>
              <w:jc w:val="left"/>
              <w:rPr>
                <w:rFonts w:cs="Arial"/>
                <w:sz w:val="16"/>
                <w:szCs w:val="16"/>
              </w:rPr>
            </w:pPr>
            <w:r w:rsidRPr="000E17C7">
              <w:rPr>
                <w:sz w:val="16"/>
                <w:szCs w:val="16"/>
              </w:rPr>
              <w:br w:type="column"/>
            </w:r>
            <w:smartTag w:uri="urn:schemas-microsoft-com:office:smarttags" w:element="place">
              <w:smartTag w:uri="urn:schemas-microsoft-com:office:smarttags" w:element="PlaceName">
                <w:r w:rsidRPr="000E17C7">
                  <w:rPr>
                    <w:rFonts w:cs="Arial"/>
                    <w:sz w:val="16"/>
                    <w:szCs w:val="16"/>
                  </w:rPr>
                  <w:t>Age</w:t>
                </w:r>
              </w:smartTag>
              <w:r w:rsidRPr="000E17C7">
                <w:rPr>
                  <w:rFonts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0E17C7">
                  <w:rPr>
                    <w:rFonts w:cs="Arial"/>
                    <w:sz w:val="16"/>
                    <w:szCs w:val="16"/>
                  </w:rPr>
                  <w:t>Range</w:t>
                </w:r>
              </w:smartTag>
            </w:smartTag>
            <w:r w:rsidRPr="000E17C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</w:tcPr>
          <w:p w:rsidR="007C35BB" w:rsidRPr="000E17C7" w:rsidRDefault="007C35BB" w:rsidP="00CC545B">
            <w:pPr>
              <w:jc w:val="center"/>
              <w:rPr>
                <w:sz w:val="16"/>
                <w:szCs w:val="16"/>
              </w:rPr>
            </w:pPr>
            <w:r w:rsidRPr="000E17C7">
              <w:rPr>
                <w:sz w:val="16"/>
                <w:szCs w:val="16"/>
              </w:rPr>
              <w:t>In Home</w:t>
            </w:r>
          </w:p>
        </w:tc>
        <w:tc>
          <w:tcPr>
            <w:tcW w:w="1131" w:type="dxa"/>
          </w:tcPr>
          <w:p w:rsidR="007C35BB" w:rsidRPr="000E17C7" w:rsidRDefault="007C35BB" w:rsidP="00CC545B">
            <w:pPr>
              <w:jc w:val="center"/>
              <w:rPr>
                <w:sz w:val="16"/>
                <w:szCs w:val="16"/>
              </w:rPr>
            </w:pPr>
            <w:r w:rsidRPr="000E17C7">
              <w:rPr>
                <w:sz w:val="16"/>
                <w:szCs w:val="16"/>
              </w:rPr>
              <w:t>Out of Home</w:t>
            </w:r>
          </w:p>
        </w:tc>
        <w:tc>
          <w:tcPr>
            <w:tcW w:w="621" w:type="dxa"/>
          </w:tcPr>
          <w:p w:rsidR="007C35BB" w:rsidRPr="000E17C7" w:rsidRDefault="007C35BB" w:rsidP="00CC545B">
            <w:pPr>
              <w:jc w:val="center"/>
              <w:rPr>
                <w:sz w:val="16"/>
                <w:szCs w:val="16"/>
              </w:rPr>
            </w:pPr>
            <w:r w:rsidRPr="000E17C7">
              <w:rPr>
                <w:sz w:val="16"/>
                <w:szCs w:val="16"/>
              </w:rPr>
              <w:t>Total</w:t>
            </w:r>
          </w:p>
        </w:tc>
        <w:tc>
          <w:tcPr>
            <w:tcW w:w="757" w:type="dxa"/>
          </w:tcPr>
          <w:p w:rsidR="007C35BB" w:rsidRPr="000E17C7" w:rsidRDefault="007C35BB" w:rsidP="00CC545B">
            <w:pPr>
              <w:jc w:val="center"/>
              <w:rPr>
                <w:sz w:val="16"/>
                <w:szCs w:val="16"/>
              </w:rPr>
            </w:pPr>
            <w:r w:rsidRPr="000E17C7">
              <w:rPr>
                <w:sz w:val="16"/>
                <w:szCs w:val="16"/>
              </w:rPr>
              <w:t>Pct</w:t>
            </w:r>
          </w:p>
        </w:tc>
      </w:tr>
      <w:tr w:rsidR="007C35BB" w:rsidRPr="000E17C7" w:rsidTr="000E17C7">
        <w:trPr>
          <w:trHeight w:val="353"/>
        </w:trPr>
        <w:tc>
          <w:tcPr>
            <w:tcW w:w="1683" w:type="dxa"/>
          </w:tcPr>
          <w:p w:rsidR="007C35BB" w:rsidRPr="000E17C7" w:rsidRDefault="001C4E69" w:rsidP="007F79B9">
            <w:pPr>
              <w:spacing w:beforeLines="4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Birth to Three (0 – 3</w:t>
            </w:r>
            <w:r w:rsidR="007C35BB" w:rsidRPr="000E17C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856" w:type="dxa"/>
          </w:tcPr>
          <w:p w:rsidR="007C35BB" w:rsidRPr="000E17C7" w:rsidRDefault="00831111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C4E6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561</w:t>
            </w:r>
          </w:p>
        </w:tc>
        <w:tc>
          <w:tcPr>
            <w:tcW w:w="1131" w:type="dxa"/>
          </w:tcPr>
          <w:p w:rsidR="007C35BB" w:rsidRPr="000E17C7" w:rsidRDefault="007C35BB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 w:rsidRPr="000E17C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21" w:type="dxa"/>
          </w:tcPr>
          <w:p w:rsidR="007C35BB" w:rsidRPr="000E17C7" w:rsidRDefault="00831111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C4E6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561</w:t>
            </w:r>
          </w:p>
        </w:tc>
        <w:tc>
          <w:tcPr>
            <w:tcW w:w="757" w:type="dxa"/>
          </w:tcPr>
          <w:p w:rsidR="007C35BB" w:rsidRPr="000E17C7" w:rsidRDefault="007C35BB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 w:rsidRPr="000E17C7">
              <w:rPr>
                <w:rFonts w:cs="Arial"/>
                <w:sz w:val="16"/>
                <w:szCs w:val="16"/>
              </w:rPr>
              <w:t>2</w:t>
            </w:r>
            <w:r w:rsidR="00601DEF">
              <w:rPr>
                <w:rFonts w:cs="Arial"/>
                <w:sz w:val="16"/>
                <w:szCs w:val="16"/>
              </w:rPr>
              <w:t>2</w:t>
            </w:r>
            <w:r w:rsidR="005B4A88" w:rsidRPr="000E17C7">
              <w:rPr>
                <w:rFonts w:cs="Arial"/>
                <w:sz w:val="16"/>
                <w:szCs w:val="16"/>
              </w:rPr>
              <w:t>%</w:t>
            </w:r>
          </w:p>
        </w:tc>
      </w:tr>
      <w:tr w:rsidR="007C35BB" w:rsidRPr="000E17C7" w:rsidTr="000E17C7">
        <w:tc>
          <w:tcPr>
            <w:tcW w:w="1683" w:type="dxa"/>
          </w:tcPr>
          <w:p w:rsidR="007C35BB" w:rsidRPr="000E17C7" w:rsidRDefault="007C35BB" w:rsidP="007F79B9">
            <w:pPr>
              <w:spacing w:beforeLines="40"/>
              <w:jc w:val="left"/>
              <w:rPr>
                <w:rFonts w:cs="Arial"/>
                <w:sz w:val="16"/>
                <w:szCs w:val="16"/>
              </w:rPr>
            </w:pPr>
            <w:r w:rsidRPr="000E17C7">
              <w:rPr>
                <w:rFonts w:cs="Arial"/>
                <w:sz w:val="16"/>
                <w:szCs w:val="16"/>
              </w:rPr>
              <w:t>Children (3 – 17)</w:t>
            </w:r>
          </w:p>
        </w:tc>
        <w:tc>
          <w:tcPr>
            <w:tcW w:w="856" w:type="dxa"/>
          </w:tcPr>
          <w:p w:rsidR="007C35BB" w:rsidRPr="000E17C7" w:rsidRDefault="0046125B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C4E6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384</w:t>
            </w:r>
          </w:p>
        </w:tc>
        <w:tc>
          <w:tcPr>
            <w:tcW w:w="1131" w:type="dxa"/>
          </w:tcPr>
          <w:p w:rsidR="007C35BB" w:rsidRPr="000E17C7" w:rsidRDefault="0046125B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</w:t>
            </w:r>
          </w:p>
        </w:tc>
        <w:tc>
          <w:tcPr>
            <w:tcW w:w="621" w:type="dxa"/>
          </w:tcPr>
          <w:p w:rsidR="007C35BB" w:rsidRPr="000E17C7" w:rsidRDefault="0046125B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C4E6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546</w:t>
            </w:r>
          </w:p>
        </w:tc>
        <w:tc>
          <w:tcPr>
            <w:tcW w:w="757" w:type="dxa"/>
          </w:tcPr>
          <w:p w:rsidR="007C35BB" w:rsidRPr="000E17C7" w:rsidRDefault="0046125B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12%</w:t>
            </w:r>
          </w:p>
        </w:tc>
      </w:tr>
      <w:tr w:rsidR="007C35BB" w:rsidRPr="000E17C7" w:rsidTr="000E17C7">
        <w:tc>
          <w:tcPr>
            <w:tcW w:w="1683" w:type="dxa"/>
          </w:tcPr>
          <w:p w:rsidR="007C35BB" w:rsidRPr="000E17C7" w:rsidRDefault="007C35BB" w:rsidP="007F79B9">
            <w:pPr>
              <w:spacing w:beforeLines="40"/>
              <w:jc w:val="left"/>
              <w:rPr>
                <w:rFonts w:cs="Arial"/>
                <w:sz w:val="16"/>
                <w:szCs w:val="16"/>
              </w:rPr>
            </w:pPr>
            <w:r w:rsidRPr="000E17C7">
              <w:rPr>
                <w:rFonts w:cs="Arial"/>
                <w:sz w:val="16"/>
                <w:szCs w:val="16"/>
              </w:rPr>
              <w:t>Young Adults (18 – 21)</w:t>
            </w:r>
          </w:p>
        </w:tc>
        <w:tc>
          <w:tcPr>
            <w:tcW w:w="856" w:type="dxa"/>
          </w:tcPr>
          <w:p w:rsidR="007C35BB" w:rsidRPr="000E17C7" w:rsidRDefault="0046125B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1C4E6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287</w:t>
            </w:r>
          </w:p>
        </w:tc>
        <w:tc>
          <w:tcPr>
            <w:tcW w:w="1131" w:type="dxa"/>
          </w:tcPr>
          <w:p w:rsidR="007C35BB" w:rsidRPr="000E17C7" w:rsidRDefault="0046125B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268</w:t>
            </w:r>
          </w:p>
        </w:tc>
        <w:tc>
          <w:tcPr>
            <w:tcW w:w="621" w:type="dxa"/>
          </w:tcPr>
          <w:p w:rsidR="007C35BB" w:rsidRPr="000E17C7" w:rsidRDefault="0046125B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1C4E6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555</w:t>
            </w:r>
          </w:p>
        </w:tc>
        <w:tc>
          <w:tcPr>
            <w:tcW w:w="757" w:type="dxa"/>
          </w:tcPr>
          <w:p w:rsidR="007C35BB" w:rsidRPr="000E17C7" w:rsidRDefault="00601DEF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5B4A88" w:rsidRPr="000E17C7">
              <w:rPr>
                <w:rFonts w:cs="Arial"/>
                <w:sz w:val="16"/>
                <w:szCs w:val="16"/>
              </w:rPr>
              <w:t>%</w:t>
            </w:r>
          </w:p>
        </w:tc>
      </w:tr>
      <w:tr w:rsidR="007C35BB" w:rsidRPr="000E17C7" w:rsidTr="000E17C7">
        <w:tc>
          <w:tcPr>
            <w:tcW w:w="1683" w:type="dxa"/>
          </w:tcPr>
          <w:p w:rsidR="007C35BB" w:rsidRPr="000E17C7" w:rsidRDefault="007C35BB" w:rsidP="007F79B9">
            <w:pPr>
              <w:spacing w:beforeLines="40"/>
              <w:jc w:val="left"/>
              <w:rPr>
                <w:rFonts w:cs="Arial"/>
                <w:sz w:val="16"/>
                <w:szCs w:val="16"/>
              </w:rPr>
            </w:pPr>
            <w:r w:rsidRPr="000E17C7">
              <w:rPr>
                <w:rFonts w:cs="Arial"/>
                <w:sz w:val="16"/>
                <w:szCs w:val="16"/>
              </w:rPr>
              <w:t>Adults (22 and older)</w:t>
            </w:r>
          </w:p>
        </w:tc>
        <w:tc>
          <w:tcPr>
            <w:tcW w:w="856" w:type="dxa"/>
          </w:tcPr>
          <w:p w:rsidR="007C35BB" w:rsidRPr="000E17C7" w:rsidRDefault="0046125B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C4E6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445</w:t>
            </w:r>
          </w:p>
        </w:tc>
        <w:tc>
          <w:tcPr>
            <w:tcW w:w="1131" w:type="dxa"/>
          </w:tcPr>
          <w:p w:rsidR="007C35BB" w:rsidRPr="000E17C7" w:rsidRDefault="0046125B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C4E6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291</w:t>
            </w:r>
          </w:p>
        </w:tc>
        <w:tc>
          <w:tcPr>
            <w:tcW w:w="621" w:type="dxa"/>
          </w:tcPr>
          <w:p w:rsidR="007C35BB" w:rsidRPr="000E17C7" w:rsidRDefault="0046125B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1C4E6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736</w:t>
            </w:r>
          </w:p>
        </w:tc>
        <w:tc>
          <w:tcPr>
            <w:tcW w:w="757" w:type="dxa"/>
          </w:tcPr>
          <w:p w:rsidR="007C35BB" w:rsidRPr="000E17C7" w:rsidRDefault="007C35BB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 w:rsidRPr="000E17C7">
              <w:rPr>
                <w:rFonts w:cs="Arial"/>
                <w:sz w:val="16"/>
                <w:szCs w:val="16"/>
              </w:rPr>
              <w:t>5</w:t>
            </w:r>
            <w:r w:rsidR="0090734C">
              <w:rPr>
                <w:rFonts w:cs="Arial"/>
                <w:sz w:val="16"/>
                <w:szCs w:val="16"/>
              </w:rPr>
              <w:t>8</w:t>
            </w:r>
            <w:r w:rsidR="005B4A88" w:rsidRPr="000E17C7">
              <w:rPr>
                <w:rFonts w:cs="Arial"/>
                <w:sz w:val="16"/>
                <w:szCs w:val="16"/>
              </w:rPr>
              <w:t>%</w:t>
            </w:r>
          </w:p>
        </w:tc>
      </w:tr>
      <w:tr w:rsidR="007C35BB" w:rsidRPr="000E17C7" w:rsidTr="000E17C7">
        <w:tc>
          <w:tcPr>
            <w:tcW w:w="1683" w:type="dxa"/>
          </w:tcPr>
          <w:p w:rsidR="007C35BB" w:rsidRPr="000E17C7" w:rsidRDefault="007C35BB" w:rsidP="007F79B9">
            <w:pPr>
              <w:spacing w:beforeLines="40"/>
              <w:jc w:val="left"/>
              <w:rPr>
                <w:rFonts w:cs="Arial"/>
                <w:sz w:val="16"/>
                <w:szCs w:val="16"/>
              </w:rPr>
            </w:pPr>
            <w:r w:rsidRPr="000E17C7">
              <w:rPr>
                <w:rFonts w:cs="Arial"/>
                <w:sz w:val="16"/>
                <w:szCs w:val="16"/>
              </w:rPr>
              <w:t xml:space="preserve">Total </w:t>
            </w:r>
          </w:p>
        </w:tc>
        <w:tc>
          <w:tcPr>
            <w:tcW w:w="856" w:type="dxa"/>
          </w:tcPr>
          <w:p w:rsidR="007C35BB" w:rsidRPr="000E17C7" w:rsidRDefault="00831111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1C4E6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667</w:t>
            </w:r>
          </w:p>
        </w:tc>
        <w:tc>
          <w:tcPr>
            <w:tcW w:w="1131" w:type="dxa"/>
          </w:tcPr>
          <w:p w:rsidR="007C35BB" w:rsidRPr="000E17C7" w:rsidRDefault="0046125B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C4E6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721</w:t>
            </w:r>
          </w:p>
        </w:tc>
        <w:tc>
          <w:tcPr>
            <w:tcW w:w="621" w:type="dxa"/>
          </w:tcPr>
          <w:p w:rsidR="007C35BB" w:rsidRPr="000E17C7" w:rsidRDefault="00601DEF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1C4E69">
              <w:rPr>
                <w:rFonts w:cs="Arial"/>
                <w:sz w:val="16"/>
                <w:szCs w:val="16"/>
              </w:rPr>
              <w:t>,</w:t>
            </w:r>
            <w:r w:rsidR="00831111">
              <w:rPr>
                <w:rFonts w:cs="Arial"/>
                <w:sz w:val="16"/>
                <w:szCs w:val="16"/>
              </w:rPr>
              <w:t>398</w:t>
            </w:r>
          </w:p>
        </w:tc>
        <w:tc>
          <w:tcPr>
            <w:tcW w:w="757" w:type="dxa"/>
          </w:tcPr>
          <w:p w:rsidR="007C35BB" w:rsidRPr="000E17C7" w:rsidRDefault="007C35BB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 w:rsidRPr="000E17C7">
              <w:rPr>
                <w:rFonts w:cs="Arial"/>
                <w:sz w:val="16"/>
                <w:szCs w:val="16"/>
              </w:rPr>
              <w:t>100</w:t>
            </w:r>
            <w:r w:rsidR="005B4A88" w:rsidRPr="000E17C7">
              <w:rPr>
                <w:rFonts w:cs="Arial"/>
                <w:sz w:val="16"/>
                <w:szCs w:val="16"/>
              </w:rPr>
              <w:t>%</w:t>
            </w:r>
          </w:p>
        </w:tc>
      </w:tr>
      <w:tr w:rsidR="007C35BB" w:rsidRPr="000E17C7" w:rsidTr="000E17C7">
        <w:tc>
          <w:tcPr>
            <w:tcW w:w="1683" w:type="dxa"/>
          </w:tcPr>
          <w:p w:rsidR="007C35BB" w:rsidRPr="000E17C7" w:rsidRDefault="007C35BB" w:rsidP="007F79B9">
            <w:pPr>
              <w:spacing w:beforeLines="40"/>
              <w:jc w:val="left"/>
              <w:rPr>
                <w:rFonts w:cs="Arial"/>
                <w:sz w:val="16"/>
                <w:szCs w:val="16"/>
              </w:rPr>
            </w:pPr>
            <w:r w:rsidRPr="000E17C7">
              <w:rPr>
                <w:rFonts w:cs="Arial"/>
                <w:sz w:val="16"/>
                <w:szCs w:val="16"/>
              </w:rPr>
              <w:t>Percent</w:t>
            </w:r>
          </w:p>
        </w:tc>
        <w:tc>
          <w:tcPr>
            <w:tcW w:w="856" w:type="dxa"/>
          </w:tcPr>
          <w:p w:rsidR="007C35BB" w:rsidRPr="000E17C7" w:rsidRDefault="0090734C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</w:t>
            </w:r>
            <w:r w:rsidR="007C35BB" w:rsidRPr="000E17C7">
              <w:rPr>
                <w:rFonts w:cs="Arial"/>
                <w:sz w:val="16"/>
                <w:szCs w:val="16"/>
              </w:rPr>
              <w:t xml:space="preserve"> %</w:t>
            </w:r>
          </w:p>
        </w:tc>
        <w:tc>
          <w:tcPr>
            <w:tcW w:w="1131" w:type="dxa"/>
          </w:tcPr>
          <w:p w:rsidR="007C35BB" w:rsidRPr="000E17C7" w:rsidRDefault="0090734C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  <w:r w:rsidR="007C35BB" w:rsidRPr="000E17C7">
              <w:rPr>
                <w:rFonts w:cs="Arial"/>
                <w:sz w:val="16"/>
                <w:szCs w:val="16"/>
              </w:rPr>
              <w:t xml:space="preserve"> %</w:t>
            </w:r>
          </w:p>
        </w:tc>
        <w:tc>
          <w:tcPr>
            <w:tcW w:w="621" w:type="dxa"/>
          </w:tcPr>
          <w:p w:rsidR="007C35BB" w:rsidRPr="000E17C7" w:rsidRDefault="007C35BB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7" w:type="dxa"/>
          </w:tcPr>
          <w:p w:rsidR="007C35BB" w:rsidRPr="000E17C7" w:rsidRDefault="007C35BB" w:rsidP="007F79B9">
            <w:pPr>
              <w:spacing w:beforeLines="4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7C35BB" w:rsidRDefault="007C35BB"/>
    <w:p w:rsidR="007C35BB" w:rsidRDefault="008A3A2E">
      <w:pPr>
        <w:rPr>
          <w:rFonts w:cs="Arial"/>
          <w:bCs/>
        </w:rPr>
        <w:sectPr w:rsidR="007C35BB"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  <w:r>
        <w:rPr>
          <w:bCs/>
        </w:rPr>
        <w:t xml:space="preserve">Most </w:t>
      </w:r>
      <w:r w:rsidR="007C35BB">
        <w:rPr>
          <w:bCs/>
        </w:rPr>
        <w:t>traditional services</w:t>
      </w:r>
      <w:r>
        <w:rPr>
          <w:bCs/>
        </w:rPr>
        <w:t xml:space="preserve"> and all new </w:t>
      </w:r>
      <w:r w:rsidR="007C35BB">
        <w:rPr>
          <w:bCs/>
        </w:rPr>
        <w:t>devel</w:t>
      </w:r>
      <w:r w:rsidR="002630E0">
        <w:rPr>
          <w:bCs/>
        </w:rPr>
        <w:t xml:space="preserve">opment of residential </w:t>
      </w:r>
      <w:r w:rsidR="002630E0" w:rsidRPr="00CC6D7D">
        <w:rPr>
          <w:bCs/>
        </w:rPr>
        <w:t xml:space="preserve">supports </w:t>
      </w:r>
      <w:r w:rsidRPr="00CC6D7D">
        <w:rPr>
          <w:bCs/>
        </w:rPr>
        <w:t>are</w:t>
      </w:r>
      <w:r w:rsidR="007C35BB" w:rsidRPr="00CC6D7D">
        <w:rPr>
          <w:bCs/>
        </w:rPr>
        <w:t xml:space="preserve"> </w:t>
      </w:r>
      <w:r w:rsidRPr="00CC6D7D">
        <w:rPr>
          <w:bCs/>
        </w:rPr>
        <w:t xml:space="preserve">contracted though </w:t>
      </w:r>
      <w:r w:rsidR="007C35BB" w:rsidRPr="00CC6D7D">
        <w:rPr>
          <w:bCs/>
        </w:rPr>
        <w:t>private provider</w:t>
      </w:r>
      <w:r w:rsidRPr="00CC6D7D">
        <w:rPr>
          <w:bCs/>
        </w:rPr>
        <w:t>s</w:t>
      </w:r>
      <w:r w:rsidR="007C35BB" w:rsidRPr="00CC6D7D">
        <w:rPr>
          <w:bCs/>
        </w:rPr>
        <w:t xml:space="preserve">.  </w:t>
      </w:r>
      <w:r w:rsidR="002630E0" w:rsidRPr="00CC6D7D">
        <w:rPr>
          <w:bCs/>
        </w:rPr>
        <w:t>DDS has worked to s</w:t>
      </w:r>
      <w:r w:rsidR="003749CC">
        <w:rPr>
          <w:bCs/>
        </w:rPr>
        <w:t>treamline and improve efficiencies</w:t>
      </w:r>
      <w:r w:rsidR="002630E0" w:rsidRPr="00CC6D7D">
        <w:rPr>
          <w:bCs/>
        </w:rPr>
        <w:t xml:space="preserve"> while maintaining services.  </w:t>
      </w:r>
      <w:r w:rsidR="003749CC">
        <w:rPr>
          <w:bCs/>
        </w:rPr>
        <w:t xml:space="preserve">In the coming years, </w:t>
      </w:r>
      <w:r w:rsidR="002630E0" w:rsidRPr="00CC6D7D">
        <w:rPr>
          <w:bCs/>
        </w:rPr>
        <w:t xml:space="preserve">DDS will be </w:t>
      </w:r>
      <w:r w:rsidR="003749CC">
        <w:rPr>
          <w:bCs/>
        </w:rPr>
        <w:t>shifting resources</w:t>
      </w:r>
      <w:r w:rsidR="002630E0" w:rsidRPr="00CC6D7D">
        <w:rPr>
          <w:bCs/>
        </w:rPr>
        <w:t xml:space="preserve"> from traditional services to family services. </w:t>
      </w:r>
      <w:r w:rsidR="007C35BB" w:rsidRPr="00CC6D7D">
        <w:rPr>
          <w:bCs/>
        </w:rPr>
        <w:t xml:space="preserve">DDS operates </w:t>
      </w:r>
      <w:r w:rsidR="0042123D" w:rsidRPr="00CC6D7D">
        <w:rPr>
          <w:bCs/>
        </w:rPr>
        <w:t>three</w:t>
      </w:r>
      <w:r w:rsidR="007C35BB" w:rsidRPr="00CC6D7D">
        <w:rPr>
          <w:bCs/>
        </w:rPr>
        <w:t xml:space="preserve"> Home and C</w:t>
      </w:r>
      <w:r w:rsidR="00A7222A">
        <w:rPr>
          <w:bCs/>
        </w:rPr>
        <w:t>ommunity Based Services (HCBS) w</w:t>
      </w:r>
      <w:r w:rsidR="007C35BB" w:rsidRPr="00CC6D7D">
        <w:rPr>
          <w:bCs/>
        </w:rPr>
        <w:t xml:space="preserve">aivers serving a total of </w:t>
      </w:r>
      <w:r w:rsidR="0042123D" w:rsidRPr="00CC6D7D">
        <w:rPr>
          <w:bCs/>
        </w:rPr>
        <w:t>8,638</w:t>
      </w:r>
      <w:r w:rsidR="007C35BB" w:rsidRPr="00CC6D7D">
        <w:rPr>
          <w:bCs/>
        </w:rPr>
        <w:t xml:space="preserve"> people</w:t>
      </w:r>
      <w:r w:rsidR="003749CC">
        <w:rPr>
          <w:bCs/>
        </w:rPr>
        <w:t xml:space="preserve"> and</w:t>
      </w:r>
      <w:r w:rsidR="007C35BB" w:rsidRPr="00CC6D7D">
        <w:rPr>
          <w:bCs/>
        </w:rPr>
        <w:t xml:space="preserve"> has requested</w:t>
      </w:r>
      <w:r w:rsidR="007C35BB">
        <w:rPr>
          <w:bCs/>
        </w:rPr>
        <w:t xml:space="preserve"> to expand service options through waiver renewal and amendment applicat</w:t>
      </w:r>
      <w:r w:rsidR="00A7222A">
        <w:rPr>
          <w:bCs/>
        </w:rPr>
        <w:t>ions to the Centers for Medicare and Medicaid</w:t>
      </w:r>
      <w:r w:rsidR="007C35BB">
        <w:rPr>
          <w:bCs/>
        </w:rPr>
        <w:t xml:space="preserve"> Services (CMS).  </w:t>
      </w:r>
      <w:r w:rsidR="003749CC">
        <w:rPr>
          <w:bCs/>
        </w:rPr>
        <w:t xml:space="preserve">Two of these requests were granted in late 2011. </w:t>
      </w:r>
      <w:r w:rsidR="007C35BB">
        <w:rPr>
          <w:bCs/>
        </w:rPr>
        <w:t xml:space="preserve">The department anticipates continued growth in the use of self-directed services over the next biennium. The department completed its third year of operating the Voluntary Services Program (VSP) for children who have </w:t>
      </w:r>
      <w:r w:rsidR="0046125B">
        <w:rPr>
          <w:bCs/>
        </w:rPr>
        <w:t>intellectual disabilit</w:t>
      </w:r>
      <w:r w:rsidR="0042123D">
        <w:rPr>
          <w:bCs/>
        </w:rPr>
        <w:t>ies</w:t>
      </w:r>
      <w:r w:rsidR="007C35BB">
        <w:rPr>
          <w:bCs/>
        </w:rPr>
        <w:t xml:space="preserve"> and a mental health diagnosis. Th</w:t>
      </w:r>
      <w:r w:rsidR="00787E7B">
        <w:rPr>
          <w:bCs/>
        </w:rPr>
        <w:t>e VSP</w:t>
      </w:r>
      <w:r w:rsidR="007C35BB">
        <w:rPr>
          <w:bCs/>
        </w:rPr>
        <w:t xml:space="preserve"> program supports over </w:t>
      </w:r>
      <w:r w:rsidR="003749CC">
        <w:rPr>
          <w:bCs/>
        </w:rPr>
        <w:t>490</w:t>
      </w:r>
      <w:r w:rsidR="0042123D">
        <w:rPr>
          <w:bCs/>
        </w:rPr>
        <w:t xml:space="preserve"> </w:t>
      </w:r>
      <w:r w:rsidR="007C35BB">
        <w:rPr>
          <w:bCs/>
        </w:rPr>
        <w:t>children and their families, serving the majority of them with in</w:t>
      </w:r>
      <w:r>
        <w:rPr>
          <w:bCs/>
        </w:rPr>
        <w:t>-</w:t>
      </w:r>
      <w:r w:rsidR="007C35BB">
        <w:rPr>
          <w:bCs/>
        </w:rPr>
        <w:t xml:space="preserve">home supports. </w:t>
      </w:r>
    </w:p>
    <w:p w:rsidR="007C35BB" w:rsidRDefault="007C35BB">
      <w:pPr>
        <w:rPr>
          <w:rFonts w:cs="Arial"/>
          <w:bCs/>
        </w:rPr>
      </w:pPr>
    </w:p>
    <w:p w:rsidR="004D1DD9" w:rsidRDefault="004D1DD9">
      <w:pPr>
        <w:spacing w:after="0"/>
        <w:jc w:val="left"/>
        <w:rPr>
          <w:rFonts w:ascii="Lucida Sans Unicode" w:hAnsi="Lucida Sans Unicode"/>
          <w:szCs w:val="16"/>
        </w:rPr>
      </w:pPr>
      <w:r>
        <w:rPr>
          <w:rFonts w:ascii="Lucida Sans Unicode" w:hAnsi="Lucida Sans Unicode"/>
        </w:rPr>
        <w:br w:type="page"/>
      </w:r>
    </w:p>
    <w:p w:rsidR="007C35BB" w:rsidRDefault="007C35BB">
      <w:pPr>
        <w:pStyle w:val="BalloonText"/>
        <w:rPr>
          <w:rFonts w:ascii="Lucida Sans Unicode" w:hAnsi="Lucida Sans Unicode" w:cs="Times New Roman"/>
        </w:rPr>
      </w:pPr>
    </w:p>
    <w:tbl>
      <w:tblPr>
        <w:tblW w:w="7209" w:type="dxa"/>
        <w:jc w:val="center"/>
        <w:tblInd w:w="-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/>
      </w:tblPr>
      <w:tblGrid>
        <w:gridCol w:w="3653"/>
        <w:gridCol w:w="889"/>
        <w:gridCol w:w="889"/>
        <w:gridCol w:w="889"/>
        <w:gridCol w:w="889"/>
      </w:tblGrid>
      <w:tr w:rsidR="00CC545B" w:rsidTr="0046125B">
        <w:trPr>
          <w:trHeight w:val="255"/>
          <w:jc w:val="center"/>
        </w:trPr>
        <w:tc>
          <w:tcPr>
            <w:tcW w:w="7209" w:type="dxa"/>
            <w:gridSpan w:val="5"/>
            <w:shd w:val="clear" w:color="auto" w:fill="E5EE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C545B" w:rsidRPr="00D25949" w:rsidRDefault="00CC545B" w:rsidP="00CC545B">
            <w:pPr>
              <w:pStyle w:val="Heading2"/>
            </w:pPr>
            <w:r w:rsidRPr="00D25949">
              <w:t>Outcome Measures</w:t>
            </w:r>
          </w:p>
        </w:tc>
      </w:tr>
      <w:tr w:rsidR="00CC545B" w:rsidRPr="00256605" w:rsidTr="0046125B">
        <w:trPr>
          <w:trHeight w:val="255"/>
          <w:jc w:val="center"/>
        </w:trPr>
        <w:tc>
          <w:tcPr>
            <w:tcW w:w="36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35BB" w:rsidRPr="00D25949" w:rsidRDefault="00D25949" w:rsidP="00256605">
            <w:pPr>
              <w:jc w:val="left"/>
              <w:rPr>
                <w:rFonts w:eastAsia="Arial Unicode MS" w:cs="Arial"/>
                <w:bCs/>
                <w:szCs w:val="18"/>
              </w:rPr>
            </w:pPr>
            <w:r w:rsidRPr="00D25949">
              <w:rPr>
                <w:rFonts w:cs="Arial"/>
                <w:bCs/>
                <w:szCs w:val="18"/>
              </w:rPr>
              <w:t>PROGRAM</w:t>
            </w: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35BB" w:rsidRPr="00D25949" w:rsidRDefault="007C35BB" w:rsidP="0046125B">
            <w:pPr>
              <w:jc w:val="right"/>
              <w:rPr>
                <w:rFonts w:eastAsia="Arial Unicode MS" w:cs="Arial"/>
                <w:bCs/>
                <w:szCs w:val="18"/>
              </w:rPr>
            </w:pPr>
            <w:r w:rsidRPr="00D25949">
              <w:rPr>
                <w:rFonts w:cs="Arial"/>
                <w:bCs/>
                <w:szCs w:val="18"/>
              </w:rPr>
              <w:t>FY</w:t>
            </w:r>
            <w:r w:rsidR="00FB252A">
              <w:rPr>
                <w:rFonts w:cs="Arial"/>
                <w:bCs/>
                <w:szCs w:val="18"/>
              </w:rPr>
              <w:t xml:space="preserve"> </w:t>
            </w:r>
            <w:r w:rsidRPr="00D25949">
              <w:rPr>
                <w:rFonts w:cs="Arial"/>
                <w:bCs/>
                <w:szCs w:val="18"/>
              </w:rPr>
              <w:t>20</w:t>
            </w:r>
            <w:r w:rsidR="0046125B">
              <w:rPr>
                <w:rFonts w:cs="Arial"/>
                <w:bCs/>
                <w:szCs w:val="18"/>
              </w:rPr>
              <w:t>09</w:t>
            </w: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35BB" w:rsidRPr="00D25949" w:rsidRDefault="007C35BB" w:rsidP="0046125B">
            <w:pPr>
              <w:jc w:val="right"/>
              <w:rPr>
                <w:rFonts w:eastAsia="Arial Unicode MS" w:cs="Arial"/>
                <w:bCs/>
                <w:szCs w:val="18"/>
              </w:rPr>
            </w:pPr>
            <w:r w:rsidRPr="00D25949">
              <w:rPr>
                <w:rFonts w:cs="Arial"/>
                <w:bCs/>
                <w:szCs w:val="18"/>
              </w:rPr>
              <w:t>FY</w:t>
            </w:r>
            <w:r w:rsidR="00FB252A">
              <w:rPr>
                <w:rFonts w:cs="Arial"/>
                <w:bCs/>
                <w:szCs w:val="18"/>
              </w:rPr>
              <w:t xml:space="preserve"> </w:t>
            </w:r>
            <w:r w:rsidRPr="00D25949">
              <w:rPr>
                <w:rFonts w:cs="Arial"/>
                <w:bCs/>
                <w:szCs w:val="18"/>
              </w:rPr>
              <w:t>20</w:t>
            </w:r>
            <w:r w:rsidR="0046125B">
              <w:rPr>
                <w:rFonts w:cs="Arial"/>
                <w:bCs/>
                <w:szCs w:val="18"/>
              </w:rPr>
              <w:t>10</w:t>
            </w: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35BB" w:rsidRPr="00D25949" w:rsidRDefault="0046125B" w:rsidP="0046125B">
            <w:pPr>
              <w:jc w:val="right"/>
              <w:rPr>
                <w:rFonts w:eastAsia="Arial Unicode MS" w:cs="Arial"/>
                <w:bCs/>
                <w:szCs w:val="18"/>
              </w:rPr>
            </w:pPr>
            <w:r>
              <w:rPr>
                <w:rFonts w:eastAsia="Arial Unicode MS" w:cs="Arial"/>
                <w:bCs/>
                <w:szCs w:val="18"/>
              </w:rPr>
              <w:t>FY</w:t>
            </w:r>
            <w:r w:rsidR="00FB252A">
              <w:rPr>
                <w:rFonts w:eastAsia="Arial Unicode MS" w:cs="Arial"/>
                <w:bCs/>
                <w:szCs w:val="18"/>
              </w:rPr>
              <w:t xml:space="preserve"> </w:t>
            </w:r>
            <w:r>
              <w:rPr>
                <w:rFonts w:eastAsia="Arial Unicode MS" w:cs="Arial"/>
                <w:bCs/>
                <w:szCs w:val="18"/>
              </w:rPr>
              <w:t>2011</w:t>
            </w:r>
          </w:p>
        </w:tc>
        <w:tc>
          <w:tcPr>
            <w:tcW w:w="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35BB" w:rsidRPr="00D25949" w:rsidRDefault="007C35BB" w:rsidP="0046125B">
            <w:pPr>
              <w:jc w:val="right"/>
              <w:rPr>
                <w:rFonts w:eastAsia="Arial Unicode MS" w:cs="Arial"/>
                <w:bCs/>
                <w:szCs w:val="18"/>
              </w:rPr>
            </w:pPr>
            <w:r w:rsidRPr="00D25949">
              <w:rPr>
                <w:rFonts w:eastAsia="Arial Unicode MS" w:cs="Arial"/>
                <w:bCs/>
                <w:szCs w:val="18"/>
              </w:rPr>
              <w:t>FY</w:t>
            </w:r>
            <w:r w:rsidR="00FB252A">
              <w:rPr>
                <w:rFonts w:eastAsia="Arial Unicode MS" w:cs="Arial"/>
                <w:bCs/>
                <w:szCs w:val="18"/>
              </w:rPr>
              <w:t xml:space="preserve"> </w:t>
            </w:r>
            <w:r w:rsidRPr="00D25949">
              <w:rPr>
                <w:rFonts w:eastAsia="Arial Unicode MS" w:cs="Arial"/>
                <w:bCs/>
                <w:szCs w:val="18"/>
              </w:rPr>
              <w:t>20</w:t>
            </w:r>
            <w:r w:rsidR="0046125B">
              <w:rPr>
                <w:rFonts w:eastAsia="Arial Unicode MS" w:cs="Arial"/>
                <w:bCs/>
                <w:szCs w:val="18"/>
              </w:rPr>
              <w:t>12</w:t>
            </w:r>
          </w:p>
        </w:tc>
      </w:tr>
      <w:tr w:rsidR="007C35BB" w:rsidRPr="00CC545B" w:rsidTr="0046125B">
        <w:trPr>
          <w:trHeight w:val="255"/>
          <w:jc w:val="center"/>
        </w:trPr>
        <w:tc>
          <w:tcPr>
            <w:tcW w:w="3653" w:type="dxa"/>
            <w:noWrap/>
            <w:vAlign w:val="bottom"/>
          </w:tcPr>
          <w:p w:rsidR="007C35BB" w:rsidRPr="00D25949" w:rsidRDefault="007C35BB" w:rsidP="00831111">
            <w:pPr>
              <w:jc w:val="left"/>
              <w:rPr>
                <w:rFonts w:eastAsia="Arial Unicode MS" w:cs="Arial"/>
                <w:szCs w:val="18"/>
              </w:rPr>
            </w:pPr>
            <w:r w:rsidRPr="00D25949">
              <w:rPr>
                <w:rFonts w:cs="Arial"/>
                <w:szCs w:val="18"/>
              </w:rPr>
              <w:t xml:space="preserve">Birth to Three </w:t>
            </w:r>
            <w:r w:rsidRPr="00D25949">
              <w:rPr>
                <w:rFonts w:cs="Arial"/>
                <w:szCs w:val="18"/>
              </w:rPr>
              <w:br/>
              <w:t>(</w:t>
            </w:r>
            <w:r w:rsidR="00831111">
              <w:rPr>
                <w:rFonts w:cs="Arial"/>
                <w:szCs w:val="18"/>
              </w:rPr>
              <w:t>Children with IFSPs on June 1 of each year</w:t>
            </w:r>
            <w:r w:rsidRPr="00D25949">
              <w:rPr>
                <w:rFonts w:cs="Arial"/>
                <w:szCs w:val="18"/>
              </w:rPr>
              <w:t>)</w:t>
            </w:r>
          </w:p>
        </w:tc>
        <w:tc>
          <w:tcPr>
            <w:tcW w:w="88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7C35BB" w:rsidRPr="00D25949" w:rsidRDefault="00831111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4</w:t>
            </w:r>
            <w:r w:rsidR="00FB252A">
              <w:rPr>
                <w:rFonts w:eastAsia="Arial Unicode MS" w:cs="Arial"/>
                <w:szCs w:val="18"/>
              </w:rPr>
              <w:t>,</w:t>
            </w:r>
            <w:r>
              <w:rPr>
                <w:rFonts w:eastAsia="Arial Unicode MS" w:cs="Arial"/>
                <w:szCs w:val="18"/>
              </w:rPr>
              <w:t>774</w:t>
            </w:r>
          </w:p>
        </w:tc>
        <w:tc>
          <w:tcPr>
            <w:tcW w:w="8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35BB" w:rsidRPr="00D25949" w:rsidRDefault="00831111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4</w:t>
            </w:r>
            <w:r w:rsidR="00FB252A">
              <w:rPr>
                <w:rFonts w:eastAsia="Arial Unicode MS" w:cs="Arial"/>
                <w:szCs w:val="18"/>
              </w:rPr>
              <w:t>,</w:t>
            </w:r>
            <w:r>
              <w:rPr>
                <w:rFonts w:eastAsia="Arial Unicode MS" w:cs="Arial"/>
                <w:szCs w:val="18"/>
              </w:rPr>
              <w:t>679</w:t>
            </w:r>
          </w:p>
        </w:tc>
        <w:tc>
          <w:tcPr>
            <w:tcW w:w="889" w:type="dxa"/>
            <w:noWrap/>
            <w:tcMar>
              <w:bottom w:w="0" w:type="dxa"/>
            </w:tcMar>
            <w:vAlign w:val="bottom"/>
          </w:tcPr>
          <w:p w:rsidR="007C35BB" w:rsidRPr="00D25949" w:rsidRDefault="00831111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4</w:t>
            </w:r>
            <w:r w:rsidR="00FB252A">
              <w:rPr>
                <w:rFonts w:eastAsia="Arial Unicode MS" w:cs="Arial"/>
                <w:szCs w:val="18"/>
              </w:rPr>
              <w:t>,</w:t>
            </w:r>
            <w:r>
              <w:rPr>
                <w:rFonts w:eastAsia="Arial Unicode MS" w:cs="Arial"/>
                <w:szCs w:val="18"/>
              </w:rPr>
              <w:t>553</w:t>
            </w:r>
          </w:p>
        </w:tc>
        <w:tc>
          <w:tcPr>
            <w:tcW w:w="889" w:type="dxa"/>
            <w:noWrap/>
            <w:tcMar>
              <w:bottom w:w="0" w:type="dxa"/>
            </w:tcMar>
            <w:vAlign w:val="bottom"/>
          </w:tcPr>
          <w:p w:rsidR="007C35BB" w:rsidRPr="00D25949" w:rsidRDefault="00831111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4</w:t>
            </w:r>
            <w:r w:rsidR="00354BE9">
              <w:rPr>
                <w:rFonts w:eastAsia="Arial Unicode MS" w:cs="Arial"/>
                <w:szCs w:val="18"/>
              </w:rPr>
              <w:t>,</w:t>
            </w:r>
            <w:r>
              <w:rPr>
                <w:rFonts w:eastAsia="Arial Unicode MS" w:cs="Arial"/>
                <w:szCs w:val="18"/>
              </w:rPr>
              <w:t>561</w:t>
            </w:r>
          </w:p>
        </w:tc>
      </w:tr>
      <w:tr w:rsidR="007C35BB" w:rsidRPr="00CC545B" w:rsidTr="0046125B">
        <w:trPr>
          <w:trHeight w:val="255"/>
          <w:jc w:val="center"/>
        </w:trPr>
        <w:tc>
          <w:tcPr>
            <w:tcW w:w="3653" w:type="dxa"/>
            <w:noWrap/>
            <w:vAlign w:val="bottom"/>
          </w:tcPr>
          <w:p w:rsidR="007C35BB" w:rsidRPr="00D25949" w:rsidRDefault="0031531C">
            <w:pPr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Self  Directed Residential </w:t>
            </w:r>
            <w:r w:rsidR="007C35BB" w:rsidRPr="00D25949">
              <w:rPr>
                <w:rFonts w:cs="Arial"/>
                <w:szCs w:val="18"/>
              </w:rPr>
              <w:t xml:space="preserve"> (Family or Own Home)</w:t>
            </w:r>
          </w:p>
        </w:tc>
        <w:tc>
          <w:tcPr>
            <w:tcW w:w="88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959</w:t>
            </w:r>
          </w:p>
        </w:tc>
        <w:tc>
          <w:tcPr>
            <w:tcW w:w="8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994</w:t>
            </w:r>
          </w:p>
        </w:tc>
        <w:tc>
          <w:tcPr>
            <w:tcW w:w="889" w:type="dxa"/>
            <w:noWrap/>
            <w:tcMar>
              <w:bottom w:w="0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1</w:t>
            </w:r>
            <w:r w:rsidR="00FB252A">
              <w:rPr>
                <w:rFonts w:eastAsia="Arial Unicode MS" w:cs="Arial"/>
                <w:szCs w:val="18"/>
              </w:rPr>
              <w:t>,</w:t>
            </w:r>
            <w:r>
              <w:rPr>
                <w:rFonts w:eastAsia="Arial Unicode MS" w:cs="Arial"/>
                <w:szCs w:val="18"/>
              </w:rPr>
              <w:t>014</w:t>
            </w:r>
          </w:p>
        </w:tc>
        <w:tc>
          <w:tcPr>
            <w:tcW w:w="889" w:type="dxa"/>
            <w:noWrap/>
            <w:tcMar>
              <w:bottom w:w="0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1</w:t>
            </w:r>
            <w:r w:rsidR="00FB252A">
              <w:rPr>
                <w:rFonts w:eastAsia="Arial Unicode MS" w:cs="Arial"/>
                <w:szCs w:val="18"/>
              </w:rPr>
              <w:t>,</w:t>
            </w:r>
            <w:r>
              <w:rPr>
                <w:rFonts w:eastAsia="Arial Unicode MS" w:cs="Arial"/>
                <w:szCs w:val="18"/>
              </w:rPr>
              <w:t>059</w:t>
            </w:r>
          </w:p>
        </w:tc>
      </w:tr>
      <w:tr w:rsidR="007C35BB" w:rsidRPr="00CC545B" w:rsidTr="0046125B">
        <w:trPr>
          <w:trHeight w:val="255"/>
          <w:jc w:val="center"/>
        </w:trPr>
        <w:tc>
          <w:tcPr>
            <w:tcW w:w="3653" w:type="dxa"/>
            <w:noWrap/>
            <w:vAlign w:val="bottom"/>
          </w:tcPr>
          <w:p w:rsidR="007C35BB" w:rsidRPr="00D25949" w:rsidRDefault="007C35BB">
            <w:pPr>
              <w:jc w:val="left"/>
              <w:rPr>
                <w:rFonts w:cs="Arial"/>
                <w:szCs w:val="18"/>
              </w:rPr>
            </w:pPr>
            <w:r w:rsidRPr="00D25949">
              <w:rPr>
                <w:rFonts w:cs="Arial"/>
                <w:szCs w:val="18"/>
              </w:rPr>
              <w:t>Self Directed Employment and Day</w:t>
            </w:r>
          </w:p>
        </w:tc>
        <w:tc>
          <w:tcPr>
            <w:tcW w:w="88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213</w:t>
            </w:r>
          </w:p>
        </w:tc>
        <w:tc>
          <w:tcPr>
            <w:tcW w:w="8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237</w:t>
            </w:r>
          </w:p>
        </w:tc>
        <w:tc>
          <w:tcPr>
            <w:tcW w:w="889" w:type="dxa"/>
            <w:noWrap/>
            <w:tcMar>
              <w:bottom w:w="0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245</w:t>
            </w:r>
          </w:p>
        </w:tc>
        <w:tc>
          <w:tcPr>
            <w:tcW w:w="889" w:type="dxa"/>
            <w:noWrap/>
            <w:tcMar>
              <w:bottom w:w="0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274</w:t>
            </w:r>
          </w:p>
        </w:tc>
      </w:tr>
      <w:tr w:rsidR="007C35BB" w:rsidRPr="00CC545B" w:rsidTr="0046125B">
        <w:trPr>
          <w:trHeight w:val="255"/>
          <w:jc w:val="center"/>
        </w:trPr>
        <w:tc>
          <w:tcPr>
            <w:tcW w:w="3653" w:type="dxa"/>
            <w:noWrap/>
            <w:vAlign w:val="bottom"/>
          </w:tcPr>
          <w:p w:rsidR="007C35BB" w:rsidRPr="00D25949" w:rsidRDefault="007C35BB">
            <w:pPr>
              <w:jc w:val="left"/>
              <w:rPr>
                <w:rFonts w:eastAsia="Arial Unicode MS" w:cs="Arial"/>
                <w:szCs w:val="18"/>
              </w:rPr>
            </w:pPr>
            <w:r w:rsidRPr="00D25949">
              <w:rPr>
                <w:rFonts w:cs="Arial"/>
                <w:szCs w:val="18"/>
              </w:rPr>
              <w:t>Private Community</w:t>
            </w:r>
          </w:p>
        </w:tc>
        <w:tc>
          <w:tcPr>
            <w:tcW w:w="88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3</w:t>
            </w:r>
            <w:r w:rsidR="00FB252A">
              <w:rPr>
                <w:rFonts w:eastAsia="Arial Unicode MS" w:cs="Arial"/>
                <w:szCs w:val="18"/>
              </w:rPr>
              <w:t>,</w:t>
            </w:r>
            <w:r>
              <w:rPr>
                <w:rFonts w:eastAsia="Arial Unicode MS" w:cs="Arial"/>
                <w:szCs w:val="18"/>
              </w:rPr>
              <w:t>657</w:t>
            </w:r>
          </w:p>
        </w:tc>
        <w:tc>
          <w:tcPr>
            <w:tcW w:w="8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4</w:t>
            </w:r>
            <w:r w:rsidR="00FB252A">
              <w:rPr>
                <w:rFonts w:eastAsia="Arial Unicode MS" w:cs="Arial"/>
                <w:szCs w:val="18"/>
              </w:rPr>
              <w:t>,</w:t>
            </w:r>
            <w:r>
              <w:rPr>
                <w:rFonts w:eastAsia="Arial Unicode MS" w:cs="Arial"/>
                <w:szCs w:val="18"/>
              </w:rPr>
              <w:t>026</w:t>
            </w:r>
          </w:p>
        </w:tc>
        <w:tc>
          <w:tcPr>
            <w:tcW w:w="889" w:type="dxa"/>
            <w:noWrap/>
            <w:tcMar>
              <w:bottom w:w="0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4</w:t>
            </w:r>
            <w:r w:rsidR="00FB252A">
              <w:rPr>
                <w:rFonts w:eastAsia="Arial Unicode MS" w:cs="Arial"/>
                <w:szCs w:val="18"/>
              </w:rPr>
              <w:t>,</w:t>
            </w:r>
            <w:r>
              <w:rPr>
                <w:rFonts w:eastAsia="Arial Unicode MS" w:cs="Arial"/>
                <w:szCs w:val="18"/>
              </w:rPr>
              <w:t>179</w:t>
            </w:r>
          </w:p>
        </w:tc>
        <w:tc>
          <w:tcPr>
            <w:tcW w:w="889" w:type="dxa"/>
            <w:noWrap/>
            <w:tcMar>
              <w:bottom w:w="0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4</w:t>
            </w:r>
            <w:r w:rsidR="00FB252A">
              <w:rPr>
                <w:rFonts w:eastAsia="Arial Unicode MS" w:cs="Arial"/>
                <w:szCs w:val="18"/>
              </w:rPr>
              <w:t>,</w:t>
            </w:r>
            <w:r>
              <w:rPr>
                <w:rFonts w:eastAsia="Arial Unicode MS" w:cs="Arial"/>
                <w:szCs w:val="18"/>
              </w:rPr>
              <w:t>222</w:t>
            </w:r>
          </w:p>
        </w:tc>
      </w:tr>
      <w:tr w:rsidR="007C35BB" w:rsidRPr="00CC545B" w:rsidTr="0046125B">
        <w:trPr>
          <w:trHeight w:val="255"/>
          <w:jc w:val="center"/>
        </w:trPr>
        <w:tc>
          <w:tcPr>
            <w:tcW w:w="3653" w:type="dxa"/>
            <w:noWrap/>
            <w:vAlign w:val="bottom"/>
          </w:tcPr>
          <w:p w:rsidR="007C35BB" w:rsidRPr="00D25949" w:rsidRDefault="007C35BB">
            <w:pPr>
              <w:jc w:val="left"/>
              <w:rPr>
                <w:rFonts w:eastAsia="Arial Unicode MS" w:cs="Arial"/>
                <w:szCs w:val="18"/>
              </w:rPr>
            </w:pPr>
            <w:r w:rsidRPr="00D25949">
              <w:rPr>
                <w:rFonts w:cs="Arial"/>
                <w:szCs w:val="18"/>
              </w:rPr>
              <w:t xml:space="preserve">Public Community </w:t>
            </w:r>
          </w:p>
        </w:tc>
        <w:tc>
          <w:tcPr>
            <w:tcW w:w="88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537</w:t>
            </w:r>
          </w:p>
        </w:tc>
        <w:tc>
          <w:tcPr>
            <w:tcW w:w="8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453</w:t>
            </w:r>
          </w:p>
        </w:tc>
        <w:tc>
          <w:tcPr>
            <w:tcW w:w="889" w:type="dxa"/>
            <w:noWrap/>
            <w:tcMar>
              <w:bottom w:w="0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408</w:t>
            </w:r>
          </w:p>
        </w:tc>
        <w:tc>
          <w:tcPr>
            <w:tcW w:w="889" w:type="dxa"/>
            <w:noWrap/>
            <w:tcMar>
              <w:bottom w:w="0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386</w:t>
            </w:r>
          </w:p>
        </w:tc>
      </w:tr>
      <w:tr w:rsidR="007C35BB" w:rsidRPr="00CC545B" w:rsidTr="0046125B">
        <w:trPr>
          <w:trHeight w:val="255"/>
          <w:jc w:val="center"/>
        </w:trPr>
        <w:tc>
          <w:tcPr>
            <w:tcW w:w="3653" w:type="dxa"/>
            <w:noWrap/>
            <w:vAlign w:val="bottom"/>
          </w:tcPr>
          <w:p w:rsidR="007C35BB" w:rsidRPr="00D25949" w:rsidRDefault="007C35BB">
            <w:pPr>
              <w:jc w:val="left"/>
              <w:rPr>
                <w:rFonts w:eastAsia="Arial Unicode MS" w:cs="Arial"/>
                <w:szCs w:val="18"/>
              </w:rPr>
            </w:pPr>
            <w:r w:rsidRPr="00D25949">
              <w:rPr>
                <w:rFonts w:cs="Arial"/>
                <w:szCs w:val="18"/>
              </w:rPr>
              <w:t>Public Campus</w:t>
            </w:r>
          </w:p>
        </w:tc>
        <w:tc>
          <w:tcPr>
            <w:tcW w:w="88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723</w:t>
            </w:r>
          </w:p>
        </w:tc>
        <w:tc>
          <w:tcPr>
            <w:tcW w:w="8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686</w:t>
            </w:r>
          </w:p>
        </w:tc>
        <w:tc>
          <w:tcPr>
            <w:tcW w:w="889" w:type="dxa"/>
            <w:noWrap/>
            <w:tcMar>
              <w:bottom w:w="0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656</w:t>
            </w:r>
          </w:p>
        </w:tc>
        <w:tc>
          <w:tcPr>
            <w:tcW w:w="889" w:type="dxa"/>
            <w:noWrap/>
            <w:tcMar>
              <w:bottom w:w="0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612</w:t>
            </w:r>
          </w:p>
        </w:tc>
      </w:tr>
      <w:tr w:rsidR="007C35BB" w:rsidRPr="00CC545B" w:rsidTr="0046125B">
        <w:trPr>
          <w:trHeight w:val="255"/>
          <w:jc w:val="center"/>
        </w:trPr>
        <w:tc>
          <w:tcPr>
            <w:tcW w:w="3653" w:type="dxa"/>
            <w:noWrap/>
            <w:vAlign w:val="bottom"/>
          </w:tcPr>
          <w:p w:rsidR="007C35BB" w:rsidRPr="00D25949" w:rsidRDefault="007C35BB">
            <w:pPr>
              <w:jc w:val="left"/>
              <w:rPr>
                <w:rFonts w:eastAsia="Arial Unicode MS" w:cs="Arial"/>
                <w:szCs w:val="18"/>
              </w:rPr>
            </w:pPr>
            <w:r w:rsidRPr="00D25949">
              <w:rPr>
                <w:rFonts w:cs="Arial"/>
                <w:szCs w:val="18"/>
              </w:rPr>
              <w:t xml:space="preserve">Employment and Day </w:t>
            </w:r>
          </w:p>
        </w:tc>
        <w:tc>
          <w:tcPr>
            <w:tcW w:w="88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9</w:t>
            </w:r>
            <w:r w:rsidR="00FB252A">
              <w:rPr>
                <w:rFonts w:eastAsia="Arial Unicode MS" w:cs="Arial"/>
                <w:szCs w:val="18"/>
              </w:rPr>
              <w:t>,</w:t>
            </w:r>
            <w:r>
              <w:rPr>
                <w:rFonts w:eastAsia="Arial Unicode MS" w:cs="Arial"/>
                <w:szCs w:val="18"/>
              </w:rPr>
              <w:t>653</w:t>
            </w:r>
          </w:p>
        </w:tc>
        <w:tc>
          <w:tcPr>
            <w:tcW w:w="8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9</w:t>
            </w:r>
            <w:r w:rsidR="00FB252A">
              <w:rPr>
                <w:rFonts w:eastAsia="Arial Unicode MS" w:cs="Arial"/>
                <w:szCs w:val="18"/>
              </w:rPr>
              <w:t>,</w:t>
            </w:r>
            <w:r>
              <w:rPr>
                <w:rFonts w:eastAsia="Arial Unicode MS" w:cs="Arial"/>
                <w:szCs w:val="18"/>
              </w:rPr>
              <w:t>788</w:t>
            </w:r>
          </w:p>
        </w:tc>
        <w:tc>
          <w:tcPr>
            <w:tcW w:w="889" w:type="dxa"/>
            <w:noWrap/>
            <w:tcMar>
              <w:bottom w:w="0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9</w:t>
            </w:r>
            <w:r w:rsidR="00FB252A">
              <w:rPr>
                <w:rFonts w:eastAsia="Arial Unicode MS" w:cs="Arial"/>
                <w:szCs w:val="18"/>
              </w:rPr>
              <w:t>,</w:t>
            </w:r>
            <w:r>
              <w:rPr>
                <w:rFonts w:eastAsia="Arial Unicode MS" w:cs="Arial"/>
                <w:szCs w:val="18"/>
              </w:rPr>
              <w:t>912</w:t>
            </w:r>
          </w:p>
        </w:tc>
        <w:tc>
          <w:tcPr>
            <w:tcW w:w="889" w:type="dxa"/>
            <w:noWrap/>
            <w:tcMar>
              <w:bottom w:w="0" w:type="dxa"/>
            </w:tcMar>
            <w:vAlign w:val="bottom"/>
          </w:tcPr>
          <w:p w:rsidR="007C35BB" w:rsidRPr="00D25949" w:rsidRDefault="0046125B" w:rsidP="00CC545B">
            <w:pPr>
              <w:jc w:val="right"/>
              <w:rPr>
                <w:rFonts w:eastAsia="Arial Unicode MS" w:cs="Arial"/>
                <w:szCs w:val="18"/>
              </w:rPr>
            </w:pPr>
            <w:r>
              <w:rPr>
                <w:rFonts w:eastAsia="Arial Unicode MS" w:cs="Arial"/>
                <w:szCs w:val="18"/>
              </w:rPr>
              <w:t>10</w:t>
            </w:r>
            <w:r w:rsidR="00FB252A">
              <w:rPr>
                <w:rFonts w:eastAsia="Arial Unicode MS" w:cs="Arial"/>
                <w:szCs w:val="18"/>
              </w:rPr>
              <w:t>,</w:t>
            </w:r>
            <w:r>
              <w:rPr>
                <w:rFonts w:eastAsia="Arial Unicode MS" w:cs="Arial"/>
                <w:szCs w:val="18"/>
              </w:rPr>
              <w:t>092</w:t>
            </w:r>
          </w:p>
        </w:tc>
      </w:tr>
    </w:tbl>
    <w:p w:rsidR="007C35BB" w:rsidRPr="0031531C" w:rsidRDefault="007C35BB" w:rsidP="0031531C">
      <w:pPr>
        <w:pStyle w:val="BalloonText"/>
        <w:rPr>
          <w:rFonts w:ascii="Lucida Sans Unicode" w:hAnsi="Lucida Sans Unicode" w:cs="Times New Roman"/>
        </w:rPr>
        <w:sectPr w:rsidR="007C35BB" w:rsidRPr="0031531C">
          <w:footerReference w:type="even" r:id="rId12"/>
          <w:type w:val="continuous"/>
          <w:pgSz w:w="12240" w:h="15840"/>
          <w:pgMar w:top="864" w:right="720" w:bottom="1152" w:left="720" w:header="432" w:footer="288" w:gutter="216"/>
          <w:cols w:space="720"/>
        </w:sectPr>
      </w:pPr>
    </w:p>
    <w:p w:rsidR="002630E0" w:rsidRPr="00CC6D7D" w:rsidRDefault="002630E0" w:rsidP="002630E0">
      <w:pPr>
        <w:rPr>
          <w:rFonts w:cs="Arial"/>
        </w:rPr>
      </w:pPr>
    </w:p>
    <w:p w:rsidR="007C35BB" w:rsidRDefault="007C35BB">
      <w:pPr>
        <w:rPr>
          <w:rFonts w:cs="Arial"/>
        </w:rPr>
        <w:sectPr w:rsidR="007C35BB"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  <w:r>
        <w:rPr>
          <w:rFonts w:cs="Arial"/>
        </w:rPr>
        <w:lastRenderedPageBreak/>
        <w:t xml:space="preserve">  </w:t>
      </w:r>
    </w:p>
    <w:p w:rsidR="0037248B" w:rsidRDefault="0037248B" w:rsidP="0037248B"/>
    <w:p w:rsidR="007C35BB" w:rsidRPr="0037248B" w:rsidRDefault="00C6367E" w:rsidP="00001D83">
      <w:pPr>
        <w:pStyle w:val="ProgramHead"/>
        <w:jc w:val="center"/>
      </w:pPr>
      <w:r w:rsidRPr="0037248B">
        <w:fldChar w:fldCharType="begin"/>
      </w:r>
      <w:r w:rsidR="007C35BB" w:rsidRPr="0037248B">
        <w:instrText xml:space="preserve"> XE "DDS50000 53002" </w:instrText>
      </w:r>
      <w:r w:rsidRPr="0037248B">
        <w:fldChar w:fldCharType="end"/>
      </w:r>
      <w:r w:rsidR="007C35BB" w:rsidRPr="0037248B">
        <w:t>Resource and SERVICES</w:t>
      </w:r>
    </w:p>
    <w:p w:rsidR="007C35BB" w:rsidRPr="0037248B" w:rsidRDefault="007C35BB" w:rsidP="0037248B">
      <w:pPr>
        <w:pStyle w:val="ProgramHead"/>
        <w:sectPr w:rsidR="007C35BB" w:rsidRPr="0037248B">
          <w:type w:val="continuous"/>
          <w:pgSz w:w="12240" w:h="15840"/>
          <w:pgMar w:top="864" w:right="720" w:bottom="1152" w:left="720" w:header="432" w:footer="288" w:gutter="216"/>
          <w:cols w:space="720"/>
        </w:sectPr>
      </w:pPr>
    </w:p>
    <w:p w:rsidR="007C35BB" w:rsidRDefault="007C35BB" w:rsidP="00EB73EB">
      <w:pPr>
        <w:pStyle w:val="Heading2"/>
      </w:pPr>
      <w:r>
        <w:lastRenderedPageBreak/>
        <w:t xml:space="preserve">Statutory Reference </w:t>
      </w:r>
    </w:p>
    <w:p w:rsidR="007C35BB" w:rsidRDefault="007C35BB">
      <w:proofErr w:type="gramStart"/>
      <w:r>
        <w:t>C.G.S. Section 17a-210</w:t>
      </w:r>
      <w:r w:rsidR="00A7222A">
        <w:t>.</w:t>
      </w:r>
      <w:proofErr w:type="gramEnd"/>
    </w:p>
    <w:p w:rsidR="007C35BB" w:rsidRDefault="007C35BB" w:rsidP="00EB73EB">
      <w:pPr>
        <w:pStyle w:val="Heading2"/>
      </w:pPr>
      <w:r>
        <w:t>Statement of Need and Program Objectives</w:t>
      </w:r>
    </w:p>
    <w:p w:rsidR="007C35BB" w:rsidRDefault="008B7206">
      <w:r>
        <w:t xml:space="preserve">The Resource and Services program </w:t>
      </w:r>
      <w:r w:rsidR="007C35BB">
        <w:t>assist</w:t>
      </w:r>
      <w:r>
        <w:t>s</w:t>
      </w:r>
      <w:r w:rsidR="007C35BB">
        <w:t xml:space="preserve"> individuals with </w:t>
      </w:r>
      <w:r w:rsidR="0046125B">
        <w:t>intellectual disabilities</w:t>
      </w:r>
      <w:r w:rsidR="007C35BB">
        <w:t xml:space="preserve"> or </w:t>
      </w:r>
      <w:proofErr w:type="spellStart"/>
      <w:r w:rsidR="007C35BB">
        <w:t>Prader-Willi</w:t>
      </w:r>
      <w:proofErr w:type="spellEnd"/>
      <w:r w:rsidR="007C35BB">
        <w:t xml:space="preserve"> Syndrome, infants and toddlers with significant developmental delays who are enrolled in the Birth to Three program and adults </w:t>
      </w:r>
      <w:r>
        <w:t>served by the</w:t>
      </w:r>
      <w:r w:rsidR="007C35BB">
        <w:t xml:space="preserve"> </w:t>
      </w:r>
      <w:r w:rsidR="00F56167">
        <w:t xml:space="preserve">Autism </w:t>
      </w:r>
      <w:r w:rsidR="00D32D30" w:rsidRPr="008D2827">
        <w:t>Division</w:t>
      </w:r>
      <w:r w:rsidR="007C35BB" w:rsidRPr="008D2827">
        <w:t xml:space="preserve"> </w:t>
      </w:r>
      <w:r w:rsidR="00787E7B">
        <w:lastRenderedPageBreak/>
        <w:t>(individuals</w:t>
      </w:r>
      <w:r w:rsidR="00F56167">
        <w:t xml:space="preserve"> on the autism spectrum but </w:t>
      </w:r>
      <w:r w:rsidR="00787E7B">
        <w:t xml:space="preserve">without </w:t>
      </w:r>
      <w:r w:rsidR="0046125B">
        <w:t>intellectual disability</w:t>
      </w:r>
      <w:r w:rsidR="00F56167">
        <w:t xml:space="preserve">) </w:t>
      </w:r>
      <w:r w:rsidR="007C35BB">
        <w:t>and their families</w:t>
      </w:r>
      <w:r w:rsidR="00787E7B">
        <w:t xml:space="preserve">.   </w:t>
      </w:r>
      <w:r w:rsidR="00F56167">
        <w:t>Th</w:t>
      </w:r>
      <w:r w:rsidR="00787E7B">
        <w:t>is</w:t>
      </w:r>
      <w:r w:rsidR="00F56167">
        <w:t xml:space="preserve"> program </w:t>
      </w:r>
      <w:r w:rsidR="007C35BB">
        <w:t>coordinate</w:t>
      </w:r>
      <w:r w:rsidR="00F56167">
        <w:t>s</w:t>
      </w:r>
      <w:r w:rsidR="007C35BB">
        <w:t xml:space="preserve"> the planning, development and administration of a system of supports and services based on individual needs and preferences. </w:t>
      </w:r>
      <w:r w:rsidR="00787E7B">
        <w:t xml:space="preserve">Efforts are made </w:t>
      </w:r>
      <w:r w:rsidR="00F56167">
        <w:t>to maximize federal resources, promote</w:t>
      </w:r>
      <w:r w:rsidR="007C35BB">
        <w:t xml:space="preserve"> and ensure quality services and</w:t>
      </w:r>
      <w:r w:rsidR="00F56167">
        <w:t xml:space="preserve"> supports and </w:t>
      </w:r>
      <w:r w:rsidR="007C35BB">
        <w:t>coordinate training and staff development for department employees and private sector staff.</w:t>
      </w:r>
    </w:p>
    <w:p w:rsidR="007C35BB" w:rsidRDefault="007C35BB">
      <w:pPr>
        <w:sectPr w:rsidR="007C35BB"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</w:p>
    <w:p w:rsidR="007C35BB" w:rsidRDefault="007C35BB"/>
    <w:p w:rsidR="007C35BB" w:rsidRDefault="00C6367E" w:rsidP="0037248B">
      <w:pPr>
        <w:pStyle w:val="SubProgramHead0"/>
        <w:sectPr w:rsidR="007C35BB">
          <w:type w:val="continuous"/>
          <w:pgSz w:w="12240" w:h="15840"/>
          <w:pgMar w:top="864" w:right="720" w:bottom="1152" w:left="720" w:header="432" w:footer="288" w:gutter="216"/>
          <w:cols w:space="720"/>
        </w:sectPr>
      </w:pPr>
      <w:r>
        <w:fldChar w:fldCharType="begin"/>
      </w:r>
      <w:r w:rsidR="007C35BB">
        <w:instrText xml:space="preserve"> XE "DDS50000 53003" </w:instrText>
      </w:r>
      <w:r>
        <w:fldChar w:fldCharType="end"/>
      </w:r>
      <w:r w:rsidR="007C35BB">
        <w:t>Case Management</w:t>
      </w:r>
    </w:p>
    <w:p w:rsidR="007C35BB" w:rsidRDefault="007C35BB" w:rsidP="00EB73EB">
      <w:pPr>
        <w:pStyle w:val="Heading2"/>
      </w:pPr>
      <w:r>
        <w:lastRenderedPageBreak/>
        <w:t xml:space="preserve">Statutory Reference </w:t>
      </w:r>
    </w:p>
    <w:p w:rsidR="007C35BB" w:rsidRDefault="007C35BB" w:rsidP="00EB73EB">
      <w:proofErr w:type="gramStart"/>
      <w:r>
        <w:t>C.G.S. Section 17a-210</w:t>
      </w:r>
      <w:r w:rsidR="00A7222A">
        <w:t>.</w:t>
      </w:r>
      <w:proofErr w:type="gramEnd"/>
    </w:p>
    <w:p w:rsidR="007C35BB" w:rsidRDefault="007C35BB" w:rsidP="00EB73EB">
      <w:pPr>
        <w:pStyle w:val="Heading2"/>
      </w:pPr>
      <w:r>
        <w:t xml:space="preserve">Program Description </w:t>
      </w:r>
    </w:p>
    <w:p w:rsidR="007C35BB" w:rsidRDefault="007C35BB" w:rsidP="008165D9">
      <w:r>
        <w:t xml:space="preserve">Case management is available to individuals eligible for DDS services. </w:t>
      </w:r>
      <w:r w:rsidR="008554F8">
        <w:t>P</w:t>
      </w:r>
      <w:r w:rsidR="00301922">
        <w:t>ersonnel from the DDS regional offices provided</w:t>
      </w:r>
      <w:r>
        <w:t xml:space="preserve"> this service to more than 15,</w:t>
      </w:r>
      <w:r w:rsidR="0046125B">
        <w:t>858</w:t>
      </w:r>
      <w:r>
        <w:t xml:space="preserve"> clients in FY</w:t>
      </w:r>
      <w:r w:rsidR="007E5A57">
        <w:t xml:space="preserve"> </w:t>
      </w:r>
      <w:r>
        <w:t>20</w:t>
      </w:r>
      <w:r w:rsidR="0046125B">
        <w:t>12</w:t>
      </w:r>
      <w:r>
        <w:t xml:space="preserve">. Case management is designed </w:t>
      </w:r>
      <w:r>
        <w:lastRenderedPageBreak/>
        <w:t>to assist individuals and their families to plan for and coordinate needed supports and services, including those directly provided by DDS, purchased from private providers or self-directed.</w:t>
      </w:r>
    </w:p>
    <w:p w:rsidR="00114598" w:rsidRDefault="00114598" w:rsidP="008165D9">
      <w:r>
        <w:t>In FY 2010</w:t>
      </w:r>
      <w:r w:rsidR="00787E7B">
        <w:t>,</w:t>
      </w:r>
      <w:r>
        <w:t xml:space="preserve"> DDS created a regional based Helpline that </w:t>
      </w:r>
      <w:r w:rsidR="00301922">
        <w:t>assists</w:t>
      </w:r>
      <w:r>
        <w:t xml:space="preserve"> over 3,000 individuals and their families </w:t>
      </w:r>
      <w:r w:rsidR="00301922">
        <w:t>each year to access services.</w:t>
      </w:r>
    </w:p>
    <w:p w:rsidR="007C35BB" w:rsidRDefault="007C35BB">
      <w:pPr>
        <w:sectPr w:rsidR="007C35BB"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</w:p>
    <w:p w:rsidR="007C35BB" w:rsidRDefault="007C35BB"/>
    <w:p w:rsidR="007C35BB" w:rsidRDefault="00C6367E" w:rsidP="0037248B">
      <w:pPr>
        <w:pStyle w:val="SubProgramHead0"/>
        <w:sectPr w:rsidR="007C35BB">
          <w:type w:val="continuous"/>
          <w:pgSz w:w="12240" w:h="15840"/>
          <w:pgMar w:top="864" w:right="720" w:bottom="1152" w:left="720" w:header="432" w:footer="288" w:gutter="216"/>
          <w:cols w:space="720"/>
        </w:sectPr>
      </w:pPr>
      <w:r>
        <w:fldChar w:fldCharType="begin"/>
      </w:r>
      <w:r w:rsidR="007C35BB">
        <w:instrText xml:space="preserve"> XE "DDS50000 53004" </w:instrText>
      </w:r>
      <w:r>
        <w:fldChar w:fldCharType="end"/>
      </w:r>
      <w:r w:rsidR="007C35BB">
        <w:t>Family Support</w:t>
      </w:r>
    </w:p>
    <w:p w:rsidR="007C35BB" w:rsidRDefault="007C35BB" w:rsidP="00EB73EB">
      <w:pPr>
        <w:pStyle w:val="Heading2"/>
      </w:pPr>
      <w:r>
        <w:lastRenderedPageBreak/>
        <w:t xml:space="preserve">Statutory Reference </w:t>
      </w:r>
    </w:p>
    <w:p w:rsidR="007C35BB" w:rsidRDefault="007C35BB">
      <w:r>
        <w:t>C.G.S. Section</w:t>
      </w:r>
      <w:r w:rsidR="004015B6">
        <w:t>s</w:t>
      </w:r>
      <w:r>
        <w:t xml:space="preserve"> 17</w:t>
      </w:r>
      <w:r w:rsidR="00A7222A">
        <w:t>a-210 and 17a-218, and 17a-219a.</w:t>
      </w:r>
    </w:p>
    <w:p w:rsidR="007C35BB" w:rsidRDefault="007C35BB" w:rsidP="00EB73EB">
      <w:pPr>
        <w:pStyle w:val="Heading2"/>
      </w:pPr>
      <w:r>
        <w:t xml:space="preserve">Program Description </w:t>
      </w:r>
    </w:p>
    <w:p w:rsidR="007C35BB" w:rsidRDefault="007C35BB" w:rsidP="000B476E">
      <w:pPr>
        <w:jc w:val="left"/>
        <w:sectPr w:rsidR="007C35BB"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  <w:r>
        <w:t>Family supports are available to assist</w:t>
      </w:r>
      <w:r w:rsidR="005E2735">
        <w:t xml:space="preserve"> individuals and their families </w:t>
      </w:r>
      <w:r w:rsidR="008554F8">
        <w:t>to</w:t>
      </w:r>
      <w:r>
        <w:t xml:space="preserve"> live at home. Supports may include respite, financial assistance to </w:t>
      </w:r>
      <w:r>
        <w:lastRenderedPageBreak/>
        <w:t xml:space="preserve">families to purchase respite and family support grants to defray extraordinary expenses.   </w:t>
      </w:r>
    </w:p>
    <w:p w:rsidR="007C35BB" w:rsidRDefault="007C35BB"/>
    <w:p w:rsidR="007C35BB" w:rsidRDefault="00C6367E" w:rsidP="0037248B">
      <w:pPr>
        <w:pStyle w:val="SubProgramHead0"/>
        <w:sectPr w:rsidR="007C35BB">
          <w:footerReference w:type="default" r:id="rId13"/>
          <w:type w:val="continuous"/>
          <w:pgSz w:w="12240" w:h="15840"/>
          <w:pgMar w:top="864" w:right="720" w:bottom="1152" w:left="720" w:header="432" w:footer="288" w:gutter="216"/>
          <w:cols w:space="720"/>
        </w:sectPr>
      </w:pPr>
      <w:r>
        <w:fldChar w:fldCharType="begin"/>
      </w:r>
      <w:r w:rsidR="007C35BB">
        <w:instrText xml:space="preserve"> XE "DDS50000 53010" </w:instrText>
      </w:r>
      <w:r>
        <w:fldChar w:fldCharType="end"/>
      </w:r>
      <w:r w:rsidR="007C35BB">
        <w:t>Specialized Support</w:t>
      </w:r>
    </w:p>
    <w:p w:rsidR="007C35BB" w:rsidRDefault="007C35BB" w:rsidP="00EB73EB">
      <w:pPr>
        <w:pStyle w:val="Heading2"/>
      </w:pPr>
      <w:r>
        <w:lastRenderedPageBreak/>
        <w:t xml:space="preserve">Statutory Reference </w:t>
      </w:r>
    </w:p>
    <w:p w:rsidR="007C35BB" w:rsidRDefault="007C35BB">
      <w:proofErr w:type="gramStart"/>
      <w:r>
        <w:t>C.G.S. Section 17a-210</w:t>
      </w:r>
      <w:r w:rsidR="004015B6">
        <w:t>.</w:t>
      </w:r>
      <w:proofErr w:type="gramEnd"/>
    </w:p>
    <w:p w:rsidR="007C35BB" w:rsidRDefault="007C35BB" w:rsidP="00EB73EB">
      <w:pPr>
        <w:pStyle w:val="Heading2"/>
      </w:pPr>
      <w:r>
        <w:t>Program Description</w:t>
      </w:r>
    </w:p>
    <w:p w:rsidR="007C35BB" w:rsidRDefault="007C35BB">
      <w:pPr>
        <w:sectPr w:rsidR="007C35BB"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  <w:r>
        <w:t xml:space="preserve">Specialized supports are available to individuals who require assistance due to physical disabilities, challenging behaviors or </w:t>
      </w:r>
      <w:r>
        <w:lastRenderedPageBreak/>
        <w:t>health needs. Department staff, contracted specialists and community providers conduct assessments and develop plans for specialize</w:t>
      </w:r>
      <w:r w:rsidR="00A65AFB">
        <w:t>d support services that include</w:t>
      </w:r>
      <w:r>
        <w:t xml:space="preserve"> behavioral, physical and occupational therapy, nursing, medical, </w:t>
      </w:r>
      <w:r w:rsidR="00A65AFB">
        <w:t xml:space="preserve">dental, dietary, psychological and </w:t>
      </w:r>
      <w:r>
        <w:t>psychiatric</w:t>
      </w:r>
      <w:r w:rsidR="00A65AFB">
        <w:t xml:space="preserve"> services</w:t>
      </w:r>
      <w:r>
        <w:t>, communication and adaptive devices and technology.</w:t>
      </w:r>
    </w:p>
    <w:p w:rsidR="00A65AFB" w:rsidRDefault="00A65AFB"/>
    <w:p w:rsidR="007C35BB" w:rsidRDefault="00C6367E" w:rsidP="0037248B">
      <w:pPr>
        <w:pStyle w:val="SubProgramHead0"/>
        <w:sectPr w:rsidR="007C35BB">
          <w:type w:val="continuous"/>
          <w:pgSz w:w="12240" w:h="15840"/>
          <w:pgMar w:top="864" w:right="720" w:bottom="1152" w:left="720" w:header="432" w:footer="288" w:gutter="216"/>
          <w:cols w:space="432"/>
        </w:sectPr>
      </w:pPr>
      <w:r>
        <w:fldChar w:fldCharType="begin"/>
      </w:r>
      <w:r w:rsidR="007C35BB">
        <w:instrText xml:space="preserve"> XE "DDS50000 53025" </w:instrText>
      </w:r>
      <w:r>
        <w:fldChar w:fldCharType="end"/>
      </w:r>
      <w:r w:rsidR="007C35BB">
        <w:t>Staff Support</w:t>
      </w:r>
    </w:p>
    <w:p w:rsidR="007C35BB" w:rsidRDefault="007C35BB" w:rsidP="00EB73EB">
      <w:pPr>
        <w:pStyle w:val="Heading2"/>
      </w:pPr>
      <w:r>
        <w:lastRenderedPageBreak/>
        <w:t xml:space="preserve">Statutory Reference </w:t>
      </w:r>
    </w:p>
    <w:p w:rsidR="007C35BB" w:rsidRDefault="007C35BB">
      <w:proofErr w:type="gramStart"/>
      <w:r>
        <w:t>C.G.S. Section 17a-210</w:t>
      </w:r>
      <w:r w:rsidR="00A7222A">
        <w:t>.</w:t>
      </w:r>
      <w:proofErr w:type="gramEnd"/>
    </w:p>
    <w:p w:rsidR="007C35BB" w:rsidRDefault="007C35BB" w:rsidP="00EB73EB">
      <w:pPr>
        <w:pStyle w:val="Heading2"/>
      </w:pPr>
      <w:r>
        <w:lastRenderedPageBreak/>
        <w:t>Program Description</w:t>
      </w:r>
    </w:p>
    <w:p w:rsidR="007C35BB" w:rsidRDefault="00A65AFB">
      <w:r>
        <w:t xml:space="preserve">Staff support </w:t>
      </w:r>
      <w:r w:rsidR="007C35BB">
        <w:t xml:space="preserve">programs </w:t>
      </w:r>
      <w:r>
        <w:t xml:space="preserve">are </w:t>
      </w:r>
      <w:r w:rsidR="007C35BB">
        <w:t>designed to develop and enhance employee competence</w:t>
      </w:r>
      <w:r>
        <w:t>. These training opportunities</w:t>
      </w:r>
      <w:r w:rsidR="007C35BB">
        <w:t xml:space="preserve"> occur in the </w:t>
      </w:r>
      <w:r w:rsidR="007C35BB">
        <w:lastRenderedPageBreak/>
        <w:t xml:space="preserve">classroom, through web-based learning opportunities, on-the-job </w:t>
      </w:r>
      <w:r w:rsidR="008E6175">
        <w:t>or</w:t>
      </w:r>
      <w:r w:rsidR="007C35BB">
        <w:t xml:space="preserve"> through mentori</w:t>
      </w:r>
      <w:r>
        <w:t>ng activities. Programs include</w:t>
      </w:r>
      <w:r w:rsidR="007C35BB">
        <w:t xml:space="preserve"> new employee orientation, DDS mission and policies, health and wellness, safety and basic protections, medication administration, specialized </w:t>
      </w:r>
      <w:r w:rsidR="007C35BB">
        <w:lastRenderedPageBreak/>
        <w:t>supports, person-centered planning, individual and family support, case management, supervision, diversity, cultural competency and quality management and improvement.</w:t>
      </w:r>
    </w:p>
    <w:p w:rsidR="007C35BB" w:rsidRDefault="007C35BB">
      <w:pPr>
        <w:sectPr w:rsidR="007C35BB"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</w:p>
    <w:p w:rsidR="007C35BB" w:rsidRDefault="007C35BB"/>
    <w:p w:rsidR="007C35BB" w:rsidRPr="0037248B" w:rsidRDefault="00C6367E" w:rsidP="00865F10">
      <w:pPr>
        <w:pStyle w:val="ProgramHead"/>
        <w:jc w:val="center"/>
        <w:sectPr w:rsidR="007C35BB" w:rsidRPr="0037248B">
          <w:type w:val="continuous"/>
          <w:pgSz w:w="12240" w:h="15840"/>
          <w:pgMar w:top="864" w:right="720" w:bottom="1152" w:left="720" w:header="432" w:footer="288" w:gutter="216"/>
          <w:cols w:space="432"/>
        </w:sectPr>
      </w:pPr>
      <w:r w:rsidRPr="0037248B">
        <w:fldChar w:fldCharType="begin"/>
      </w:r>
      <w:r w:rsidR="007C35BB" w:rsidRPr="0037248B">
        <w:instrText xml:space="preserve"> XE "DDS50000 53026" </w:instrText>
      </w:r>
      <w:r w:rsidRPr="0037248B">
        <w:fldChar w:fldCharType="end"/>
      </w:r>
      <w:r w:rsidR="007C35BB" w:rsidRPr="0037248B">
        <w:t>Employment Opportunities And Day Services</w:t>
      </w:r>
    </w:p>
    <w:p w:rsidR="007C35BB" w:rsidRDefault="007C35BB" w:rsidP="00EB73EB">
      <w:pPr>
        <w:pStyle w:val="Heading2"/>
      </w:pPr>
      <w:r>
        <w:lastRenderedPageBreak/>
        <w:t xml:space="preserve">Statutory Reference </w:t>
      </w:r>
    </w:p>
    <w:p w:rsidR="007C35BB" w:rsidRDefault="007C35BB">
      <w:r>
        <w:t>C.G.S. Section</w:t>
      </w:r>
      <w:r w:rsidR="00A7222A">
        <w:t>s</w:t>
      </w:r>
      <w:r>
        <w:t xml:space="preserve"> 17a-210, 17a-217, and 17a-226</w:t>
      </w:r>
      <w:r w:rsidR="00A7222A">
        <w:t>.</w:t>
      </w:r>
    </w:p>
    <w:p w:rsidR="007C35BB" w:rsidRDefault="007C35BB" w:rsidP="00EB73EB">
      <w:pPr>
        <w:pStyle w:val="Heading2"/>
      </w:pPr>
      <w:r>
        <w:t>Statement of Need and Program Objectives</w:t>
      </w:r>
    </w:p>
    <w:p w:rsidR="007C35BB" w:rsidRDefault="00357DCD">
      <w:r>
        <w:t xml:space="preserve">Employment Opportunities and Day Services </w:t>
      </w:r>
      <w:r w:rsidR="007C35BB">
        <w:t xml:space="preserve">assist children and adults </w:t>
      </w:r>
      <w:r w:rsidR="00343508">
        <w:t>in</w:t>
      </w:r>
      <w:r w:rsidR="007C35BB">
        <w:t xml:space="preserve"> access</w:t>
      </w:r>
      <w:r w:rsidR="00343508">
        <w:t>ing</w:t>
      </w:r>
      <w:r w:rsidR="007C35BB">
        <w:t xml:space="preserve"> employment and day programs </w:t>
      </w:r>
      <w:r w:rsidR="008E6175">
        <w:t>by</w:t>
      </w:r>
      <w:r w:rsidR="007C35BB">
        <w:t xml:space="preserve"> develop</w:t>
      </w:r>
      <w:r w:rsidR="00343508">
        <w:t xml:space="preserve">ing and </w:t>
      </w:r>
      <w:r w:rsidR="00343508">
        <w:lastRenderedPageBreak/>
        <w:t>enhancing</w:t>
      </w:r>
      <w:r w:rsidR="007C35BB">
        <w:t xml:space="preserve"> work skills</w:t>
      </w:r>
      <w:r w:rsidR="00343508">
        <w:t xml:space="preserve"> and securing</w:t>
      </w:r>
      <w:r w:rsidR="007C35BB">
        <w:t>/retain</w:t>
      </w:r>
      <w:r w:rsidR="00343508">
        <w:t>ing</w:t>
      </w:r>
      <w:r w:rsidR="007C35BB">
        <w:t xml:space="preserve"> paid employment in community business settings</w:t>
      </w:r>
      <w:r w:rsidR="00343508">
        <w:t>. The program</w:t>
      </w:r>
      <w:r w:rsidR="007C35BB">
        <w:t xml:space="preserve"> </w:t>
      </w:r>
      <w:r w:rsidR="00343508">
        <w:t xml:space="preserve">also </w:t>
      </w:r>
      <w:r w:rsidR="007C35BB">
        <w:t>provide</w:t>
      </w:r>
      <w:r w:rsidR="00343508">
        <w:t>s</w:t>
      </w:r>
      <w:r w:rsidR="007C35BB">
        <w:t xml:space="preserve"> opportunities for adults with </w:t>
      </w:r>
      <w:r w:rsidR="0069309E">
        <w:t>intellectual disabilities</w:t>
      </w:r>
      <w:r w:rsidR="007C35BB">
        <w:t xml:space="preserve"> to experience valued adult roles within the community. Supported employment and day</w:t>
      </w:r>
      <w:r w:rsidR="00343508">
        <w:t xml:space="preserve"> service</w:t>
      </w:r>
      <w:r w:rsidR="007C35BB">
        <w:t xml:space="preserve"> options can be purchased from a provider agency or be self</w:t>
      </w:r>
      <w:r w:rsidR="00D32D30">
        <w:t>-</w:t>
      </w:r>
      <w:r w:rsidR="007C35BB">
        <w:t xml:space="preserve">directed. </w:t>
      </w:r>
    </w:p>
    <w:p w:rsidR="007C35BB" w:rsidRDefault="007C35BB">
      <w:pPr>
        <w:sectPr w:rsidR="007C35BB"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</w:p>
    <w:p w:rsidR="007C35BB" w:rsidRDefault="007C35BB"/>
    <w:p w:rsidR="007C35BB" w:rsidRDefault="00C6367E" w:rsidP="00D25949">
      <w:pPr>
        <w:pStyle w:val="SubProgramHead0"/>
        <w:sectPr w:rsidR="007C35BB">
          <w:type w:val="continuous"/>
          <w:pgSz w:w="12240" w:h="15840"/>
          <w:pgMar w:top="864" w:right="720" w:bottom="1152" w:left="720" w:header="432" w:footer="288" w:gutter="216"/>
          <w:cols w:space="720"/>
        </w:sectPr>
      </w:pPr>
      <w:r>
        <w:fldChar w:fldCharType="begin"/>
      </w:r>
      <w:r w:rsidR="007C35BB">
        <w:instrText xml:space="preserve"> XE "DDS50000 53047" </w:instrText>
      </w:r>
      <w:r>
        <w:fldChar w:fldCharType="end"/>
      </w:r>
      <w:r w:rsidR="007C35BB">
        <w:t xml:space="preserve">sheltered employment </w:t>
      </w:r>
    </w:p>
    <w:p w:rsidR="007C35BB" w:rsidRDefault="007C35BB" w:rsidP="00EB73EB">
      <w:pPr>
        <w:pStyle w:val="Heading2"/>
      </w:pPr>
      <w:r>
        <w:lastRenderedPageBreak/>
        <w:t xml:space="preserve">Statutory Reference </w:t>
      </w:r>
    </w:p>
    <w:p w:rsidR="007C35BB" w:rsidRDefault="007C35BB">
      <w:proofErr w:type="gramStart"/>
      <w:r>
        <w:t>C.G.S. Section 17a-226</w:t>
      </w:r>
      <w:r w:rsidR="00A7222A">
        <w:t>.</w:t>
      </w:r>
      <w:proofErr w:type="gramEnd"/>
    </w:p>
    <w:p w:rsidR="007C35BB" w:rsidRDefault="007C35BB" w:rsidP="00EB73EB">
      <w:pPr>
        <w:pStyle w:val="Heading2"/>
      </w:pPr>
      <w:r>
        <w:t>Program Description</w:t>
      </w:r>
    </w:p>
    <w:p w:rsidR="007C35BB" w:rsidRDefault="007C35BB">
      <w:r>
        <w:t>Sheltered employment programs</w:t>
      </w:r>
      <w:r w:rsidR="00624D5D">
        <w:t>,</w:t>
      </w:r>
      <w:r>
        <w:t xml:space="preserve"> available through the department and the private sector</w:t>
      </w:r>
      <w:r w:rsidR="00624D5D">
        <w:t>,</w:t>
      </w:r>
      <w:r>
        <w:t xml:space="preserve"> supported </w:t>
      </w:r>
      <w:r w:rsidR="002B1B74">
        <w:t>496</w:t>
      </w:r>
      <w:r>
        <w:t xml:space="preserve"> adults with </w:t>
      </w:r>
      <w:r w:rsidR="0046125B">
        <w:t xml:space="preserve">intellectual </w:t>
      </w:r>
      <w:r w:rsidR="0046125B">
        <w:lastRenderedPageBreak/>
        <w:t>disabilit</w:t>
      </w:r>
      <w:r w:rsidR="002B1B74">
        <w:t>ies</w:t>
      </w:r>
      <w:r>
        <w:t xml:space="preserve"> in FY</w:t>
      </w:r>
      <w:r w:rsidR="00624D5D">
        <w:t xml:space="preserve"> </w:t>
      </w:r>
      <w:r>
        <w:t>20</w:t>
      </w:r>
      <w:r w:rsidR="002B1B74">
        <w:t>12</w:t>
      </w:r>
      <w:r>
        <w:t xml:space="preserve">. </w:t>
      </w:r>
      <w:r w:rsidR="00FB559A">
        <w:t xml:space="preserve">This service is </w:t>
      </w:r>
      <w:r w:rsidR="00114598">
        <w:t>undergo</w:t>
      </w:r>
      <w:r w:rsidR="00624D5D">
        <w:t xml:space="preserve">ing change as DDS works toward increased participation in </w:t>
      </w:r>
      <w:r w:rsidR="00114598">
        <w:t>competitive employment</w:t>
      </w:r>
      <w:r w:rsidR="00624D5D">
        <w:t xml:space="preserve"> op</w:t>
      </w:r>
      <w:r w:rsidR="008E6175">
        <w:t>portunities</w:t>
      </w:r>
      <w:r w:rsidR="00114598">
        <w:t>.</w:t>
      </w:r>
    </w:p>
    <w:p w:rsidR="007C35BB" w:rsidRDefault="007C35BB">
      <w:pPr>
        <w:sectPr w:rsidR="007C35BB"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</w:p>
    <w:p w:rsidR="007C35BB" w:rsidRDefault="007C35BB"/>
    <w:p w:rsidR="007C35BB" w:rsidRDefault="00C6367E" w:rsidP="00D25949">
      <w:pPr>
        <w:pStyle w:val="SubProgramHead0"/>
        <w:sectPr w:rsidR="007C35BB">
          <w:type w:val="continuous"/>
          <w:pgSz w:w="12240" w:h="15840"/>
          <w:pgMar w:top="864" w:right="720" w:bottom="1152" w:left="720" w:header="432" w:footer="288" w:gutter="216"/>
          <w:cols w:space="720"/>
        </w:sectPr>
      </w:pPr>
      <w:r>
        <w:fldChar w:fldCharType="begin"/>
      </w:r>
      <w:r w:rsidR="007C35BB">
        <w:instrText xml:space="preserve"> XE "DDS50000 53051" </w:instrText>
      </w:r>
      <w:r>
        <w:fldChar w:fldCharType="end"/>
      </w:r>
      <w:r w:rsidR="007C35BB">
        <w:t>Group  Supported Employment</w:t>
      </w:r>
    </w:p>
    <w:p w:rsidR="007C35BB" w:rsidRDefault="007C35BB" w:rsidP="00EB73EB">
      <w:pPr>
        <w:pStyle w:val="Heading2"/>
      </w:pPr>
      <w:r>
        <w:lastRenderedPageBreak/>
        <w:t xml:space="preserve">Statutory Reference </w:t>
      </w:r>
    </w:p>
    <w:p w:rsidR="007C35BB" w:rsidRDefault="007C35BB">
      <w:proofErr w:type="gramStart"/>
      <w:r>
        <w:t>C.G.S. Section 17a-226</w:t>
      </w:r>
      <w:r w:rsidR="00A7222A">
        <w:t>.</w:t>
      </w:r>
      <w:proofErr w:type="gramEnd"/>
    </w:p>
    <w:p w:rsidR="007C35BB" w:rsidRDefault="007C35BB" w:rsidP="00EB73EB">
      <w:pPr>
        <w:pStyle w:val="Heading2"/>
      </w:pPr>
      <w:r>
        <w:t>Program Description</w:t>
      </w:r>
    </w:p>
    <w:p w:rsidR="007C35BB" w:rsidRDefault="007C35BB">
      <w:r>
        <w:t>Group supported employment offer</w:t>
      </w:r>
      <w:r w:rsidR="009F2CDE">
        <w:t>ed</w:t>
      </w:r>
      <w:r>
        <w:t xml:space="preserve"> employment training and supervision of small groups</w:t>
      </w:r>
      <w:r w:rsidR="00D32D30">
        <w:t xml:space="preserve"> </w:t>
      </w:r>
      <w:r w:rsidR="009F2CDE">
        <w:t xml:space="preserve">to </w:t>
      </w:r>
      <w:r w:rsidR="002B1B74">
        <w:t>3,337</w:t>
      </w:r>
      <w:r w:rsidR="009F2CDE">
        <w:t xml:space="preserve"> i</w:t>
      </w:r>
      <w:r>
        <w:t xml:space="preserve">ndividuals with </w:t>
      </w:r>
      <w:r w:rsidR="0046125B">
        <w:t xml:space="preserve">intellectual </w:t>
      </w:r>
      <w:r w:rsidR="0046125B">
        <w:lastRenderedPageBreak/>
        <w:t>disabilit</w:t>
      </w:r>
      <w:r w:rsidR="002B1B74">
        <w:t>ies</w:t>
      </w:r>
      <w:r>
        <w:t xml:space="preserve"> through </w:t>
      </w:r>
      <w:r w:rsidR="00CA6FA7">
        <w:t xml:space="preserve">in </w:t>
      </w:r>
      <w:r>
        <w:t>FY</w:t>
      </w:r>
      <w:r w:rsidR="00CA6FA7">
        <w:t xml:space="preserve"> </w:t>
      </w:r>
      <w:r>
        <w:t>20</w:t>
      </w:r>
      <w:r w:rsidR="002B1B74">
        <w:t>12</w:t>
      </w:r>
      <w:r>
        <w:t xml:space="preserve">. Individuals work </w:t>
      </w:r>
      <w:r w:rsidR="008E6175">
        <w:t xml:space="preserve">for </w:t>
      </w:r>
      <w:r>
        <w:t>wage</w:t>
      </w:r>
      <w:r w:rsidR="008E6175">
        <w:t>s</w:t>
      </w:r>
      <w:r>
        <w:t xml:space="preserve"> commensurate with those paid to the typical workforce. Supported employment services are primarily offered by private agencies under contract with the department.</w:t>
      </w:r>
    </w:p>
    <w:p w:rsidR="007C35BB" w:rsidRDefault="007C35BB">
      <w:pPr>
        <w:sectPr w:rsidR="007C35BB"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</w:p>
    <w:p w:rsidR="007C35BB" w:rsidRDefault="007C35BB">
      <w:pPr>
        <w:rPr>
          <w:bCs/>
        </w:rPr>
      </w:pPr>
    </w:p>
    <w:p w:rsidR="007C35BB" w:rsidRDefault="00C6367E" w:rsidP="00D25949">
      <w:pPr>
        <w:pStyle w:val="SubProgramHead0"/>
      </w:pPr>
      <w:r>
        <w:fldChar w:fldCharType="begin"/>
      </w:r>
      <w:r w:rsidR="007C35BB">
        <w:instrText xml:space="preserve"> XE "DDS50000 53055" </w:instrText>
      </w:r>
      <w:r>
        <w:fldChar w:fldCharType="end"/>
      </w:r>
      <w:r w:rsidR="007C35BB">
        <w:t>Day Support Options</w:t>
      </w:r>
    </w:p>
    <w:p w:rsidR="007C35BB" w:rsidRDefault="007C35BB" w:rsidP="00D25949">
      <w:pPr>
        <w:pStyle w:val="SubProgramHead0"/>
        <w:sectPr w:rsidR="007C35BB">
          <w:type w:val="continuous"/>
          <w:pgSz w:w="12240" w:h="15840"/>
          <w:pgMar w:top="864" w:right="720" w:bottom="1152" w:left="720" w:header="432" w:footer="288" w:gutter="216"/>
          <w:cols w:space="720"/>
        </w:sectPr>
      </w:pPr>
    </w:p>
    <w:p w:rsidR="007C35BB" w:rsidRDefault="007C35BB" w:rsidP="00EB73EB">
      <w:pPr>
        <w:pStyle w:val="Heading2"/>
      </w:pPr>
      <w:r>
        <w:lastRenderedPageBreak/>
        <w:t>Statutory Reference</w:t>
      </w:r>
    </w:p>
    <w:p w:rsidR="007C35BB" w:rsidRDefault="007C35BB">
      <w:r>
        <w:t>C.G.S. Sections 17a-217 and 17a-226</w:t>
      </w:r>
      <w:r w:rsidR="00A7222A">
        <w:t>.</w:t>
      </w:r>
    </w:p>
    <w:p w:rsidR="007C35BB" w:rsidRDefault="007C35BB" w:rsidP="00EB73EB">
      <w:pPr>
        <w:pStyle w:val="Heading2"/>
      </w:pPr>
      <w:r>
        <w:t>Program Description</w:t>
      </w:r>
    </w:p>
    <w:p w:rsidR="007C35BB" w:rsidRPr="004D1DD9" w:rsidRDefault="007C35BB">
      <w:r>
        <w:t xml:space="preserve">Day support options offer adults with </w:t>
      </w:r>
      <w:r w:rsidR="0046125B">
        <w:t>intellectual disabilit</w:t>
      </w:r>
      <w:r w:rsidR="002B1B74">
        <w:t>ies</w:t>
      </w:r>
      <w:r>
        <w:t xml:space="preserve"> opportunities to experience valued adult roles, develop relationships and make personal choices </w:t>
      </w:r>
      <w:r w:rsidR="008E6175">
        <w:t xml:space="preserve">about </w:t>
      </w:r>
      <w:r>
        <w:t xml:space="preserve">participating in leisure, recreation </w:t>
      </w:r>
      <w:r>
        <w:lastRenderedPageBreak/>
        <w:t>and volunteer service activities within their community. Activities occur in a variety of natural settings such as stores, libraries, restaurants, recreational facilities and community centers. Day support options are primarily offered by private agencies und</w:t>
      </w:r>
      <w:r w:rsidR="009F2CDE">
        <w:t xml:space="preserve">er contract </w:t>
      </w:r>
      <w:r w:rsidR="007A570B">
        <w:t xml:space="preserve">with the department. </w:t>
      </w:r>
      <w:r w:rsidR="00B67413" w:rsidRPr="004D1DD9">
        <w:t xml:space="preserve">The number of individuals who participated in day support options </w:t>
      </w:r>
      <w:r w:rsidR="008E6175">
        <w:t xml:space="preserve">in FY 2012 </w:t>
      </w:r>
      <w:r w:rsidR="00B67413" w:rsidRPr="004D1DD9">
        <w:t xml:space="preserve">was </w:t>
      </w:r>
      <w:r w:rsidR="002B1B74" w:rsidRPr="004D1DD9">
        <w:t>4,327</w:t>
      </w:r>
      <w:r w:rsidRPr="004D1DD9">
        <w:t>.</w:t>
      </w:r>
    </w:p>
    <w:p w:rsidR="007C35BB" w:rsidRDefault="007C35BB">
      <w:pPr>
        <w:sectPr w:rsidR="007C35BB">
          <w:footerReference w:type="even" r:id="rId14"/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</w:p>
    <w:p w:rsidR="007C35BB" w:rsidRDefault="007C35BB"/>
    <w:p w:rsidR="007C35BB" w:rsidRDefault="00C6367E" w:rsidP="00D25949">
      <w:pPr>
        <w:pStyle w:val="SubProgramHead0"/>
      </w:pPr>
      <w:r>
        <w:fldChar w:fldCharType="begin"/>
      </w:r>
      <w:r w:rsidR="007C35BB">
        <w:instrText xml:space="preserve"> XE "DDS50000 53060" </w:instrText>
      </w:r>
      <w:r>
        <w:fldChar w:fldCharType="end"/>
      </w:r>
      <w:r w:rsidR="007C35BB">
        <w:t xml:space="preserve">Individual supportED Employment </w:t>
      </w:r>
    </w:p>
    <w:p w:rsidR="007C35BB" w:rsidRDefault="007C35BB" w:rsidP="00D25949">
      <w:pPr>
        <w:pStyle w:val="SubProgramHead0"/>
        <w:sectPr w:rsidR="007C35BB">
          <w:type w:val="continuous"/>
          <w:pgSz w:w="12240" w:h="15840"/>
          <w:pgMar w:top="864" w:right="720" w:bottom="1152" w:left="720" w:header="432" w:footer="288" w:gutter="216"/>
          <w:cols w:space="720"/>
        </w:sectPr>
      </w:pPr>
    </w:p>
    <w:p w:rsidR="007C35BB" w:rsidRDefault="007C35BB" w:rsidP="00EB73EB">
      <w:pPr>
        <w:pStyle w:val="Heading2"/>
      </w:pPr>
      <w:r>
        <w:lastRenderedPageBreak/>
        <w:t>Statutory Reference</w:t>
      </w:r>
    </w:p>
    <w:p w:rsidR="007C35BB" w:rsidRDefault="007C35BB">
      <w:pPr>
        <w:rPr>
          <w:iCs/>
        </w:rPr>
      </w:pPr>
      <w:r>
        <w:t xml:space="preserve">C.G.S. </w:t>
      </w:r>
      <w:r>
        <w:rPr>
          <w:iCs/>
        </w:rPr>
        <w:t>Sections 17a-217 and 17a-226</w:t>
      </w:r>
      <w:r w:rsidR="00A7222A">
        <w:rPr>
          <w:iCs/>
        </w:rPr>
        <w:t>.</w:t>
      </w:r>
    </w:p>
    <w:p w:rsidR="007C35BB" w:rsidRDefault="007C35BB" w:rsidP="00EB73EB">
      <w:pPr>
        <w:pStyle w:val="Heading2"/>
      </w:pPr>
      <w:r>
        <w:t>Program Description</w:t>
      </w:r>
    </w:p>
    <w:p w:rsidR="007C35BB" w:rsidRPr="004D1DD9" w:rsidRDefault="007C35BB">
      <w:r>
        <w:t>Individual supported employment offers job development services, on-the-job training and supervision in typical business settings with wage</w:t>
      </w:r>
      <w:r w:rsidR="008E6175">
        <w:t xml:space="preserve">s </w:t>
      </w:r>
      <w:r>
        <w:t xml:space="preserve">and benefits commensurate with those paid to the typical workforce. Individual placement services are primarily offered by </w:t>
      </w:r>
      <w:r>
        <w:lastRenderedPageBreak/>
        <w:t>private agencies under contract with the department</w:t>
      </w:r>
      <w:r w:rsidRPr="004D1DD9">
        <w:t xml:space="preserve">.  </w:t>
      </w:r>
      <w:r w:rsidR="00B67413" w:rsidRPr="004D1DD9">
        <w:t xml:space="preserve">The number of </w:t>
      </w:r>
      <w:r w:rsidR="009F2CDE" w:rsidRPr="004D1DD9">
        <w:t xml:space="preserve">adults </w:t>
      </w:r>
      <w:r w:rsidR="00B67413" w:rsidRPr="004D1DD9">
        <w:t xml:space="preserve">who </w:t>
      </w:r>
      <w:r w:rsidR="009F2CDE" w:rsidRPr="004D1DD9">
        <w:t xml:space="preserve">participated in such programs </w:t>
      </w:r>
      <w:r w:rsidR="00B67413" w:rsidRPr="004D1DD9">
        <w:t xml:space="preserve">was 1,049 </w:t>
      </w:r>
      <w:r w:rsidR="009F2CDE" w:rsidRPr="004D1DD9">
        <w:t>in FY</w:t>
      </w:r>
      <w:r w:rsidR="00B0557D">
        <w:t xml:space="preserve"> </w:t>
      </w:r>
      <w:r w:rsidR="009F2CDE" w:rsidRPr="004D1DD9">
        <w:t>20</w:t>
      </w:r>
      <w:r w:rsidR="002B1B74" w:rsidRPr="004D1DD9">
        <w:t>12</w:t>
      </w:r>
      <w:r w:rsidR="009F2CDE" w:rsidRPr="004D1DD9">
        <w:t>.</w:t>
      </w:r>
    </w:p>
    <w:p w:rsidR="007C35BB" w:rsidRDefault="007C35BB" w:rsidP="00A7222A">
      <w:r w:rsidRPr="004D1DD9">
        <w:t xml:space="preserve">The total number of people participating in supported employment </w:t>
      </w:r>
      <w:r>
        <w:t>(group or individual) grew to 4,</w:t>
      </w:r>
      <w:r w:rsidR="002B1B74">
        <w:t>386</w:t>
      </w:r>
      <w:r>
        <w:t xml:space="preserve"> in FY</w:t>
      </w:r>
      <w:r w:rsidR="00B0557D">
        <w:t xml:space="preserve"> </w:t>
      </w:r>
      <w:r>
        <w:t>20</w:t>
      </w:r>
      <w:r w:rsidR="002B1B74">
        <w:t>12</w:t>
      </w:r>
      <w:r>
        <w:t>, including adults who utilized individualized or self-directed supports to enter supported employment arrangements.</w:t>
      </w:r>
    </w:p>
    <w:p w:rsidR="00A7222A" w:rsidRDefault="00A7222A" w:rsidP="00A7222A">
      <w:pPr>
        <w:sectPr w:rsidR="00A7222A"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</w:p>
    <w:p w:rsidR="007C35BB" w:rsidRDefault="007C35BB"/>
    <w:p w:rsidR="007C35BB" w:rsidRDefault="00C6367E" w:rsidP="00D25949">
      <w:pPr>
        <w:pStyle w:val="SubProgramHead0"/>
      </w:pPr>
      <w:r>
        <w:fldChar w:fldCharType="begin"/>
      </w:r>
      <w:r w:rsidR="007C35BB">
        <w:instrText xml:space="preserve"> XE "DDS50000 53027" </w:instrText>
      </w:r>
      <w:r>
        <w:fldChar w:fldCharType="end"/>
      </w:r>
      <w:r w:rsidR="007C35BB">
        <w:t xml:space="preserve">birth to three </w:t>
      </w:r>
    </w:p>
    <w:p w:rsidR="007C35BB" w:rsidRDefault="007C35BB" w:rsidP="00D25949">
      <w:pPr>
        <w:pStyle w:val="SubProgramHead0"/>
        <w:sectPr w:rsidR="007C35BB">
          <w:type w:val="continuous"/>
          <w:pgSz w:w="12240" w:h="15840"/>
          <w:pgMar w:top="864" w:right="720" w:bottom="1152" w:left="720" w:header="432" w:footer="288" w:gutter="216"/>
          <w:cols w:space="720"/>
        </w:sectPr>
      </w:pPr>
    </w:p>
    <w:p w:rsidR="007C35BB" w:rsidRDefault="007C35BB" w:rsidP="00D96275">
      <w:pPr>
        <w:pStyle w:val="Heading2"/>
      </w:pPr>
      <w:r>
        <w:lastRenderedPageBreak/>
        <w:t xml:space="preserve">Statutory Reference </w:t>
      </w:r>
    </w:p>
    <w:p w:rsidR="007C35BB" w:rsidRDefault="007C35BB" w:rsidP="00D96275">
      <w:proofErr w:type="gramStart"/>
      <w:r>
        <w:t>C.G.S. Section 17a-248</w:t>
      </w:r>
      <w:r w:rsidR="00A7222A">
        <w:t>.</w:t>
      </w:r>
      <w:proofErr w:type="gramEnd"/>
    </w:p>
    <w:p w:rsidR="007C35BB" w:rsidRDefault="007C35BB" w:rsidP="00D96275">
      <w:pPr>
        <w:pStyle w:val="Heading2"/>
      </w:pPr>
      <w:r>
        <w:t>Program Description</w:t>
      </w:r>
    </w:p>
    <w:p w:rsidR="009E6582" w:rsidRDefault="007C35BB" w:rsidP="00D96275">
      <w:pPr>
        <w:spacing w:after="0"/>
        <w:rPr>
          <w:color w:val="000000"/>
        </w:rPr>
      </w:pPr>
      <w:r w:rsidRPr="004D1DD9">
        <w:t xml:space="preserve">The </w:t>
      </w:r>
      <w:r w:rsidR="00D14B57">
        <w:t xml:space="preserve">Birth to Three interagency </w:t>
      </w:r>
      <w:r w:rsidRPr="004D1DD9">
        <w:t xml:space="preserve">system </w:t>
      </w:r>
      <w:r w:rsidR="00D14B57">
        <w:t xml:space="preserve">is responsible for </w:t>
      </w:r>
      <w:r w:rsidRPr="004D1DD9">
        <w:t>policy setting, managing state and federal funding, contracting, quality assurance, data management, complaint resolution, training and public awareness</w:t>
      </w:r>
      <w:r w:rsidR="00D14B57">
        <w:t>.</w:t>
      </w:r>
      <w:r w:rsidR="009F435A">
        <w:t xml:space="preserve"> </w:t>
      </w:r>
      <w:r w:rsidR="009F435A">
        <w:rPr>
          <w:color w:val="000000"/>
        </w:rPr>
        <w:t>The system</w:t>
      </w:r>
      <w:r w:rsidR="00AC582C">
        <w:rPr>
          <w:color w:val="000000"/>
        </w:rPr>
        <w:t xml:space="preserve"> received 8,419 referrals in FY</w:t>
      </w:r>
      <w:r w:rsidR="009F435A">
        <w:rPr>
          <w:color w:val="000000"/>
        </w:rPr>
        <w:t xml:space="preserve"> 20</w:t>
      </w:r>
      <w:r w:rsidR="00AC582C">
        <w:rPr>
          <w:color w:val="000000"/>
        </w:rPr>
        <w:t xml:space="preserve">12, a </w:t>
      </w:r>
      <w:r w:rsidR="00AC582C">
        <w:rPr>
          <w:color w:val="000000"/>
        </w:rPr>
        <w:lastRenderedPageBreak/>
        <w:t>2% decrease over FY</w:t>
      </w:r>
      <w:r w:rsidR="009F435A">
        <w:rPr>
          <w:color w:val="000000"/>
        </w:rPr>
        <w:t xml:space="preserve"> 20</w:t>
      </w:r>
      <w:r w:rsidR="00AC582C">
        <w:rPr>
          <w:color w:val="000000"/>
        </w:rPr>
        <w:t>11.</w:t>
      </w:r>
      <w:r w:rsidR="009F435A" w:rsidRPr="009F435A">
        <w:t xml:space="preserve"> </w:t>
      </w:r>
      <w:r w:rsidR="009F435A">
        <w:t>The system s</w:t>
      </w:r>
      <w:r w:rsidR="009F435A" w:rsidRPr="00BD1AEE">
        <w:t>erved 9,</w:t>
      </w:r>
      <w:r w:rsidR="009F435A">
        <w:t>333</w:t>
      </w:r>
      <w:r w:rsidR="009F435A" w:rsidRPr="00BD1AEE">
        <w:t xml:space="preserve"> eligible children</w:t>
      </w:r>
      <w:r w:rsidR="009F435A">
        <w:t xml:space="preserve"> over the course of FY 2012, which is </w:t>
      </w:r>
      <w:r w:rsidR="008E6175">
        <w:t xml:space="preserve">approximately </w:t>
      </w:r>
      <w:r w:rsidR="009F435A" w:rsidRPr="00BD1AEE">
        <w:t>3.</w:t>
      </w:r>
      <w:r w:rsidR="009F435A">
        <w:t>9</w:t>
      </w:r>
      <w:r w:rsidR="009F435A" w:rsidRPr="00BD1AEE">
        <w:t xml:space="preserve">% of all </w:t>
      </w:r>
      <w:r w:rsidR="009F435A">
        <w:t xml:space="preserve">Connecticut </w:t>
      </w:r>
      <w:r w:rsidR="009F435A" w:rsidRPr="00BD1AEE">
        <w:t>children under the age of three</w:t>
      </w:r>
      <w:r w:rsidR="009F435A">
        <w:t>.</w:t>
      </w:r>
      <w:r w:rsidR="009F435A" w:rsidRPr="0007220D">
        <w:t xml:space="preserve"> </w:t>
      </w:r>
      <w:r w:rsidR="008E6175">
        <w:t xml:space="preserve"> </w:t>
      </w:r>
      <w:r w:rsidR="009F435A" w:rsidRPr="0007220D">
        <w:t>Ten percent of the children born each year in Connecticut</w:t>
      </w:r>
      <w:r w:rsidR="008E6175" w:rsidRPr="008E6175">
        <w:t xml:space="preserve"> </w:t>
      </w:r>
      <w:r w:rsidR="008E6175" w:rsidRPr="0007220D">
        <w:t>will have received services from the Birth to Three System</w:t>
      </w:r>
      <w:r w:rsidR="009F435A" w:rsidRPr="0007220D">
        <w:t xml:space="preserve"> by the time they are three.  </w:t>
      </w:r>
      <w:r w:rsidR="008E6175">
        <w:t xml:space="preserve">In FY </w:t>
      </w:r>
      <w:r w:rsidR="004015B6">
        <w:t>20</w:t>
      </w:r>
      <w:r w:rsidR="008E6175">
        <w:t xml:space="preserve">11, the </w:t>
      </w:r>
      <w:r w:rsidR="009F435A" w:rsidRPr="0007220D">
        <w:t xml:space="preserve">Birth to Three </w:t>
      </w:r>
      <w:proofErr w:type="gramStart"/>
      <w:r w:rsidR="008E6175">
        <w:t>program</w:t>
      </w:r>
      <w:proofErr w:type="gramEnd"/>
      <w:r w:rsidR="008E6175">
        <w:t xml:space="preserve"> </w:t>
      </w:r>
      <w:r w:rsidR="009F435A" w:rsidRPr="0007220D">
        <w:t xml:space="preserve">rebid all </w:t>
      </w:r>
      <w:r w:rsidR="008E6175">
        <w:t>co</w:t>
      </w:r>
      <w:r w:rsidR="009F435A" w:rsidRPr="0007220D">
        <w:t>nt</w:t>
      </w:r>
      <w:r w:rsidR="004015B6">
        <w:t>racts and selected 28 general, six</w:t>
      </w:r>
      <w:r w:rsidR="009F435A" w:rsidRPr="0007220D">
        <w:t xml:space="preserve"> autism-specific a</w:t>
      </w:r>
      <w:r w:rsidR="004015B6">
        <w:t>nd three</w:t>
      </w:r>
      <w:r w:rsidR="009F435A" w:rsidRPr="0007220D">
        <w:t xml:space="preserve"> deaf/hard of </w:t>
      </w:r>
      <w:r w:rsidR="009F435A" w:rsidRPr="0007220D">
        <w:lastRenderedPageBreak/>
        <w:t>hearing programs.</w:t>
      </w:r>
      <w:r w:rsidR="009F435A" w:rsidRPr="0007220D">
        <w:rPr>
          <w:sz w:val="20"/>
        </w:rPr>
        <w:t> </w:t>
      </w:r>
      <w:r w:rsidR="009F435A" w:rsidRPr="0007220D">
        <w:t xml:space="preserve"> </w:t>
      </w:r>
      <w:r w:rsidR="009F435A">
        <w:rPr>
          <w:color w:val="000000"/>
        </w:rPr>
        <w:t>DDS anticipates that all children served by state</w:t>
      </w:r>
      <w:r w:rsidR="00D96275">
        <w:rPr>
          <w:color w:val="000000"/>
        </w:rPr>
        <w:t>-</w:t>
      </w:r>
      <w:r w:rsidR="009F435A">
        <w:rPr>
          <w:color w:val="000000"/>
        </w:rPr>
        <w:t>operated programs will be transitioned to privately</w:t>
      </w:r>
      <w:r w:rsidR="008E6175">
        <w:rPr>
          <w:color w:val="000000"/>
        </w:rPr>
        <w:t>-</w:t>
      </w:r>
      <w:r w:rsidR="009F435A">
        <w:rPr>
          <w:color w:val="000000"/>
        </w:rPr>
        <w:t xml:space="preserve">run </w:t>
      </w:r>
      <w:r w:rsidR="009F435A">
        <w:rPr>
          <w:color w:val="000000"/>
        </w:rPr>
        <w:lastRenderedPageBreak/>
        <w:t xml:space="preserve">services by the end of FY 2014. </w:t>
      </w:r>
      <w:r w:rsidR="009E6582">
        <w:rPr>
          <w:color w:val="000000"/>
        </w:rPr>
        <w:t xml:space="preserve"> </w:t>
      </w:r>
    </w:p>
    <w:p w:rsidR="009E6582" w:rsidRPr="009E6582" w:rsidRDefault="009E6582" w:rsidP="00D96275">
      <w:pPr>
        <w:spacing w:after="0"/>
        <w:rPr>
          <w:color w:val="000000"/>
        </w:rPr>
        <w:sectPr w:rsidR="009E6582" w:rsidRPr="009E6582">
          <w:type w:val="continuous"/>
          <w:pgSz w:w="12240" w:h="15840"/>
          <w:pgMar w:top="864" w:right="720" w:bottom="1152" w:left="720" w:header="432" w:footer="288" w:gutter="216"/>
          <w:cols w:num="2" w:space="720"/>
        </w:sectPr>
      </w:pPr>
    </w:p>
    <w:p w:rsidR="007C35BB" w:rsidRPr="002B1B74" w:rsidRDefault="007C35BB">
      <w:pPr>
        <w:rPr>
          <w:color w:val="FF0000"/>
        </w:rPr>
      </w:pPr>
    </w:p>
    <w:p w:rsidR="007C35BB" w:rsidRPr="0037248B" w:rsidRDefault="00C6367E" w:rsidP="007F79B9">
      <w:pPr>
        <w:pStyle w:val="ProgramHead"/>
        <w:jc w:val="center"/>
      </w:pPr>
      <w:r w:rsidRPr="0037248B">
        <w:fldChar w:fldCharType="begin"/>
      </w:r>
      <w:r w:rsidR="007C35BB" w:rsidRPr="0037248B">
        <w:instrText xml:space="preserve"> XE "DDS50000 53064" </w:instrText>
      </w:r>
      <w:r w:rsidRPr="0037248B">
        <w:fldChar w:fldCharType="end"/>
      </w:r>
      <w:r w:rsidR="007C35BB" w:rsidRPr="0037248B">
        <w:t>Residential Services</w:t>
      </w:r>
    </w:p>
    <w:p w:rsidR="007C35BB" w:rsidRPr="0037248B" w:rsidRDefault="007C35BB" w:rsidP="0037248B">
      <w:pPr>
        <w:pStyle w:val="ProgramHead"/>
        <w:sectPr w:rsidR="007C35BB" w:rsidRPr="0037248B">
          <w:type w:val="continuous"/>
          <w:pgSz w:w="12240" w:h="15840"/>
          <w:pgMar w:top="864" w:right="720" w:bottom="1152" w:left="720" w:header="432" w:footer="288" w:gutter="216"/>
          <w:cols w:space="720"/>
        </w:sectPr>
      </w:pPr>
    </w:p>
    <w:p w:rsidR="007C35BB" w:rsidRDefault="007C35BB" w:rsidP="009A72FD">
      <w:pPr>
        <w:pStyle w:val="Heading2"/>
      </w:pPr>
      <w:r>
        <w:lastRenderedPageBreak/>
        <w:t xml:space="preserve">Statutory Reference </w:t>
      </w:r>
    </w:p>
    <w:p w:rsidR="007C35BB" w:rsidRDefault="007C35BB">
      <w:r>
        <w:t>C.G.S. Sections 17a-210, 17a-218,17a-227 and 17a-228</w:t>
      </w:r>
      <w:r w:rsidR="00A7222A">
        <w:t>.</w:t>
      </w:r>
    </w:p>
    <w:p w:rsidR="009A72FD" w:rsidRDefault="009A72FD" w:rsidP="009A72FD">
      <w:pPr>
        <w:pStyle w:val="Heading2"/>
      </w:pPr>
      <w:r>
        <w:t>Program Description</w:t>
      </w:r>
    </w:p>
    <w:p w:rsidR="007C35BB" w:rsidRPr="004D1DD9" w:rsidRDefault="007C35BB" w:rsidP="00D96275">
      <w:r w:rsidRPr="004D1DD9">
        <w:t>Residential services and supports take the form of individualized supports tailored to meet the needs of the individual</w:t>
      </w:r>
      <w:r w:rsidR="006E4E90">
        <w:t xml:space="preserve">.  They can occur in the </w:t>
      </w:r>
      <w:r w:rsidRPr="004D1DD9">
        <w:t xml:space="preserve">family or </w:t>
      </w:r>
      <w:r w:rsidR="006E4E90">
        <w:t xml:space="preserve">individual’s </w:t>
      </w:r>
      <w:r w:rsidRPr="004D1DD9">
        <w:t xml:space="preserve">own home, </w:t>
      </w:r>
      <w:r w:rsidR="00383634" w:rsidRPr="004D1DD9">
        <w:t xml:space="preserve">a </w:t>
      </w:r>
      <w:r w:rsidRPr="004D1DD9">
        <w:t xml:space="preserve">community </w:t>
      </w:r>
      <w:r w:rsidR="002B1B74" w:rsidRPr="004D1DD9">
        <w:t>companion</w:t>
      </w:r>
      <w:r w:rsidRPr="004D1DD9">
        <w:t xml:space="preserve"> home, </w:t>
      </w:r>
      <w:r w:rsidR="00383634" w:rsidRPr="004D1DD9">
        <w:t xml:space="preserve">a </w:t>
      </w:r>
      <w:r w:rsidRPr="004D1DD9">
        <w:t xml:space="preserve">community living arrangement, </w:t>
      </w:r>
      <w:r w:rsidR="006E4E90">
        <w:t>through</w:t>
      </w:r>
      <w:r w:rsidR="00383634" w:rsidRPr="004D1DD9">
        <w:t xml:space="preserve"> </w:t>
      </w:r>
      <w:r w:rsidR="002B1B74" w:rsidRPr="004D1DD9">
        <w:t>continuous residential services</w:t>
      </w:r>
      <w:r w:rsidR="006E4E90">
        <w:t xml:space="preserve">, </w:t>
      </w:r>
      <w:r w:rsidRPr="004D1DD9">
        <w:t xml:space="preserve">supported living services </w:t>
      </w:r>
      <w:r w:rsidR="00383634" w:rsidRPr="004D1DD9">
        <w:t>or in a</w:t>
      </w:r>
      <w:r w:rsidRPr="004D1DD9">
        <w:t xml:space="preserve"> campus setting. </w:t>
      </w:r>
    </w:p>
    <w:p w:rsidR="007C35BB" w:rsidRDefault="007C35BB" w:rsidP="00D96275">
      <w:r>
        <w:lastRenderedPageBreak/>
        <w:t xml:space="preserve">Individualized residential supports are designed by and for children and adults with </w:t>
      </w:r>
      <w:r w:rsidR="0046125B">
        <w:t xml:space="preserve">intellectual </w:t>
      </w:r>
      <w:r w:rsidR="0046125B" w:rsidRPr="002B6CA7">
        <w:t>disabilit</w:t>
      </w:r>
      <w:r w:rsidR="002B1B74" w:rsidRPr="002B6CA7">
        <w:t>ies</w:t>
      </w:r>
      <w:r w:rsidR="00953A19">
        <w:t>,</w:t>
      </w:r>
      <w:r w:rsidRPr="002B6CA7">
        <w:t xml:space="preserve"> </w:t>
      </w:r>
      <w:r w:rsidR="00383634" w:rsidRPr="002B6CA7">
        <w:t>along with</w:t>
      </w:r>
      <w:r w:rsidRPr="002B6CA7">
        <w:t xml:space="preserve"> their circle of support or community network</w:t>
      </w:r>
      <w:r w:rsidR="00953A19">
        <w:t>,</w:t>
      </w:r>
      <w:r w:rsidRPr="002B6CA7">
        <w:t xml:space="preserve"> to tailor a package of services and supports that best meet </w:t>
      </w:r>
      <w:r w:rsidR="00383634" w:rsidRPr="002B6CA7">
        <w:t>individual</w:t>
      </w:r>
      <w:r w:rsidRPr="002B6CA7">
        <w:t xml:space="preserve"> needs, goals and </w:t>
      </w:r>
      <w:r w:rsidR="00953A19">
        <w:t xml:space="preserve">residential </w:t>
      </w:r>
      <w:r w:rsidRPr="002B6CA7">
        <w:t>preferences</w:t>
      </w:r>
      <w:r w:rsidR="00953A19">
        <w:t>.</w:t>
      </w:r>
      <w:r w:rsidRPr="002B6CA7">
        <w:t xml:space="preserve"> </w:t>
      </w:r>
      <w:r>
        <w:t xml:space="preserve">Self-directed services and supports may be delivered in a family or individual’s own home and are provided either by private agencies or </w:t>
      </w:r>
      <w:r w:rsidR="00953A19">
        <w:t xml:space="preserve">self-directed hires. </w:t>
      </w:r>
      <w:r>
        <w:t xml:space="preserve">The number of individuals utilizing agreements to purchase and arrange their own residential supports totaled </w:t>
      </w:r>
      <w:r w:rsidR="002B1B74">
        <w:t>1</w:t>
      </w:r>
      <w:r w:rsidR="00953A19">
        <w:t>,</w:t>
      </w:r>
      <w:r w:rsidR="002B1B74">
        <w:t>059</w:t>
      </w:r>
      <w:r>
        <w:t xml:space="preserve"> </w:t>
      </w:r>
      <w:r w:rsidR="00953A19">
        <w:t>in FY</w:t>
      </w:r>
      <w:r>
        <w:t xml:space="preserve"> 20</w:t>
      </w:r>
      <w:r w:rsidR="002B1B74">
        <w:t>12</w:t>
      </w:r>
      <w:r w:rsidR="00D96275">
        <w:t>.</w:t>
      </w:r>
    </w:p>
    <w:p w:rsidR="00D96275" w:rsidRDefault="00D96275" w:rsidP="00D96275">
      <w:pPr>
        <w:sectPr w:rsidR="00D96275"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</w:p>
    <w:p w:rsidR="007C35BB" w:rsidRDefault="007C35BB"/>
    <w:p w:rsidR="007C35BB" w:rsidRDefault="00C6367E" w:rsidP="00D25949">
      <w:pPr>
        <w:pStyle w:val="SubProgramHead0"/>
      </w:pPr>
      <w:r>
        <w:fldChar w:fldCharType="begin"/>
      </w:r>
      <w:r w:rsidR="007C35BB">
        <w:instrText xml:space="preserve"> XE "DDS50000 53065" </w:instrText>
      </w:r>
      <w:r>
        <w:fldChar w:fldCharType="end"/>
      </w:r>
      <w:r w:rsidR="007C35BB">
        <w:t xml:space="preserve">community </w:t>
      </w:r>
      <w:r w:rsidR="002B1B74">
        <w:t>Companion</w:t>
      </w:r>
      <w:r w:rsidR="007C35BB">
        <w:t xml:space="preserve"> homes</w:t>
      </w:r>
    </w:p>
    <w:p w:rsidR="007C35BB" w:rsidRDefault="007C35BB" w:rsidP="00D25949">
      <w:pPr>
        <w:pStyle w:val="SubProgramHead0"/>
        <w:sectPr w:rsidR="007C35BB">
          <w:type w:val="continuous"/>
          <w:pgSz w:w="12240" w:h="15840"/>
          <w:pgMar w:top="864" w:right="720" w:bottom="1152" w:left="720" w:header="432" w:footer="288" w:gutter="216"/>
          <w:cols w:space="720"/>
        </w:sectPr>
      </w:pPr>
    </w:p>
    <w:p w:rsidR="007C35BB" w:rsidRDefault="007C35BB" w:rsidP="00EB73EB">
      <w:pPr>
        <w:pStyle w:val="Heading2"/>
      </w:pPr>
      <w:r>
        <w:lastRenderedPageBreak/>
        <w:t>Statutory Reference</w:t>
      </w:r>
    </w:p>
    <w:p w:rsidR="007C35BB" w:rsidRDefault="007C35BB">
      <w:r>
        <w:t>C.G.S. Sections 17a-227 and 17a-228</w:t>
      </w:r>
      <w:r w:rsidR="00A7222A">
        <w:t>.</w:t>
      </w:r>
      <w:r>
        <w:t xml:space="preserve"> </w:t>
      </w:r>
    </w:p>
    <w:p w:rsidR="007C35BB" w:rsidRDefault="007C35BB" w:rsidP="00EB73EB">
      <w:pPr>
        <w:pStyle w:val="Heading2"/>
      </w:pPr>
      <w:r>
        <w:t>Program Description</w:t>
      </w:r>
    </w:p>
    <w:p w:rsidR="007C35BB" w:rsidRDefault="007C35BB" w:rsidP="003D3807">
      <w:pPr>
        <w:sectPr w:rsidR="007C35BB">
          <w:type w:val="continuous"/>
          <w:pgSz w:w="12240" w:h="15840"/>
          <w:pgMar w:top="864" w:right="720" w:bottom="1152" w:left="720" w:header="432" w:footer="288" w:gutter="216"/>
          <w:cols w:num="2" w:space="720"/>
        </w:sectPr>
      </w:pPr>
      <w:r>
        <w:t xml:space="preserve">Community </w:t>
      </w:r>
      <w:r w:rsidR="002B1B74">
        <w:t>companion</w:t>
      </w:r>
      <w:r>
        <w:t xml:space="preserve"> homes offer children and adults the opportunity to live within a family setting. Families are recruited, </w:t>
      </w:r>
      <w:r>
        <w:lastRenderedPageBreak/>
        <w:t xml:space="preserve">licensed and trained by department staff to share their home with one to three individuals with </w:t>
      </w:r>
      <w:r w:rsidR="0046125B">
        <w:t>intellectual disabilit</w:t>
      </w:r>
      <w:r w:rsidR="002B1B74">
        <w:t>ies</w:t>
      </w:r>
      <w:r>
        <w:t>.  In FY</w:t>
      </w:r>
      <w:r w:rsidR="00F4011A">
        <w:t xml:space="preserve"> </w:t>
      </w:r>
      <w:r>
        <w:t>20</w:t>
      </w:r>
      <w:r w:rsidR="002B1B74">
        <w:t>12</w:t>
      </w:r>
      <w:r>
        <w:t xml:space="preserve">, </w:t>
      </w:r>
      <w:r w:rsidR="002B1B74">
        <w:t>401</w:t>
      </w:r>
      <w:r>
        <w:t xml:space="preserve"> persons with </w:t>
      </w:r>
      <w:r w:rsidR="00F620B4">
        <w:t>intellectual disabilities</w:t>
      </w:r>
      <w:r>
        <w:t xml:space="preserve"> rece</w:t>
      </w:r>
      <w:r w:rsidR="00A7222A">
        <w:t>ived supports in these settings.</w:t>
      </w:r>
    </w:p>
    <w:p w:rsidR="00901B40" w:rsidRDefault="00901B40" w:rsidP="00901B40">
      <w:pPr>
        <w:pStyle w:val="SubProgramHead0"/>
        <w:jc w:val="both"/>
      </w:pPr>
    </w:p>
    <w:p w:rsidR="007C35BB" w:rsidRDefault="00C6367E" w:rsidP="00901B40">
      <w:pPr>
        <w:pStyle w:val="SubProgramHead0"/>
      </w:pPr>
      <w:r>
        <w:fldChar w:fldCharType="begin"/>
      </w:r>
      <w:r w:rsidR="007C35BB">
        <w:instrText xml:space="preserve"> XE "DDS50000 53071" </w:instrText>
      </w:r>
      <w:r>
        <w:fldChar w:fldCharType="end"/>
      </w:r>
      <w:r w:rsidR="007C35BB">
        <w:t>Community Living Arrangements</w:t>
      </w:r>
    </w:p>
    <w:p w:rsidR="007C35BB" w:rsidRDefault="007C35BB" w:rsidP="009B1754">
      <w:pPr>
        <w:pStyle w:val="SubProgramHead0"/>
        <w:sectPr w:rsidR="007C35BB">
          <w:type w:val="continuous"/>
          <w:pgSz w:w="12240" w:h="15840"/>
          <w:pgMar w:top="864" w:right="720" w:bottom="1152" w:left="720" w:header="432" w:footer="288" w:gutter="216"/>
          <w:cols w:space="720"/>
        </w:sectPr>
      </w:pPr>
    </w:p>
    <w:p w:rsidR="007C35BB" w:rsidRDefault="007C35BB" w:rsidP="00EB73EB">
      <w:pPr>
        <w:pStyle w:val="Heading2"/>
      </w:pPr>
      <w:r>
        <w:lastRenderedPageBreak/>
        <w:t xml:space="preserve">Statutory Reference </w:t>
      </w:r>
    </w:p>
    <w:p w:rsidR="007C35BB" w:rsidRDefault="007C35BB">
      <w:r>
        <w:t>C.G.</w:t>
      </w:r>
      <w:r w:rsidR="00A7222A">
        <w:t>S. Sections 17a-227 and 17a-228.</w:t>
      </w:r>
    </w:p>
    <w:p w:rsidR="007C35BB" w:rsidRDefault="007C35BB" w:rsidP="00EB73EB">
      <w:pPr>
        <w:pStyle w:val="Heading2"/>
      </w:pPr>
      <w:r>
        <w:t>Program Description</w:t>
      </w:r>
    </w:p>
    <w:p w:rsidR="007C35BB" w:rsidRDefault="007C35BB">
      <w:r>
        <w:t>Community residences operated by DDS or private agencies</w:t>
      </w:r>
      <w:r w:rsidR="007704C7">
        <w:t>,</w:t>
      </w:r>
      <w:r>
        <w:t xml:space="preserve"> offer individuals with </w:t>
      </w:r>
      <w:r w:rsidR="00F620B4">
        <w:t>intellectual disabilities</w:t>
      </w:r>
      <w:r w:rsidR="007704C7">
        <w:t xml:space="preserve"> the opportunity</w:t>
      </w:r>
      <w:r>
        <w:t xml:space="preserve"> to live in typical community housing. Homes are small in size and generally </w:t>
      </w:r>
      <w:r>
        <w:lastRenderedPageBreak/>
        <w:t xml:space="preserve">serve six or fewer individuals. To capture federal reimbursement, the majority of </w:t>
      </w:r>
      <w:r w:rsidR="007704C7">
        <w:t>individuals</w:t>
      </w:r>
      <w:r>
        <w:t xml:space="preserve"> who receive this service are enrolled in the Comprehensive Supports Home and Community Based Services </w:t>
      </w:r>
      <w:r w:rsidR="006E4E90">
        <w:t xml:space="preserve">(HCBW) </w:t>
      </w:r>
      <w:r>
        <w:t xml:space="preserve">waiver. A small number of homes are certified as </w:t>
      </w:r>
      <w:r w:rsidR="007704C7">
        <w:rPr>
          <w:rFonts w:asciiTheme="minorHAnsi" w:hAnsiTheme="minorHAnsi"/>
          <w:szCs w:val="18"/>
        </w:rPr>
        <w:t xml:space="preserve">Intermediate Care Facilities for Individuals with Intellectual Disabilities (ICF-IID). </w:t>
      </w:r>
      <w:r w:rsidR="006E4E90">
        <w:t xml:space="preserve">3,757 individuals lived in these settings during </w:t>
      </w:r>
      <w:r>
        <w:t>FY</w:t>
      </w:r>
      <w:r w:rsidR="007704C7">
        <w:t xml:space="preserve"> </w:t>
      </w:r>
      <w:r>
        <w:t>20</w:t>
      </w:r>
      <w:r w:rsidR="002B1B74">
        <w:t>12</w:t>
      </w:r>
      <w:r>
        <w:t xml:space="preserve">. </w:t>
      </w:r>
    </w:p>
    <w:p w:rsidR="007C35BB" w:rsidRDefault="007C35BB">
      <w:pPr>
        <w:sectPr w:rsidR="007C35BB">
          <w:footerReference w:type="default" r:id="rId15"/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</w:p>
    <w:p w:rsidR="007C35BB" w:rsidRDefault="007C35BB"/>
    <w:p w:rsidR="007C35BB" w:rsidRDefault="00C6367E" w:rsidP="00D25949">
      <w:pPr>
        <w:pStyle w:val="SubProgramHead0"/>
        <w:sectPr w:rsidR="007C35BB">
          <w:type w:val="continuous"/>
          <w:pgSz w:w="12240" w:h="15840"/>
          <w:pgMar w:top="864" w:right="720" w:bottom="1152" w:left="720" w:header="432" w:footer="288" w:gutter="216"/>
          <w:cols w:space="720"/>
        </w:sectPr>
      </w:pPr>
      <w:r>
        <w:fldChar w:fldCharType="begin"/>
      </w:r>
      <w:r w:rsidR="007C35BB">
        <w:instrText xml:space="preserve"> XE "DDS50000 53077" </w:instrText>
      </w:r>
      <w:r>
        <w:fldChar w:fldCharType="end"/>
      </w:r>
      <w:r w:rsidR="007C35BB">
        <w:t>Campus Units</w:t>
      </w:r>
    </w:p>
    <w:p w:rsidR="007C35BB" w:rsidRDefault="007C35BB" w:rsidP="00EB73EB">
      <w:pPr>
        <w:pStyle w:val="Heading2"/>
      </w:pPr>
      <w:r>
        <w:lastRenderedPageBreak/>
        <w:t xml:space="preserve">Statutory Reference </w:t>
      </w:r>
    </w:p>
    <w:p w:rsidR="007C35BB" w:rsidRDefault="006D7E64">
      <w:proofErr w:type="gramStart"/>
      <w:r>
        <w:t>C.G.S. Section</w:t>
      </w:r>
      <w:r w:rsidR="007C35BB">
        <w:t xml:space="preserve"> 17a-210</w:t>
      </w:r>
      <w:r w:rsidR="00A7222A">
        <w:t>.</w:t>
      </w:r>
      <w:proofErr w:type="gramEnd"/>
    </w:p>
    <w:p w:rsidR="007C35BB" w:rsidRDefault="007C35BB" w:rsidP="00EB73EB">
      <w:pPr>
        <w:pStyle w:val="Heading2"/>
      </w:pPr>
      <w:r>
        <w:t>Program Description</w:t>
      </w:r>
    </w:p>
    <w:p w:rsidR="007C35BB" w:rsidRPr="004D1DD9" w:rsidRDefault="007C35BB">
      <w:r>
        <w:t>The department operates regional campus facilities and one training school campus facility. Admissions to Southbury Training School</w:t>
      </w:r>
      <w:r w:rsidR="009F0F8C">
        <w:t xml:space="preserve"> (STS)</w:t>
      </w:r>
      <w:r>
        <w:t xml:space="preserve"> </w:t>
      </w:r>
      <w:r>
        <w:lastRenderedPageBreak/>
        <w:t xml:space="preserve">are closed. All regional campus units as well as </w:t>
      </w:r>
      <w:r w:rsidR="009F0F8C">
        <w:t xml:space="preserve">STS </w:t>
      </w:r>
      <w:r>
        <w:t xml:space="preserve">are certified </w:t>
      </w:r>
      <w:r w:rsidR="00193EA0">
        <w:rPr>
          <w:rFonts w:asciiTheme="minorHAnsi" w:hAnsiTheme="minorHAnsi"/>
          <w:szCs w:val="18"/>
        </w:rPr>
        <w:t xml:space="preserve">Intermediate Care Facilities for Individuals with Intellectual Disabilities (ICF-IID) </w:t>
      </w:r>
      <w:r w:rsidR="009F0F8C">
        <w:t xml:space="preserve">and are </w:t>
      </w:r>
      <w:r>
        <w:t xml:space="preserve">eligible for 50% Medicaid reimbursement.  </w:t>
      </w:r>
      <w:r w:rsidRPr="004D1DD9">
        <w:t xml:space="preserve">The population of </w:t>
      </w:r>
      <w:r w:rsidR="009F0F8C">
        <w:t>c</w:t>
      </w:r>
      <w:r w:rsidR="00114598">
        <w:t>ampus</w:t>
      </w:r>
      <w:r w:rsidRPr="004D1DD9">
        <w:t xml:space="preserve"> units declined to </w:t>
      </w:r>
      <w:r w:rsidR="002B1B74" w:rsidRPr="004D1DD9">
        <w:t>612</w:t>
      </w:r>
      <w:r w:rsidRPr="004D1DD9">
        <w:t xml:space="preserve"> individuals</w:t>
      </w:r>
      <w:r w:rsidR="009F0F8C">
        <w:t>,</w:t>
      </w:r>
      <w:r w:rsidRPr="004D1DD9">
        <w:t xml:space="preserve"> including </w:t>
      </w:r>
      <w:r w:rsidR="002B1B74" w:rsidRPr="004D1DD9">
        <w:t xml:space="preserve">401 </w:t>
      </w:r>
      <w:r w:rsidR="00DF30D4" w:rsidRPr="004D1DD9">
        <w:t>residents of</w:t>
      </w:r>
      <w:r w:rsidRPr="004D1DD9">
        <w:t xml:space="preserve"> STS</w:t>
      </w:r>
      <w:r w:rsidR="009F0F8C">
        <w:t>,</w:t>
      </w:r>
      <w:r w:rsidRPr="004D1DD9">
        <w:t xml:space="preserve"> </w:t>
      </w:r>
      <w:r w:rsidR="009F0F8C">
        <w:t>in FY</w:t>
      </w:r>
      <w:r w:rsidRPr="004D1DD9">
        <w:t xml:space="preserve"> 20</w:t>
      </w:r>
      <w:r w:rsidR="002B1B74" w:rsidRPr="004D1DD9">
        <w:t>12</w:t>
      </w:r>
      <w:r w:rsidRPr="004D1DD9">
        <w:t>.</w:t>
      </w:r>
    </w:p>
    <w:p w:rsidR="007C35BB" w:rsidRDefault="007C35BB">
      <w:pPr>
        <w:sectPr w:rsidR="007C35BB"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</w:p>
    <w:p w:rsidR="009E1B8B" w:rsidRDefault="009E1B8B" w:rsidP="009E1B8B">
      <w:pPr>
        <w:pStyle w:val="SubProgramHead0"/>
        <w:jc w:val="both"/>
        <w:rPr>
          <w:caps w:val="0"/>
          <w:noProof w:val="0"/>
          <w:color w:val="auto"/>
          <w:sz w:val="18"/>
        </w:rPr>
      </w:pPr>
    </w:p>
    <w:p w:rsidR="007C35BB" w:rsidRDefault="00C6367E" w:rsidP="00D25949">
      <w:pPr>
        <w:pStyle w:val="SubProgramHead0"/>
        <w:sectPr w:rsidR="007C35BB">
          <w:type w:val="continuous"/>
          <w:pgSz w:w="12240" w:h="15840"/>
          <w:pgMar w:top="864" w:right="720" w:bottom="1152" w:left="720" w:header="432" w:footer="288" w:gutter="216"/>
          <w:cols w:space="720"/>
        </w:sectPr>
      </w:pPr>
      <w:r>
        <w:fldChar w:fldCharType="begin"/>
      </w:r>
      <w:r w:rsidR="007C35BB">
        <w:instrText xml:space="preserve"> XE "DDS50000 53081" </w:instrText>
      </w:r>
      <w:r>
        <w:fldChar w:fldCharType="end"/>
      </w:r>
      <w:r w:rsidR="007C35BB">
        <w:t xml:space="preserve">other Private Facilities </w:t>
      </w:r>
    </w:p>
    <w:p w:rsidR="007C35BB" w:rsidRDefault="007C35BB" w:rsidP="00EB73EB">
      <w:pPr>
        <w:pStyle w:val="Heading2"/>
      </w:pPr>
      <w:r>
        <w:lastRenderedPageBreak/>
        <w:t xml:space="preserve">Statutory Reference </w:t>
      </w:r>
    </w:p>
    <w:p w:rsidR="00854288" w:rsidRDefault="007C35BB" w:rsidP="009B1754">
      <w:r>
        <w:t>C.G.</w:t>
      </w:r>
      <w:r w:rsidR="00A7222A">
        <w:t>S. Sections 17a-227 and 17a-228.</w:t>
      </w:r>
    </w:p>
    <w:p w:rsidR="00854288" w:rsidRDefault="00854288" w:rsidP="00854288">
      <w:pPr>
        <w:pStyle w:val="Heading2"/>
      </w:pPr>
      <w:r>
        <w:t>Program Description</w:t>
      </w:r>
    </w:p>
    <w:p w:rsidR="00854288" w:rsidRDefault="004B15EF" w:rsidP="006D7E64">
      <w:r>
        <w:t>Other private f</w:t>
      </w:r>
      <w:r w:rsidR="00854288" w:rsidRPr="00141621">
        <w:t xml:space="preserve">acilities provide specialized services that are purchased from residential treatment facilities and residential </w:t>
      </w:r>
      <w:r w:rsidR="00854288" w:rsidRPr="00141621">
        <w:lastRenderedPageBreak/>
        <w:t>schools for individuals with significant behavioral or medical conditions</w:t>
      </w:r>
      <w:r w:rsidR="00854288" w:rsidRPr="004D1DD9">
        <w:t>.</w:t>
      </w:r>
      <w:r w:rsidR="002630E0" w:rsidRPr="004D1DD9">
        <w:t xml:space="preserve">  </w:t>
      </w:r>
      <w:r>
        <w:t>DDS’</w:t>
      </w:r>
      <w:r w:rsidR="002630E0" w:rsidRPr="004D1DD9">
        <w:t xml:space="preserve"> goal is to utilize such settings as temporary support and </w:t>
      </w:r>
      <w:r>
        <w:t>transition</w:t>
      </w:r>
      <w:r w:rsidR="002630E0" w:rsidRPr="004D1DD9">
        <w:t xml:space="preserve"> </w:t>
      </w:r>
      <w:r w:rsidR="006E4E90">
        <w:t xml:space="preserve">in order to allow </w:t>
      </w:r>
      <w:r w:rsidR="002630E0" w:rsidRPr="004D1DD9">
        <w:t>people to liv</w:t>
      </w:r>
      <w:r w:rsidR="006E4E90">
        <w:t>e</w:t>
      </w:r>
      <w:r w:rsidR="002630E0" w:rsidRPr="004D1DD9">
        <w:t xml:space="preserve"> in community settings</w:t>
      </w:r>
      <w:r>
        <w:t xml:space="preserve"> as quickly as possible. </w:t>
      </w:r>
    </w:p>
    <w:p w:rsidR="006D7E64" w:rsidRPr="002630E0" w:rsidRDefault="006D7E64" w:rsidP="006D7E64">
      <w:pPr>
        <w:rPr>
          <w:color w:val="FF0000"/>
        </w:rPr>
        <w:sectPr w:rsidR="006D7E64" w:rsidRPr="002630E0"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</w:p>
    <w:p w:rsidR="007C35BB" w:rsidRDefault="007C35BB"/>
    <w:p w:rsidR="007C35BB" w:rsidRDefault="00C6367E" w:rsidP="00D25949">
      <w:pPr>
        <w:pStyle w:val="SubProgramHead0"/>
      </w:pPr>
      <w:r>
        <w:fldChar w:fldCharType="begin"/>
      </w:r>
      <w:r w:rsidR="007C35BB">
        <w:instrText xml:space="preserve"> XE "DDS50000 53082" </w:instrText>
      </w:r>
      <w:r>
        <w:fldChar w:fldCharType="end"/>
      </w:r>
      <w:r w:rsidR="007C35BB">
        <w:t>supported Living</w:t>
      </w:r>
    </w:p>
    <w:p w:rsidR="007C35BB" w:rsidRDefault="007C35BB" w:rsidP="00D25949">
      <w:pPr>
        <w:pStyle w:val="SubProgramHead0"/>
        <w:sectPr w:rsidR="007C35BB">
          <w:type w:val="continuous"/>
          <w:pgSz w:w="12240" w:h="15840"/>
          <w:pgMar w:top="864" w:right="720" w:bottom="1152" w:left="720" w:header="432" w:footer="288" w:gutter="216"/>
          <w:cols w:space="720"/>
        </w:sectPr>
      </w:pPr>
    </w:p>
    <w:p w:rsidR="007C35BB" w:rsidRDefault="007C35BB" w:rsidP="00EB73EB">
      <w:pPr>
        <w:pStyle w:val="Heading2"/>
      </w:pPr>
      <w:r>
        <w:lastRenderedPageBreak/>
        <w:t xml:space="preserve">Statutory Reference </w:t>
      </w:r>
    </w:p>
    <w:p w:rsidR="007C35BB" w:rsidRDefault="007C35BB">
      <w:r>
        <w:t>C.G.S. S</w:t>
      </w:r>
      <w:r w:rsidR="00A7222A">
        <w:t>ections 17a-218 and 17a-227(d).</w:t>
      </w:r>
    </w:p>
    <w:p w:rsidR="007C35BB" w:rsidRDefault="007C35BB" w:rsidP="00EB73EB">
      <w:pPr>
        <w:pStyle w:val="Heading2"/>
      </w:pPr>
      <w:r>
        <w:t>Program Description</w:t>
      </w:r>
    </w:p>
    <w:p w:rsidR="007C35BB" w:rsidRDefault="003C5AC1">
      <w:r>
        <w:t>Supported l</w:t>
      </w:r>
      <w:r w:rsidR="007C35BB">
        <w:t>iving is now a</w:t>
      </w:r>
      <w:r w:rsidR="00DF30D4">
        <w:t>n</w:t>
      </w:r>
      <w:r w:rsidR="007C35BB">
        <w:t xml:space="preserve"> HCBS Waiver service called Individualized Home Supports and is offered to individuals with </w:t>
      </w:r>
      <w:r w:rsidR="0046125B">
        <w:t xml:space="preserve">intellectual </w:t>
      </w:r>
      <w:r w:rsidR="0046125B">
        <w:lastRenderedPageBreak/>
        <w:t>disabilit</w:t>
      </w:r>
      <w:r w:rsidR="002B1B74">
        <w:t>ies</w:t>
      </w:r>
      <w:r w:rsidR="007C35BB">
        <w:t xml:space="preserve"> who typically need less than 24-hour support to live in their own apartment or home.  </w:t>
      </w:r>
      <w:r>
        <w:t>DDS,</w:t>
      </w:r>
      <w:r w:rsidR="007C35BB">
        <w:t xml:space="preserve"> contracted private agencies</w:t>
      </w:r>
      <w:r>
        <w:t>,</w:t>
      </w:r>
      <w:r w:rsidR="007C35BB">
        <w:t xml:space="preserve"> </w:t>
      </w:r>
      <w:r>
        <w:t xml:space="preserve">or self-directed hires </w:t>
      </w:r>
      <w:r w:rsidR="007C35BB">
        <w:t xml:space="preserve">provide assistance to individuals to live as independently as possible. Such supports include assistance in locating an apartment or home in the community, health care, shopping, managing finances, housekeeping, transportation, </w:t>
      </w:r>
      <w:r w:rsidR="007C35BB">
        <w:lastRenderedPageBreak/>
        <w:t xml:space="preserve">developing relationships and leisure activities.  </w:t>
      </w:r>
      <w:r w:rsidR="00DF30D4">
        <w:t xml:space="preserve">The number of </w:t>
      </w:r>
      <w:r w:rsidR="007C35BB">
        <w:t xml:space="preserve">individuals </w:t>
      </w:r>
      <w:r w:rsidR="00DF30D4">
        <w:t xml:space="preserve">who </w:t>
      </w:r>
      <w:r w:rsidR="007C35BB">
        <w:t xml:space="preserve">were supported through </w:t>
      </w:r>
      <w:r w:rsidR="006E4E90">
        <w:t>supportive living settings</w:t>
      </w:r>
      <w:r>
        <w:t xml:space="preserve"> </w:t>
      </w:r>
      <w:r w:rsidR="00DF30D4">
        <w:lastRenderedPageBreak/>
        <w:t>was 1</w:t>
      </w:r>
      <w:r>
        <w:t>,</w:t>
      </w:r>
      <w:r w:rsidR="00DF30D4">
        <w:t xml:space="preserve">674 </w:t>
      </w:r>
      <w:r>
        <w:t>in FY</w:t>
      </w:r>
      <w:r w:rsidR="007C35BB">
        <w:t xml:space="preserve"> 2</w:t>
      </w:r>
      <w:r w:rsidR="002B1B74">
        <w:t>012</w:t>
      </w:r>
      <w:r w:rsidR="007C35BB">
        <w:t>.</w:t>
      </w:r>
    </w:p>
    <w:p w:rsidR="00B75F43" w:rsidRDefault="00B75F43">
      <w:pPr>
        <w:sectPr w:rsidR="00B75F43"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</w:p>
    <w:p w:rsidR="007C35BB" w:rsidRDefault="007C35BB"/>
    <w:p w:rsidR="007C35BB" w:rsidRPr="0037248B" w:rsidRDefault="00C6367E" w:rsidP="005C1D9D">
      <w:pPr>
        <w:pStyle w:val="ProgramHead"/>
        <w:jc w:val="center"/>
      </w:pPr>
      <w:r w:rsidRPr="0037248B">
        <w:fldChar w:fldCharType="begin"/>
      </w:r>
      <w:r w:rsidR="007C35BB" w:rsidRPr="0037248B">
        <w:instrText xml:space="preserve"> XE "DDS50000 14000" </w:instrText>
      </w:r>
      <w:r w:rsidRPr="0037248B">
        <w:fldChar w:fldCharType="end"/>
      </w:r>
      <w:r w:rsidR="007C35BB" w:rsidRPr="0037248B">
        <w:t>Management Services</w:t>
      </w:r>
    </w:p>
    <w:p w:rsidR="007C35BB" w:rsidRPr="0037248B" w:rsidRDefault="007C35BB" w:rsidP="0037248B">
      <w:pPr>
        <w:pStyle w:val="ProgramHead"/>
        <w:sectPr w:rsidR="007C35BB" w:rsidRPr="0037248B">
          <w:type w:val="continuous"/>
          <w:pgSz w:w="12240" w:h="15840"/>
          <w:pgMar w:top="864" w:right="720" w:bottom="1152" w:left="720" w:header="432" w:footer="288" w:gutter="216"/>
          <w:cols w:space="720"/>
        </w:sectPr>
      </w:pPr>
    </w:p>
    <w:p w:rsidR="007C35BB" w:rsidRDefault="007C35BB" w:rsidP="00EB73EB">
      <w:pPr>
        <w:pStyle w:val="Heading2"/>
      </w:pPr>
      <w:r>
        <w:lastRenderedPageBreak/>
        <w:t xml:space="preserve">Statutory Reference </w:t>
      </w:r>
    </w:p>
    <w:p w:rsidR="007C35BB" w:rsidRDefault="007C35BB">
      <w:proofErr w:type="gramStart"/>
      <w:r>
        <w:t>C.G.S. Section 17a-210</w:t>
      </w:r>
      <w:r w:rsidR="00A7222A">
        <w:t>.</w:t>
      </w:r>
      <w:proofErr w:type="gramEnd"/>
    </w:p>
    <w:p w:rsidR="007C35BB" w:rsidRDefault="007C35BB" w:rsidP="00EB73EB">
      <w:pPr>
        <w:pStyle w:val="Heading2"/>
      </w:pPr>
      <w:r>
        <w:t>Program Description</w:t>
      </w:r>
    </w:p>
    <w:p w:rsidR="007C35BB" w:rsidRPr="004015B6" w:rsidRDefault="00FC768A" w:rsidP="00B75F43">
      <w:r w:rsidRPr="004015B6">
        <w:t>Management services ensure</w:t>
      </w:r>
      <w:r w:rsidR="007C35BB" w:rsidRPr="004015B6">
        <w:t xml:space="preserve"> that a comprehensive, integrated, equitable and cost–effective system of services is available to individuals with </w:t>
      </w:r>
      <w:r w:rsidR="0046125B" w:rsidRPr="004015B6">
        <w:t>intellectual disabilit</w:t>
      </w:r>
      <w:r w:rsidR="002B1B74" w:rsidRPr="004015B6">
        <w:t>ies</w:t>
      </w:r>
      <w:r w:rsidR="007C35BB" w:rsidRPr="004015B6">
        <w:t xml:space="preserve"> through coordinated planning, systems improvement and standardization of best practices. </w:t>
      </w:r>
    </w:p>
    <w:p w:rsidR="007C35BB" w:rsidRPr="004015B6" w:rsidRDefault="007C35BB" w:rsidP="00B75F43">
      <w:pPr>
        <w:pStyle w:val="H4"/>
        <w:jc w:val="both"/>
      </w:pPr>
      <w:r w:rsidRPr="004015B6">
        <w:t xml:space="preserve">State Management </w:t>
      </w:r>
    </w:p>
    <w:p w:rsidR="007C35BB" w:rsidRPr="004015B6" w:rsidRDefault="007C35BB" w:rsidP="00B75F43">
      <w:pPr>
        <w:spacing w:after="0"/>
      </w:pPr>
      <w:r w:rsidRPr="004015B6">
        <w:rPr>
          <w:rStyle w:val="Heading4Char"/>
          <w:b w:val="0"/>
        </w:rPr>
        <w:t>Administrative Services</w:t>
      </w:r>
      <w:r w:rsidR="00983006" w:rsidRPr="004015B6">
        <w:t xml:space="preserve"> oversee</w:t>
      </w:r>
      <w:r w:rsidR="006E4E90" w:rsidRPr="004015B6">
        <w:t>s</w:t>
      </w:r>
      <w:r w:rsidR="0080718F" w:rsidRPr="004015B6">
        <w:t xml:space="preserve"> a</w:t>
      </w:r>
      <w:r w:rsidRPr="004015B6">
        <w:t>udit</w:t>
      </w:r>
      <w:r w:rsidR="00FC768A" w:rsidRPr="004015B6">
        <w:t>,</w:t>
      </w:r>
      <w:r w:rsidR="0090074A" w:rsidRPr="004015B6">
        <w:t xml:space="preserve"> </w:t>
      </w:r>
      <w:r w:rsidR="0080718F" w:rsidRPr="004015B6">
        <w:t>budget, revenue e</w:t>
      </w:r>
      <w:r w:rsidR="00DF30D4" w:rsidRPr="004015B6">
        <w:t>nhancement,</w:t>
      </w:r>
      <w:r w:rsidR="0090074A" w:rsidRPr="004015B6">
        <w:t xml:space="preserve"> </w:t>
      </w:r>
      <w:r w:rsidR="0080718F" w:rsidRPr="004015B6">
        <w:t>Medicaid o</w:t>
      </w:r>
      <w:r w:rsidRPr="004015B6">
        <w:t>perations</w:t>
      </w:r>
      <w:r w:rsidR="0090074A" w:rsidRPr="004015B6">
        <w:t>,</w:t>
      </w:r>
      <w:r w:rsidR="0080718F" w:rsidRPr="004015B6">
        <w:t xml:space="preserve"> in</w:t>
      </w:r>
      <w:r w:rsidRPr="004015B6">
        <w:t>format</w:t>
      </w:r>
      <w:r w:rsidR="0080718F" w:rsidRPr="004015B6">
        <w:t>ion t</w:t>
      </w:r>
      <w:r w:rsidRPr="004015B6">
        <w:t>echnology</w:t>
      </w:r>
      <w:r w:rsidR="0080718F" w:rsidRPr="004015B6">
        <w:t>, c</w:t>
      </w:r>
      <w:r w:rsidR="00983006" w:rsidRPr="004015B6">
        <w:t>ommunications and</w:t>
      </w:r>
      <w:r w:rsidR="0080718F" w:rsidRPr="004015B6">
        <w:t xml:space="preserve"> constituent services, human resources and labor relations, payroll services, physical plant/engineering s</w:t>
      </w:r>
      <w:r w:rsidRPr="004015B6">
        <w:t>ervices</w:t>
      </w:r>
      <w:r w:rsidR="0090074A" w:rsidRPr="004015B6">
        <w:t>,</w:t>
      </w:r>
      <w:r w:rsidR="0080718F" w:rsidRPr="004015B6">
        <w:t xml:space="preserve"> staff development and educational s</w:t>
      </w:r>
      <w:r w:rsidRPr="004015B6">
        <w:t>upport</w:t>
      </w:r>
      <w:r w:rsidR="00FC768A" w:rsidRPr="004015B6">
        <w:t>.</w:t>
      </w:r>
    </w:p>
    <w:p w:rsidR="007C35BB" w:rsidRPr="004015B6" w:rsidRDefault="007C35BB" w:rsidP="00B75F43">
      <w:pPr>
        <w:spacing w:after="0"/>
      </w:pPr>
      <w:r w:rsidRPr="004015B6">
        <w:rPr>
          <w:rStyle w:val="Heading4Char"/>
          <w:b w:val="0"/>
        </w:rPr>
        <w:t>Family and Community Services</w:t>
      </w:r>
      <w:r w:rsidR="00125FEB" w:rsidRPr="004015B6">
        <w:t xml:space="preserve"> oversees</w:t>
      </w:r>
      <w:r w:rsidR="0080718F" w:rsidRPr="004015B6">
        <w:t xml:space="preserve"> regional programs and s</w:t>
      </w:r>
      <w:r w:rsidRPr="004015B6">
        <w:t>er</w:t>
      </w:r>
      <w:r w:rsidR="0080718F" w:rsidRPr="004015B6">
        <w:t xml:space="preserve">vices, </w:t>
      </w:r>
      <w:r w:rsidR="00373F6C" w:rsidRPr="004015B6">
        <w:t xml:space="preserve">Autism </w:t>
      </w:r>
      <w:r w:rsidR="00125FEB" w:rsidRPr="004015B6">
        <w:t>Division</w:t>
      </w:r>
      <w:r w:rsidR="00373F6C" w:rsidRPr="004015B6">
        <w:t>, Individual and Family Support, Birth to Three, Health and Clinical S</w:t>
      </w:r>
      <w:r w:rsidR="0080718F" w:rsidRPr="004015B6">
        <w:t>ervice</w:t>
      </w:r>
      <w:r w:rsidR="00373F6C" w:rsidRPr="004015B6">
        <w:t>s, Elder and Children S</w:t>
      </w:r>
      <w:r w:rsidRPr="004015B6">
        <w:t>ervices</w:t>
      </w:r>
      <w:r w:rsidR="0090074A" w:rsidRPr="004015B6">
        <w:t>,</w:t>
      </w:r>
      <w:r w:rsidRPr="004015B6">
        <w:t xml:space="preserve"> Waiver Policy and Pla</w:t>
      </w:r>
      <w:r w:rsidR="00892E5B" w:rsidRPr="004015B6">
        <w:t>nning, Quality Improvement, and</w:t>
      </w:r>
      <w:r w:rsidRPr="004015B6">
        <w:t xml:space="preserve"> Program Development</w:t>
      </w:r>
      <w:r w:rsidR="00125FEB" w:rsidRPr="004015B6">
        <w:t>.</w:t>
      </w:r>
    </w:p>
    <w:p w:rsidR="007C35BB" w:rsidRPr="004015B6" w:rsidRDefault="007C35BB" w:rsidP="00B75F43">
      <w:pPr>
        <w:rPr>
          <w:u w:val="single"/>
        </w:rPr>
      </w:pPr>
      <w:r w:rsidRPr="004015B6">
        <w:rPr>
          <w:rStyle w:val="Heading4Char"/>
          <w:b w:val="0"/>
        </w:rPr>
        <w:t>Legal and Government Affairs</w:t>
      </w:r>
      <w:r w:rsidR="00125FEB" w:rsidRPr="004015B6">
        <w:t xml:space="preserve"> oversees</w:t>
      </w:r>
      <w:r w:rsidRPr="004015B6">
        <w:t xml:space="preserve"> Legislative Affairs, Legal Affairs, Forensic Services, </w:t>
      </w:r>
      <w:r w:rsidR="00125FEB" w:rsidRPr="004015B6">
        <w:t xml:space="preserve">and </w:t>
      </w:r>
      <w:r w:rsidRPr="004015B6">
        <w:t>Eligibility/Single Point of Entry</w:t>
      </w:r>
      <w:r w:rsidR="00125FEB" w:rsidRPr="004015B6">
        <w:t>.</w:t>
      </w:r>
    </w:p>
    <w:p w:rsidR="007C35BB" w:rsidRPr="004015B6" w:rsidRDefault="00125FEB" w:rsidP="00B75F43">
      <w:r w:rsidRPr="004015B6">
        <w:t>Investigations conduct</w:t>
      </w:r>
      <w:r w:rsidR="00217806" w:rsidRPr="004015B6">
        <w:t xml:space="preserve"> </w:t>
      </w:r>
      <w:r w:rsidRPr="004015B6">
        <w:t>and monitor investigations of a</w:t>
      </w:r>
      <w:r w:rsidR="00217806" w:rsidRPr="004015B6">
        <w:t xml:space="preserve">buse </w:t>
      </w:r>
      <w:r w:rsidRPr="004015B6">
        <w:t>and n</w:t>
      </w:r>
      <w:r w:rsidR="00217806" w:rsidRPr="004015B6">
        <w:t xml:space="preserve">eglect within DDS and </w:t>
      </w:r>
      <w:r w:rsidRPr="004015B6">
        <w:t>contracted</w:t>
      </w:r>
      <w:r w:rsidR="00217806" w:rsidRPr="004015B6">
        <w:t xml:space="preserve"> providers.  An interagency agreement with the Office of Protection and Advocacy was established in 2005 that outlines DDS responsibilities in this area.  </w:t>
      </w:r>
      <w:r w:rsidR="001971E0" w:rsidRPr="004015B6">
        <w:t>T</w:t>
      </w:r>
      <w:r w:rsidR="00217806" w:rsidRPr="004015B6">
        <w:t>he Division of Investigations is directed by a member of the Connecticut State Police based on an interagency agreement.</w:t>
      </w:r>
    </w:p>
    <w:p w:rsidR="007C35BB" w:rsidRPr="004015B6" w:rsidRDefault="007C35BB" w:rsidP="00B75F43">
      <w:pPr>
        <w:pStyle w:val="Heading4"/>
        <w:jc w:val="both"/>
      </w:pPr>
      <w:r w:rsidRPr="004015B6">
        <w:rPr>
          <w:b w:val="0"/>
        </w:rPr>
        <w:t>Office of the Ombudsperson</w:t>
      </w:r>
      <w:r w:rsidR="00125FEB" w:rsidRPr="004015B6">
        <w:t xml:space="preserve"> </w:t>
      </w:r>
      <w:r w:rsidR="00125FEB" w:rsidRPr="004015B6">
        <w:rPr>
          <w:b w:val="0"/>
        </w:rPr>
        <w:t>is led by</w:t>
      </w:r>
      <w:r w:rsidR="00125FEB" w:rsidRPr="004015B6">
        <w:t xml:space="preserve"> </w:t>
      </w:r>
      <w:r w:rsidR="00FB559A" w:rsidRPr="004015B6">
        <w:rPr>
          <w:b w:val="0"/>
        </w:rPr>
        <w:t>an independent</w:t>
      </w:r>
      <w:r w:rsidR="00FB559A" w:rsidRPr="004015B6">
        <w:t xml:space="preserve"> </w:t>
      </w:r>
      <w:r w:rsidR="00FB559A" w:rsidRPr="004015B6">
        <w:rPr>
          <w:b w:val="0"/>
        </w:rPr>
        <w:t>official who works on behalf of citizens with disabilities and their families to address complaints and or problems regarding access to services or equity of treatment.</w:t>
      </w:r>
    </w:p>
    <w:p w:rsidR="007C35BB" w:rsidRPr="004015B6" w:rsidRDefault="007C35BB" w:rsidP="00A42E68">
      <w:pPr>
        <w:pStyle w:val="Heading4"/>
        <w:jc w:val="both"/>
        <w:rPr>
          <w:b w:val="0"/>
        </w:rPr>
      </w:pPr>
      <w:r w:rsidRPr="004015B6">
        <w:rPr>
          <w:b w:val="0"/>
        </w:rPr>
        <w:t>Quality Management</w:t>
      </w:r>
      <w:r w:rsidR="00125FEB" w:rsidRPr="004015B6">
        <w:t xml:space="preserve"> </w:t>
      </w:r>
      <w:r w:rsidR="00125FEB" w:rsidRPr="004015B6">
        <w:rPr>
          <w:b w:val="0"/>
        </w:rPr>
        <w:t xml:space="preserve">monitors </w:t>
      </w:r>
      <w:r w:rsidR="00217806" w:rsidRPr="004015B6">
        <w:rPr>
          <w:b w:val="0"/>
        </w:rPr>
        <w:t xml:space="preserve">DDS and private provider operated programs, licensure of Community Companion Homes and </w:t>
      </w:r>
      <w:r w:rsidR="00217806" w:rsidRPr="004015B6">
        <w:rPr>
          <w:b w:val="0"/>
        </w:rPr>
        <w:lastRenderedPageBreak/>
        <w:t>C</w:t>
      </w:r>
      <w:r w:rsidR="00125FEB" w:rsidRPr="004015B6">
        <w:rPr>
          <w:b w:val="0"/>
        </w:rPr>
        <w:t>ommunity Living Arrangements, and is responsible for the s</w:t>
      </w:r>
      <w:r w:rsidR="00217806" w:rsidRPr="004015B6">
        <w:rPr>
          <w:b w:val="0"/>
        </w:rPr>
        <w:t xml:space="preserve">tatewide </w:t>
      </w:r>
      <w:r w:rsidR="00FB559A" w:rsidRPr="004015B6">
        <w:rPr>
          <w:b w:val="0"/>
        </w:rPr>
        <w:t>c</w:t>
      </w:r>
      <w:r w:rsidR="00217806" w:rsidRPr="004015B6">
        <w:rPr>
          <w:b w:val="0"/>
        </w:rPr>
        <w:t xml:space="preserve">oordination of </w:t>
      </w:r>
      <w:r w:rsidR="00FB559A" w:rsidRPr="004015B6">
        <w:rPr>
          <w:b w:val="0"/>
        </w:rPr>
        <w:t>d</w:t>
      </w:r>
      <w:r w:rsidR="00217806" w:rsidRPr="004015B6">
        <w:rPr>
          <w:b w:val="0"/>
        </w:rPr>
        <w:t>epartmental emergency management activities.</w:t>
      </w:r>
    </w:p>
    <w:p w:rsidR="007C35BB" w:rsidRPr="004015B6" w:rsidRDefault="007C35BB" w:rsidP="00B75F43">
      <w:pPr>
        <w:pStyle w:val="H4"/>
        <w:jc w:val="both"/>
      </w:pPr>
      <w:r w:rsidRPr="004015B6">
        <w:t>Regional Management</w:t>
      </w:r>
    </w:p>
    <w:p w:rsidR="007C35BB" w:rsidRPr="004015B6" w:rsidRDefault="007C35BB" w:rsidP="00B75F43">
      <w:r w:rsidRPr="004015B6">
        <w:t xml:space="preserve">Regional and Training School Directors and Assistant Regional Directors manage the delivery of services to people with </w:t>
      </w:r>
      <w:r w:rsidR="0046125B" w:rsidRPr="004015B6">
        <w:t>intellectual disabilit</w:t>
      </w:r>
      <w:r w:rsidR="002B1B74" w:rsidRPr="004015B6">
        <w:t>ies</w:t>
      </w:r>
      <w:r w:rsidRPr="004015B6">
        <w:t xml:space="preserve"> in their respective regions and at the Southbury Training School. </w:t>
      </w:r>
    </w:p>
    <w:p w:rsidR="007C35BB" w:rsidRPr="004015B6" w:rsidRDefault="007C35BB" w:rsidP="00B75F43">
      <w:pPr>
        <w:rPr>
          <w:bCs/>
        </w:rPr>
      </w:pPr>
      <w:r w:rsidRPr="004015B6">
        <w:rPr>
          <w:rStyle w:val="Heading4Char"/>
          <w:b w:val="0"/>
        </w:rPr>
        <w:t>Individual and Family Support</w:t>
      </w:r>
      <w:r w:rsidR="00AF6803" w:rsidRPr="004015B6">
        <w:rPr>
          <w:bCs/>
        </w:rPr>
        <w:t xml:space="preserve"> oversees c</w:t>
      </w:r>
      <w:r w:rsidRPr="004015B6">
        <w:rPr>
          <w:bCs/>
        </w:rPr>
        <w:t xml:space="preserve">ase management, individual and family support services (family resource teams, family grants, school to work transition planning, educational liaisons, respite coordination), </w:t>
      </w:r>
      <w:r w:rsidR="00AF6803" w:rsidRPr="004015B6">
        <w:rPr>
          <w:bCs/>
        </w:rPr>
        <w:t>and</w:t>
      </w:r>
      <w:r w:rsidRPr="004015B6">
        <w:rPr>
          <w:bCs/>
        </w:rPr>
        <w:t xml:space="preserve"> early intervention services for infants and toddlers.</w:t>
      </w:r>
    </w:p>
    <w:p w:rsidR="00AF6803" w:rsidRPr="004015B6" w:rsidRDefault="007C35BB" w:rsidP="00B75F43">
      <w:pPr>
        <w:rPr>
          <w:bCs/>
        </w:rPr>
      </w:pPr>
      <w:r w:rsidRPr="004015B6">
        <w:rPr>
          <w:rStyle w:val="Heading4Char"/>
          <w:b w:val="0"/>
        </w:rPr>
        <w:t>Private Administration</w:t>
      </w:r>
      <w:r w:rsidR="00AF6803" w:rsidRPr="004015B6">
        <w:rPr>
          <w:rStyle w:val="Heading4Char"/>
        </w:rPr>
        <w:t xml:space="preserve"> </w:t>
      </w:r>
      <w:r w:rsidR="00AF6803" w:rsidRPr="004015B6">
        <w:rPr>
          <w:rStyle w:val="Heading4Char"/>
          <w:b w:val="0"/>
        </w:rPr>
        <w:t>oversees the contracting with and program management of</w:t>
      </w:r>
      <w:r w:rsidRPr="004015B6">
        <w:rPr>
          <w:bCs/>
        </w:rPr>
        <w:t xml:space="preserve"> private sector residential services (community living arrangements, </w:t>
      </w:r>
      <w:r w:rsidR="002B1B74" w:rsidRPr="004015B6">
        <w:rPr>
          <w:bCs/>
        </w:rPr>
        <w:t xml:space="preserve">continuous residential supports, </w:t>
      </w:r>
      <w:r w:rsidRPr="004015B6">
        <w:rPr>
          <w:bCs/>
        </w:rPr>
        <w:t>individ</w:t>
      </w:r>
      <w:r w:rsidR="004222A2" w:rsidRPr="004015B6">
        <w:rPr>
          <w:bCs/>
        </w:rPr>
        <w:t xml:space="preserve">ualized home supports, </w:t>
      </w:r>
      <w:r w:rsidR="006D573C" w:rsidRPr="004015B6">
        <w:rPr>
          <w:bCs/>
        </w:rPr>
        <w:t>and community</w:t>
      </w:r>
      <w:r w:rsidRPr="004015B6">
        <w:rPr>
          <w:bCs/>
        </w:rPr>
        <w:t xml:space="preserve"> </w:t>
      </w:r>
      <w:r w:rsidR="002B1B74" w:rsidRPr="004015B6">
        <w:rPr>
          <w:bCs/>
        </w:rPr>
        <w:t>companion</w:t>
      </w:r>
      <w:r w:rsidRPr="004015B6">
        <w:rPr>
          <w:bCs/>
        </w:rPr>
        <w:t xml:space="preserve"> homes), employment and day services for adults, and case management services for individuals supported by private agencies. </w:t>
      </w:r>
      <w:r w:rsidR="00AF6803" w:rsidRPr="004015B6">
        <w:rPr>
          <w:bCs/>
        </w:rPr>
        <w:t>This unit is also</w:t>
      </w:r>
      <w:r w:rsidRPr="004015B6">
        <w:rPr>
          <w:bCs/>
        </w:rPr>
        <w:t xml:space="preserve"> </w:t>
      </w:r>
      <w:r w:rsidR="00AF6803" w:rsidRPr="004015B6">
        <w:rPr>
          <w:bCs/>
        </w:rPr>
        <w:t>responsible for</w:t>
      </w:r>
      <w:r w:rsidRPr="004015B6">
        <w:rPr>
          <w:bCs/>
        </w:rPr>
        <w:t xml:space="preserve"> the management of administrative services for the region</w:t>
      </w:r>
      <w:r w:rsidR="00AF6803" w:rsidRPr="004015B6">
        <w:rPr>
          <w:bCs/>
        </w:rPr>
        <w:t xml:space="preserve">. </w:t>
      </w:r>
    </w:p>
    <w:p w:rsidR="007C35BB" w:rsidRPr="004015B6" w:rsidRDefault="007C35BB" w:rsidP="00B75F43">
      <w:pPr>
        <w:rPr>
          <w:bCs/>
        </w:rPr>
      </w:pPr>
      <w:r w:rsidRPr="004015B6">
        <w:rPr>
          <w:rStyle w:val="Heading4Char"/>
          <w:b w:val="0"/>
        </w:rPr>
        <w:t>Public Programs</w:t>
      </w:r>
      <w:r w:rsidRPr="004015B6">
        <w:rPr>
          <w:bCs/>
        </w:rPr>
        <w:t xml:space="preserve"> </w:t>
      </w:r>
      <w:r w:rsidR="0027587D" w:rsidRPr="004015B6">
        <w:rPr>
          <w:bCs/>
        </w:rPr>
        <w:t>include d</w:t>
      </w:r>
      <w:r w:rsidRPr="004015B6">
        <w:rPr>
          <w:bCs/>
        </w:rPr>
        <w:t>ay and residential services for adults in campus programs, community living arrangements or individualized home supports and respite serv</w:t>
      </w:r>
      <w:r w:rsidR="0027587D" w:rsidRPr="004015B6">
        <w:rPr>
          <w:bCs/>
        </w:rPr>
        <w:t>ices for children and adults.  This unit also includes</w:t>
      </w:r>
      <w:r w:rsidRPr="004015B6">
        <w:rPr>
          <w:bCs/>
        </w:rPr>
        <w:t xml:space="preserve"> clinical, health and case management services and physical plant and maintenance support.  </w:t>
      </w:r>
    </w:p>
    <w:p w:rsidR="0090074A" w:rsidRPr="004015B6" w:rsidRDefault="007C35BB" w:rsidP="00B75F43">
      <w:pPr>
        <w:rPr>
          <w:bCs/>
        </w:rPr>
      </w:pPr>
      <w:r w:rsidRPr="004015B6">
        <w:rPr>
          <w:rStyle w:val="Heading4Char"/>
          <w:b w:val="0"/>
        </w:rPr>
        <w:t>Quality Improvement</w:t>
      </w:r>
      <w:r w:rsidRPr="004015B6">
        <w:rPr>
          <w:bCs/>
        </w:rPr>
        <w:t xml:space="preserve"> </w:t>
      </w:r>
      <w:r w:rsidR="0027587D" w:rsidRPr="004015B6">
        <w:rPr>
          <w:bCs/>
        </w:rPr>
        <w:t>over</w:t>
      </w:r>
      <w:r w:rsidR="007F5270" w:rsidRPr="004015B6">
        <w:rPr>
          <w:bCs/>
        </w:rPr>
        <w:t>sees various functions such as p</w:t>
      </w:r>
      <w:r w:rsidR="0027587D" w:rsidRPr="004015B6">
        <w:rPr>
          <w:bCs/>
        </w:rPr>
        <w:t>lanning</w:t>
      </w:r>
      <w:r w:rsidR="007F5270" w:rsidRPr="004015B6">
        <w:rPr>
          <w:bCs/>
        </w:rPr>
        <w:t xml:space="preserve"> and resource allocation, health and clinical services, abuse/neglect investigations, and information m</w:t>
      </w:r>
      <w:r w:rsidRPr="004015B6">
        <w:rPr>
          <w:bCs/>
        </w:rPr>
        <w:t xml:space="preserve">anagement. </w:t>
      </w:r>
    </w:p>
    <w:p w:rsidR="00575AAF" w:rsidRPr="004015B6" w:rsidRDefault="007C35BB" w:rsidP="00B75F43">
      <w:pPr>
        <w:pStyle w:val="Heading4"/>
        <w:jc w:val="both"/>
        <w:rPr>
          <w:b w:val="0"/>
          <w:bCs/>
        </w:rPr>
      </w:pPr>
      <w:r w:rsidRPr="004015B6">
        <w:rPr>
          <w:b w:val="0"/>
        </w:rPr>
        <w:t>Self Determination and Self Advocacy Supports</w:t>
      </w:r>
      <w:r w:rsidR="003D3807" w:rsidRPr="004015B6">
        <w:t xml:space="preserve"> </w:t>
      </w:r>
      <w:r w:rsidR="00931CA6" w:rsidRPr="004015B6">
        <w:rPr>
          <w:b w:val="0"/>
        </w:rPr>
        <w:t>assist</w:t>
      </w:r>
      <w:r w:rsidR="00575AAF" w:rsidRPr="004015B6">
        <w:rPr>
          <w:b w:val="0"/>
          <w:bCs/>
        </w:rPr>
        <w:t xml:space="preserve"> individuals to crea</w:t>
      </w:r>
      <w:r w:rsidR="00931CA6" w:rsidRPr="004015B6">
        <w:rPr>
          <w:b w:val="0"/>
          <w:bCs/>
        </w:rPr>
        <w:t>te Person-Centered Plans, make informed d</w:t>
      </w:r>
      <w:r w:rsidR="00575AAF" w:rsidRPr="004015B6">
        <w:rPr>
          <w:b w:val="0"/>
          <w:bCs/>
        </w:rPr>
        <w:t>ecisions, and take personal responsibilit</w:t>
      </w:r>
      <w:r w:rsidR="00931CA6" w:rsidRPr="004015B6">
        <w:rPr>
          <w:b w:val="0"/>
          <w:bCs/>
        </w:rPr>
        <w:t>y for authorizing and managing i</w:t>
      </w:r>
      <w:r w:rsidR="00575AAF" w:rsidRPr="004015B6">
        <w:rPr>
          <w:b w:val="0"/>
          <w:bCs/>
        </w:rPr>
        <w:t>ndividualize</w:t>
      </w:r>
      <w:r w:rsidR="00931CA6" w:rsidRPr="004015B6">
        <w:rPr>
          <w:b w:val="0"/>
          <w:bCs/>
        </w:rPr>
        <w:t>d b</w:t>
      </w:r>
      <w:r w:rsidR="00575AAF" w:rsidRPr="004015B6">
        <w:rPr>
          <w:b w:val="0"/>
          <w:bCs/>
        </w:rPr>
        <w:t>udgets</w:t>
      </w:r>
      <w:r w:rsidR="00931CA6" w:rsidRPr="004015B6">
        <w:rPr>
          <w:b w:val="0"/>
          <w:bCs/>
        </w:rPr>
        <w:t xml:space="preserve"> to the greatest extent possible.  Funds from individualized b</w:t>
      </w:r>
      <w:r w:rsidR="00575AAF" w:rsidRPr="004015B6">
        <w:rPr>
          <w:b w:val="0"/>
          <w:bCs/>
        </w:rPr>
        <w:t xml:space="preserve">udgets are used to purchase supports and hire staff.  </w:t>
      </w:r>
    </w:p>
    <w:p w:rsidR="003D3807" w:rsidRPr="004015B6" w:rsidRDefault="003D3807" w:rsidP="003D3807">
      <w:pPr>
        <w:sectPr w:rsidR="003D3807" w:rsidRPr="004015B6">
          <w:footerReference w:type="even" r:id="rId16"/>
          <w:type w:val="continuous"/>
          <w:pgSz w:w="12240" w:h="15840"/>
          <w:pgMar w:top="864" w:right="720" w:bottom="1152" w:left="720" w:header="432" w:footer="288" w:gutter="216"/>
          <w:cols w:num="2" w:space="432"/>
        </w:sectPr>
      </w:pPr>
    </w:p>
    <w:p w:rsidR="007C35BB" w:rsidRDefault="007C35BB">
      <w:pPr>
        <w:pStyle w:val="BalloonText"/>
        <w:rPr>
          <w:rFonts w:ascii="Lucida Sans Unicode" w:hAnsi="Lucida Sans Unicode" w:cs="Times New Roman"/>
        </w:rPr>
      </w:pPr>
    </w:p>
    <w:sectPr w:rsidR="007C35BB" w:rsidSect="00D61AF7">
      <w:headerReference w:type="even" r:id="rId17"/>
      <w:type w:val="continuous"/>
      <w:pgSz w:w="12240" w:h="15840"/>
      <w:pgMar w:top="864" w:right="720" w:bottom="1152" w:left="720" w:header="432" w:footer="288" w:gutter="2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A57" w:rsidRDefault="007E5A57">
      <w:r>
        <w:separator/>
      </w:r>
    </w:p>
  </w:endnote>
  <w:endnote w:type="continuationSeparator" w:id="0">
    <w:p w:rsidR="007E5A57" w:rsidRDefault="007E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57" w:rsidRDefault="00C636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E5A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5A57">
      <w:rPr>
        <w:rStyle w:val="PageNumber"/>
        <w:noProof/>
      </w:rPr>
      <w:t>2</w:t>
    </w:r>
    <w:r>
      <w:rPr>
        <w:rStyle w:val="PageNumber"/>
      </w:rPr>
      <w:fldChar w:fldCharType="end"/>
    </w:r>
  </w:p>
  <w:p w:rsidR="007E5A57" w:rsidRDefault="007E5A57">
    <w:pPr>
      <w:pStyle w:val="Footer"/>
      <w:tabs>
        <w:tab w:val="right" w:pos="10472"/>
      </w:tabs>
      <w:jc w:val="left"/>
    </w:pPr>
    <w:r>
      <w:t>Department of Developmental Services</w:t>
    </w:r>
    <w:r>
      <w:tab/>
      <w:t>Health and Hospitals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57" w:rsidRDefault="00C636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E5A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1D9D">
      <w:rPr>
        <w:rStyle w:val="PageNumber"/>
        <w:noProof/>
      </w:rPr>
      <w:t>1</w:t>
    </w:r>
    <w:r>
      <w:rPr>
        <w:rStyle w:val="PageNumber"/>
      </w:rPr>
      <w:fldChar w:fldCharType="end"/>
    </w:r>
  </w:p>
  <w:p w:rsidR="007E5A57" w:rsidRDefault="007E5A57">
    <w:pPr>
      <w:pStyle w:val="Footer"/>
      <w:tabs>
        <w:tab w:val="right" w:pos="10472"/>
      </w:tabs>
      <w:jc w:val="left"/>
    </w:pPr>
    <w:r>
      <w:t>Health and Hospitals</w:t>
    </w:r>
    <w:r>
      <w:tab/>
      <w:t>Department of Developmental Services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57" w:rsidRDefault="00C636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E5A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1D9D">
      <w:rPr>
        <w:rStyle w:val="PageNumber"/>
        <w:noProof/>
      </w:rPr>
      <w:t>2</w:t>
    </w:r>
    <w:r>
      <w:rPr>
        <w:rStyle w:val="PageNumber"/>
      </w:rPr>
      <w:fldChar w:fldCharType="end"/>
    </w:r>
  </w:p>
  <w:p w:rsidR="007E5A57" w:rsidRDefault="007E5A57">
    <w:pPr>
      <w:pStyle w:val="Footer"/>
      <w:tabs>
        <w:tab w:val="right" w:pos="10472"/>
      </w:tabs>
      <w:jc w:val="left"/>
    </w:pPr>
    <w:r>
      <w:t>Department of Developmental Services</w:t>
    </w:r>
    <w:r>
      <w:tab/>
      <w:t>Health and Hospitals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57" w:rsidRDefault="00C636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E5A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79B9">
      <w:rPr>
        <w:rStyle w:val="PageNumber"/>
        <w:noProof/>
      </w:rPr>
      <w:t>3</w:t>
    </w:r>
    <w:r>
      <w:rPr>
        <w:rStyle w:val="PageNumber"/>
      </w:rPr>
      <w:fldChar w:fldCharType="end"/>
    </w:r>
  </w:p>
  <w:p w:rsidR="007E5A57" w:rsidRDefault="007E5A57">
    <w:pPr>
      <w:pStyle w:val="Footer"/>
      <w:tabs>
        <w:tab w:val="right" w:pos="10472"/>
      </w:tabs>
      <w:jc w:val="left"/>
    </w:pPr>
    <w:r>
      <w:t>Health and Hospitals</w:t>
    </w:r>
    <w:r>
      <w:tab/>
      <w:t>Department of Developmental Services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57" w:rsidRDefault="00C636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E5A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79B9">
      <w:rPr>
        <w:rStyle w:val="PageNumber"/>
        <w:noProof/>
      </w:rPr>
      <w:t>4</w:t>
    </w:r>
    <w:r>
      <w:rPr>
        <w:rStyle w:val="PageNumber"/>
      </w:rPr>
      <w:fldChar w:fldCharType="end"/>
    </w:r>
  </w:p>
  <w:p w:rsidR="007E5A57" w:rsidRDefault="007E5A57">
    <w:pPr>
      <w:pStyle w:val="Footer"/>
      <w:tabs>
        <w:tab w:val="right" w:pos="10472"/>
      </w:tabs>
      <w:jc w:val="left"/>
    </w:pPr>
    <w:r>
      <w:t>Department of Developmental Services</w:t>
    </w:r>
    <w:r>
      <w:tab/>
      <w:t>Health and Hospitals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57" w:rsidRDefault="00C636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E5A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1D9D">
      <w:rPr>
        <w:rStyle w:val="PageNumber"/>
        <w:noProof/>
      </w:rPr>
      <w:t>5</w:t>
    </w:r>
    <w:r>
      <w:rPr>
        <w:rStyle w:val="PageNumber"/>
      </w:rPr>
      <w:fldChar w:fldCharType="end"/>
    </w:r>
  </w:p>
  <w:p w:rsidR="007E5A57" w:rsidRDefault="007E5A57">
    <w:pPr>
      <w:pStyle w:val="Footer"/>
      <w:tabs>
        <w:tab w:val="right" w:pos="10472"/>
      </w:tabs>
      <w:jc w:val="left"/>
    </w:pPr>
    <w:r>
      <w:t>Health and Hospitals</w:t>
    </w:r>
    <w:r>
      <w:tab/>
      <w:t>Department of Developmental Services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57" w:rsidRDefault="00C636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E5A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5A57">
      <w:rPr>
        <w:rStyle w:val="PageNumber"/>
        <w:noProof/>
      </w:rPr>
      <w:t>6</w:t>
    </w:r>
    <w:r>
      <w:rPr>
        <w:rStyle w:val="PageNumber"/>
      </w:rPr>
      <w:fldChar w:fldCharType="end"/>
    </w:r>
  </w:p>
  <w:p w:rsidR="007E5A57" w:rsidRDefault="007E5A57">
    <w:pPr>
      <w:pStyle w:val="Footer"/>
      <w:tabs>
        <w:tab w:val="right" w:pos="10472"/>
      </w:tabs>
      <w:jc w:val="left"/>
    </w:pPr>
    <w:r>
      <w:t>Department of Developmental Services</w:t>
    </w:r>
    <w:r>
      <w:tab/>
      <w:t>Health and Hospitals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A57" w:rsidRDefault="007E5A57">
      <w:r>
        <w:separator/>
      </w:r>
    </w:p>
  </w:footnote>
  <w:footnote w:type="continuationSeparator" w:id="0">
    <w:p w:rsidR="007E5A57" w:rsidRDefault="007E5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57" w:rsidRDefault="007E5A57">
    <w:pPr>
      <w:pStyle w:val="Header"/>
      <w:jc w:val="left"/>
    </w:pPr>
    <w:r>
      <w:t>Budget-in-Detail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57" w:rsidRDefault="007E5A57">
    <w:pPr>
      <w:pStyle w:val="Header"/>
      <w:jc w:val="right"/>
    </w:pPr>
    <w:r>
      <w:t>Budget-in-Detail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A57" w:rsidRDefault="007E5A5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3112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0C4523"/>
    <w:multiLevelType w:val="hybridMultilevel"/>
    <w:tmpl w:val="33E4FD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7B52FE"/>
    <w:multiLevelType w:val="hybridMultilevel"/>
    <w:tmpl w:val="3F3078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E97DBC"/>
    <w:multiLevelType w:val="hybridMultilevel"/>
    <w:tmpl w:val="BD56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7F5F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F2618C"/>
    <w:multiLevelType w:val="hybridMultilevel"/>
    <w:tmpl w:val="1B4C8BF8"/>
    <w:lvl w:ilvl="0" w:tplc="C3EE2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237E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950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755EAD"/>
    <w:multiLevelType w:val="hybridMultilevel"/>
    <w:tmpl w:val="BDE6A0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7526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A9479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C2237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DBA4847"/>
    <w:multiLevelType w:val="hybridMultilevel"/>
    <w:tmpl w:val="F2E626CA"/>
    <w:lvl w:ilvl="0" w:tplc="04090001">
      <w:start w:val="6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E66B4"/>
    <w:multiLevelType w:val="hybridMultilevel"/>
    <w:tmpl w:val="BDD0584A"/>
    <w:lvl w:ilvl="0" w:tplc="C3EE2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7468C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19004F5"/>
    <w:multiLevelType w:val="hybridMultilevel"/>
    <w:tmpl w:val="CF38378A"/>
    <w:lvl w:ilvl="0" w:tplc="C3EE2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A54022"/>
    <w:multiLevelType w:val="multilevel"/>
    <w:tmpl w:val="50AE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DF37BA"/>
    <w:multiLevelType w:val="hybridMultilevel"/>
    <w:tmpl w:val="45727F80"/>
    <w:lvl w:ilvl="0" w:tplc="C3EE2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9759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65E250D"/>
    <w:multiLevelType w:val="hybridMultilevel"/>
    <w:tmpl w:val="4A4E06F0"/>
    <w:lvl w:ilvl="0" w:tplc="C3EE2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284775"/>
    <w:multiLevelType w:val="hybridMultilevel"/>
    <w:tmpl w:val="466AD18E"/>
    <w:lvl w:ilvl="0" w:tplc="C3EE2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E30C1A"/>
    <w:multiLevelType w:val="hybridMultilevel"/>
    <w:tmpl w:val="0B0060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F961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num w:numId="1">
    <w:abstractNumId w:val="17"/>
  </w:num>
  <w:num w:numId="2">
    <w:abstractNumId w:val="21"/>
  </w:num>
  <w:num w:numId="3">
    <w:abstractNumId w:val="6"/>
  </w:num>
  <w:num w:numId="4">
    <w:abstractNumId w:val="12"/>
  </w:num>
  <w:num w:numId="5">
    <w:abstractNumId w:val="10"/>
  </w:num>
  <w:num w:numId="6">
    <w:abstractNumId w:val="26"/>
  </w:num>
  <w:num w:numId="7">
    <w:abstractNumId w:val="14"/>
  </w:num>
  <w:num w:numId="8">
    <w:abstractNumId w:val="2"/>
  </w:num>
  <w:num w:numId="9">
    <w:abstractNumId w:val="13"/>
  </w:num>
  <w:num w:numId="10">
    <w:abstractNumId w:val="9"/>
  </w:num>
  <w:num w:numId="11">
    <w:abstractNumId w:val="0"/>
  </w:num>
  <w:num w:numId="12">
    <w:abstractNumId w:val="1"/>
  </w:num>
  <w:num w:numId="13">
    <w:abstractNumId w:val="25"/>
  </w:num>
  <w:num w:numId="14">
    <w:abstractNumId w:val="4"/>
  </w:num>
  <w:num w:numId="15">
    <w:abstractNumId w:val="3"/>
  </w:num>
  <w:num w:numId="16">
    <w:abstractNumId w:val="11"/>
  </w:num>
  <w:num w:numId="17">
    <w:abstractNumId w:val="20"/>
  </w:num>
  <w:num w:numId="18">
    <w:abstractNumId w:val="23"/>
  </w:num>
  <w:num w:numId="19">
    <w:abstractNumId w:val="22"/>
  </w:num>
  <w:num w:numId="20">
    <w:abstractNumId w:val="16"/>
  </w:num>
  <w:num w:numId="21">
    <w:abstractNumId w:val="18"/>
  </w:num>
  <w:num w:numId="22">
    <w:abstractNumId w:val="8"/>
  </w:num>
  <w:num w:numId="23">
    <w:abstractNumId w:val="7"/>
  </w:num>
  <w:num w:numId="24">
    <w:abstractNumId w:val="24"/>
  </w:num>
  <w:num w:numId="25">
    <w:abstractNumId w:val="15"/>
  </w:num>
  <w:num w:numId="26">
    <w:abstractNumId w:val="7"/>
  </w:num>
  <w:num w:numId="27">
    <w:abstractNumId w:val="24"/>
  </w:num>
  <w:num w:numId="28">
    <w:abstractNumId w:val="7"/>
  </w:num>
  <w:num w:numId="29">
    <w:abstractNumId w:val="24"/>
  </w:num>
  <w:num w:numId="30">
    <w:abstractNumId w:val="27"/>
  </w:num>
  <w:num w:numId="31">
    <w:abstractNumId w:val="7"/>
  </w:num>
  <w:num w:numId="32">
    <w:abstractNumId w:val="24"/>
  </w:num>
  <w:num w:numId="33">
    <w:abstractNumId w:val="27"/>
  </w:num>
  <w:num w:numId="34">
    <w:abstractNumId w:val="7"/>
  </w:num>
  <w:num w:numId="35">
    <w:abstractNumId w:val="24"/>
  </w:num>
  <w:num w:numId="36">
    <w:abstractNumId w:val="19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8"/>
  <w:defaultTabStop w:val="288"/>
  <w:evenAndOddHeaders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3EB"/>
    <w:rsid w:val="00001D83"/>
    <w:rsid w:val="000302E5"/>
    <w:rsid w:val="00054381"/>
    <w:rsid w:val="00076BB0"/>
    <w:rsid w:val="000872A3"/>
    <w:rsid w:val="00096D33"/>
    <w:rsid w:val="000B476E"/>
    <w:rsid w:val="000C4F82"/>
    <w:rsid w:val="000E17C7"/>
    <w:rsid w:val="00114598"/>
    <w:rsid w:val="001258E8"/>
    <w:rsid w:val="00125F5A"/>
    <w:rsid w:val="00125FEB"/>
    <w:rsid w:val="00185AF4"/>
    <w:rsid w:val="0019087A"/>
    <w:rsid w:val="00193EA0"/>
    <w:rsid w:val="00194B4D"/>
    <w:rsid w:val="001971E0"/>
    <w:rsid w:val="001B334D"/>
    <w:rsid w:val="001C4E69"/>
    <w:rsid w:val="001D30C3"/>
    <w:rsid w:val="001D451C"/>
    <w:rsid w:val="001E1C89"/>
    <w:rsid w:val="001F03AD"/>
    <w:rsid w:val="00216433"/>
    <w:rsid w:val="00217806"/>
    <w:rsid w:val="00226BED"/>
    <w:rsid w:val="00242BDA"/>
    <w:rsid w:val="00256605"/>
    <w:rsid w:val="002630E0"/>
    <w:rsid w:val="00270AFA"/>
    <w:rsid w:val="0027587D"/>
    <w:rsid w:val="002A64DF"/>
    <w:rsid w:val="002B1B74"/>
    <w:rsid w:val="002B6CA7"/>
    <w:rsid w:val="002E111E"/>
    <w:rsid w:val="002F4676"/>
    <w:rsid w:val="00301922"/>
    <w:rsid w:val="00303322"/>
    <w:rsid w:val="00313624"/>
    <w:rsid w:val="0031531C"/>
    <w:rsid w:val="00327D59"/>
    <w:rsid w:val="00343508"/>
    <w:rsid w:val="003440C6"/>
    <w:rsid w:val="00354BE9"/>
    <w:rsid w:val="00357DCD"/>
    <w:rsid w:val="0037248B"/>
    <w:rsid w:val="00373F6C"/>
    <w:rsid w:val="003749CC"/>
    <w:rsid w:val="00377784"/>
    <w:rsid w:val="00383634"/>
    <w:rsid w:val="003C5AC1"/>
    <w:rsid w:val="003D3807"/>
    <w:rsid w:val="003F765D"/>
    <w:rsid w:val="004015B6"/>
    <w:rsid w:val="0042123D"/>
    <w:rsid w:val="004222A2"/>
    <w:rsid w:val="00454740"/>
    <w:rsid w:val="00456AF7"/>
    <w:rsid w:val="0046125B"/>
    <w:rsid w:val="00463607"/>
    <w:rsid w:val="0046487E"/>
    <w:rsid w:val="00474AD4"/>
    <w:rsid w:val="004B15EF"/>
    <w:rsid w:val="004D1DD9"/>
    <w:rsid w:val="004D36DD"/>
    <w:rsid w:val="00546658"/>
    <w:rsid w:val="005567F0"/>
    <w:rsid w:val="00575AAF"/>
    <w:rsid w:val="005B2981"/>
    <w:rsid w:val="005B4A88"/>
    <w:rsid w:val="005C1D9D"/>
    <w:rsid w:val="005C4DAD"/>
    <w:rsid w:val="005E2735"/>
    <w:rsid w:val="00601DEF"/>
    <w:rsid w:val="00624D5D"/>
    <w:rsid w:val="00625649"/>
    <w:rsid w:val="0069309E"/>
    <w:rsid w:val="006A55BA"/>
    <w:rsid w:val="006D0AB0"/>
    <w:rsid w:val="006D573C"/>
    <w:rsid w:val="006D7E64"/>
    <w:rsid w:val="006E4E90"/>
    <w:rsid w:val="00703E12"/>
    <w:rsid w:val="00714D1C"/>
    <w:rsid w:val="007704C7"/>
    <w:rsid w:val="00787E7B"/>
    <w:rsid w:val="007A570B"/>
    <w:rsid w:val="007B496C"/>
    <w:rsid w:val="007B7E90"/>
    <w:rsid w:val="007C35BB"/>
    <w:rsid w:val="007D36F9"/>
    <w:rsid w:val="007E5A57"/>
    <w:rsid w:val="007F5270"/>
    <w:rsid w:val="007F5620"/>
    <w:rsid w:val="007F79B9"/>
    <w:rsid w:val="0080718F"/>
    <w:rsid w:val="008165D9"/>
    <w:rsid w:val="0082597B"/>
    <w:rsid w:val="00831111"/>
    <w:rsid w:val="008338F1"/>
    <w:rsid w:val="00834ABF"/>
    <w:rsid w:val="00854288"/>
    <w:rsid w:val="008554F8"/>
    <w:rsid w:val="008571A2"/>
    <w:rsid w:val="00862A21"/>
    <w:rsid w:val="00865F10"/>
    <w:rsid w:val="00872DC9"/>
    <w:rsid w:val="00891CF5"/>
    <w:rsid w:val="00892E5B"/>
    <w:rsid w:val="008A3A2E"/>
    <w:rsid w:val="008B7206"/>
    <w:rsid w:val="008D2827"/>
    <w:rsid w:val="008D4BE4"/>
    <w:rsid w:val="008E46B7"/>
    <w:rsid w:val="008E4AB8"/>
    <w:rsid w:val="008E6175"/>
    <w:rsid w:val="008F3C58"/>
    <w:rsid w:val="008F57C6"/>
    <w:rsid w:val="0090074A"/>
    <w:rsid w:val="00901B40"/>
    <w:rsid w:val="0090734C"/>
    <w:rsid w:val="00931CA6"/>
    <w:rsid w:val="00953A19"/>
    <w:rsid w:val="00960C9C"/>
    <w:rsid w:val="00983006"/>
    <w:rsid w:val="009A72FD"/>
    <w:rsid w:val="009B1754"/>
    <w:rsid w:val="009B1C77"/>
    <w:rsid w:val="009C3B33"/>
    <w:rsid w:val="009D5B92"/>
    <w:rsid w:val="009E1B8B"/>
    <w:rsid w:val="009E6582"/>
    <w:rsid w:val="009F0F8C"/>
    <w:rsid w:val="009F2CDE"/>
    <w:rsid w:val="009F435A"/>
    <w:rsid w:val="00A0393D"/>
    <w:rsid w:val="00A150EF"/>
    <w:rsid w:val="00A30A49"/>
    <w:rsid w:val="00A35622"/>
    <w:rsid w:val="00A42E68"/>
    <w:rsid w:val="00A521CF"/>
    <w:rsid w:val="00A56AFC"/>
    <w:rsid w:val="00A65AFB"/>
    <w:rsid w:val="00A7222A"/>
    <w:rsid w:val="00AA0D54"/>
    <w:rsid w:val="00AB0E0B"/>
    <w:rsid w:val="00AC582C"/>
    <w:rsid w:val="00AF0B36"/>
    <w:rsid w:val="00AF6803"/>
    <w:rsid w:val="00B0557D"/>
    <w:rsid w:val="00B15FEE"/>
    <w:rsid w:val="00B225E0"/>
    <w:rsid w:val="00B60AB5"/>
    <w:rsid w:val="00B62400"/>
    <w:rsid w:val="00B67413"/>
    <w:rsid w:val="00B75F43"/>
    <w:rsid w:val="00BD041B"/>
    <w:rsid w:val="00BD793A"/>
    <w:rsid w:val="00BE2138"/>
    <w:rsid w:val="00BF5517"/>
    <w:rsid w:val="00C378BB"/>
    <w:rsid w:val="00C6367E"/>
    <w:rsid w:val="00C74A79"/>
    <w:rsid w:val="00C804C6"/>
    <w:rsid w:val="00C9176A"/>
    <w:rsid w:val="00CA6FA7"/>
    <w:rsid w:val="00CC545B"/>
    <w:rsid w:val="00CC6D7D"/>
    <w:rsid w:val="00CF3BC7"/>
    <w:rsid w:val="00D04F05"/>
    <w:rsid w:val="00D14B57"/>
    <w:rsid w:val="00D25949"/>
    <w:rsid w:val="00D32D30"/>
    <w:rsid w:val="00D61AF7"/>
    <w:rsid w:val="00D64E11"/>
    <w:rsid w:val="00D96275"/>
    <w:rsid w:val="00DE0059"/>
    <w:rsid w:val="00DF30D4"/>
    <w:rsid w:val="00E41067"/>
    <w:rsid w:val="00E5654C"/>
    <w:rsid w:val="00E80524"/>
    <w:rsid w:val="00E8335D"/>
    <w:rsid w:val="00E93B25"/>
    <w:rsid w:val="00EB73EB"/>
    <w:rsid w:val="00F4011A"/>
    <w:rsid w:val="00F56167"/>
    <w:rsid w:val="00F620B4"/>
    <w:rsid w:val="00FA167D"/>
    <w:rsid w:val="00FB1F29"/>
    <w:rsid w:val="00FB252A"/>
    <w:rsid w:val="00FB559A"/>
    <w:rsid w:val="00FC0E3D"/>
    <w:rsid w:val="00FC768A"/>
    <w:rsid w:val="00FD075D"/>
    <w:rsid w:val="00FF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949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D25949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9B1754"/>
    <w:pPr>
      <w:keepNext/>
      <w:spacing w:before="80" w:after="0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link w:val="Heading3Char"/>
    <w:qFormat/>
    <w:rsid w:val="00D25949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D25949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D2594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25949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D25949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D2594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D2594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D25949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character" w:customStyle="1" w:styleId="H1Char">
    <w:name w:val="H1 Char"/>
    <w:basedOn w:val="DefaultParagraphFont"/>
    <w:link w:val="H1"/>
    <w:rsid w:val="003D3807"/>
    <w:rPr>
      <w:rFonts w:ascii="Calibri" w:hAnsi="Calibri"/>
      <w:caps/>
      <w:noProof/>
      <w:color w:val="002D86"/>
      <w:sz w:val="40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9B1754"/>
    <w:rPr>
      <w:rFonts w:ascii="Calibri" w:hAnsi="Calibri"/>
      <w:b/>
      <w:i/>
    </w:rPr>
  </w:style>
  <w:style w:type="character" w:customStyle="1" w:styleId="Heading3Char">
    <w:name w:val="Heading 3 Char"/>
    <w:basedOn w:val="DefaultParagraphFont"/>
    <w:link w:val="Heading3"/>
    <w:rsid w:val="003D3807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3D3807"/>
  </w:style>
  <w:style w:type="paragraph" w:styleId="Header">
    <w:name w:val="header"/>
    <w:basedOn w:val="Normal"/>
    <w:rsid w:val="00D25949"/>
    <w:pPr>
      <w:jc w:val="center"/>
    </w:pPr>
  </w:style>
  <w:style w:type="paragraph" w:styleId="Footer">
    <w:name w:val="footer"/>
    <w:basedOn w:val="Header"/>
    <w:rsid w:val="00D25949"/>
  </w:style>
  <w:style w:type="character" w:styleId="PageNumber">
    <w:name w:val="page number"/>
    <w:basedOn w:val="DefaultParagraphFont"/>
    <w:rsid w:val="00D25949"/>
    <w:rPr>
      <w:rFonts w:ascii="Trebuchet MS" w:hAnsi="Trebuchet MS"/>
      <w:sz w:val="16"/>
    </w:rPr>
  </w:style>
  <w:style w:type="paragraph" w:customStyle="1" w:styleId="H2">
    <w:name w:val="H2"/>
    <w:basedOn w:val="Normal"/>
    <w:link w:val="H2Char"/>
    <w:rsid w:val="00D25949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character" w:customStyle="1" w:styleId="H2Char">
    <w:name w:val="H2 Char"/>
    <w:basedOn w:val="H1Char"/>
    <w:link w:val="H2"/>
    <w:rsid w:val="003D3807"/>
    <w:rPr>
      <w:sz w:val="24"/>
    </w:rPr>
  </w:style>
  <w:style w:type="paragraph" w:customStyle="1" w:styleId="H3">
    <w:name w:val="H3"/>
    <w:basedOn w:val="Heading3"/>
    <w:next w:val="Normal"/>
    <w:rsid w:val="00D25949"/>
  </w:style>
  <w:style w:type="paragraph" w:customStyle="1" w:styleId="H4">
    <w:name w:val="H4"/>
    <w:basedOn w:val="Normal"/>
    <w:next w:val="Normal"/>
    <w:link w:val="H4Char"/>
    <w:rsid w:val="009B1754"/>
    <w:pPr>
      <w:spacing w:before="80" w:after="0"/>
      <w:jc w:val="left"/>
    </w:pPr>
    <w:rPr>
      <w:caps/>
      <w:sz w:val="20"/>
    </w:rPr>
  </w:style>
  <w:style w:type="character" w:customStyle="1" w:styleId="H4Char">
    <w:name w:val="H4 Char"/>
    <w:basedOn w:val="DefaultParagraphFont"/>
    <w:link w:val="H4"/>
    <w:rsid w:val="009B1754"/>
    <w:rPr>
      <w:rFonts w:ascii="Calibri" w:hAnsi="Calibri"/>
      <w:caps/>
    </w:rPr>
  </w:style>
  <w:style w:type="paragraph" w:customStyle="1" w:styleId="H5">
    <w:name w:val="H5"/>
    <w:basedOn w:val="Heading5"/>
    <w:next w:val="Normal"/>
    <w:rsid w:val="00D25949"/>
  </w:style>
  <w:style w:type="paragraph" w:customStyle="1" w:styleId="H6">
    <w:name w:val="H6"/>
    <w:rsid w:val="00D25949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D25949"/>
    <w:rPr>
      <w:sz w:val="16"/>
    </w:rPr>
  </w:style>
  <w:style w:type="paragraph" w:customStyle="1" w:styleId="ProgramHead">
    <w:name w:val="ProgramHead"/>
    <w:basedOn w:val="H2"/>
    <w:rsid w:val="00D25949"/>
    <w:pPr>
      <w:pBdr>
        <w:bottom w:val="single" w:sz="2" w:space="1" w:color="BFBFBF"/>
      </w:pBdr>
      <w:spacing w:after="0"/>
    </w:pPr>
  </w:style>
  <w:style w:type="paragraph" w:styleId="BalloonText">
    <w:name w:val="Balloon Text"/>
    <w:basedOn w:val="Normal"/>
    <w:semiHidden/>
    <w:rsid w:val="00D25949"/>
    <w:rPr>
      <w:rFonts w:ascii="Tahoma" w:hAnsi="Tahoma" w:cs="Tahoma"/>
      <w:szCs w:val="16"/>
    </w:rPr>
  </w:style>
  <w:style w:type="character" w:styleId="Hyperlink">
    <w:name w:val="Hyperlink"/>
    <w:basedOn w:val="DefaultParagraphFont"/>
    <w:rsid w:val="00D25949"/>
    <w:rPr>
      <w:rFonts w:ascii="Calibri" w:hAnsi="Calibri"/>
      <w:color w:val="17365D"/>
      <w:sz w:val="16"/>
      <w:u w:val="single"/>
    </w:rPr>
  </w:style>
  <w:style w:type="paragraph" w:styleId="BodyText">
    <w:name w:val="Body Text"/>
    <w:basedOn w:val="Normal"/>
    <w:rsid w:val="00D25949"/>
    <w:pPr>
      <w:ind w:right="-54"/>
    </w:pPr>
  </w:style>
  <w:style w:type="character" w:styleId="CommentReference">
    <w:name w:val="annotation reference"/>
    <w:basedOn w:val="DefaultParagraphFont"/>
    <w:semiHidden/>
    <w:rsid w:val="00D25949"/>
    <w:rPr>
      <w:sz w:val="16"/>
      <w:szCs w:val="16"/>
    </w:rPr>
  </w:style>
  <w:style w:type="paragraph" w:styleId="CommentText">
    <w:name w:val="annotation text"/>
    <w:basedOn w:val="Normal"/>
    <w:semiHidden/>
    <w:rsid w:val="00D25949"/>
    <w:rPr>
      <w:sz w:val="20"/>
    </w:rPr>
  </w:style>
  <w:style w:type="paragraph" w:customStyle="1" w:styleId="H2SubProgram">
    <w:name w:val="H2 SubProgram"/>
    <w:basedOn w:val="H2"/>
    <w:rsid w:val="00D25949"/>
    <w:pPr>
      <w:jc w:val="center"/>
    </w:pPr>
  </w:style>
  <w:style w:type="paragraph" w:customStyle="1" w:styleId="H7b0">
    <w:name w:val="H7b"/>
    <w:basedOn w:val="H7"/>
    <w:rsid w:val="00D25949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D25949"/>
    <w:pPr>
      <w:numPr>
        <w:numId w:val="34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D25949"/>
    <w:pPr>
      <w:numPr>
        <w:numId w:val="35"/>
      </w:numPr>
      <w:tabs>
        <w:tab w:val="left" w:pos="144"/>
      </w:tabs>
    </w:pPr>
  </w:style>
  <w:style w:type="paragraph" w:customStyle="1" w:styleId="SubprogramHead">
    <w:name w:val="SubprogramHead"/>
    <w:basedOn w:val="Heading2"/>
    <w:rsid w:val="00D25949"/>
    <w:pPr>
      <w:spacing w:before="40"/>
    </w:pPr>
  </w:style>
  <w:style w:type="paragraph" w:styleId="BodyText2">
    <w:name w:val="Body Text 2"/>
    <w:basedOn w:val="Normal"/>
    <w:rsid w:val="00D25949"/>
    <w:rPr>
      <w:kern w:val="16"/>
      <w:sz w:val="16"/>
    </w:rPr>
  </w:style>
  <w:style w:type="paragraph" w:styleId="BodyTextIndent">
    <w:name w:val="Body Text Indent"/>
    <w:basedOn w:val="Normal"/>
    <w:rsid w:val="00D25949"/>
    <w:pPr>
      <w:ind w:left="720"/>
    </w:pPr>
  </w:style>
  <w:style w:type="paragraph" w:styleId="DocumentMap">
    <w:name w:val="Document Map"/>
    <w:basedOn w:val="Normal"/>
    <w:semiHidden/>
    <w:rsid w:val="00D25949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D259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D25949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Bullets">
    <w:name w:val="Bullets"/>
    <w:basedOn w:val="Normal"/>
    <w:rsid w:val="00D25949"/>
    <w:pPr>
      <w:spacing w:before="40"/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D25949"/>
    <w:pPr>
      <w:numPr>
        <w:numId w:val="33"/>
      </w:numPr>
    </w:pPr>
    <w:rPr>
      <w:sz w:val="24"/>
    </w:rPr>
  </w:style>
  <w:style w:type="character" w:styleId="FollowedHyperlink">
    <w:name w:val="FollowedHyperlink"/>
    <w:basedOn w:val="DefaultParagraphFont"/>
    <w:rsid w:val="00D25949"/>
    <w:rPr>
      <w:color w:val="800080"/>
      <w:u w:val="single"/>
    </w:rPr>
  </w:style>
  <w:style w:type="character" w:styleId="Strong">
    <w:name w:val="Strong"/>
    <w:basedOn w:val="DefaultParagraphFont"/>
    <w:qFormat/>
    <w:rsid w:val="00D25949"/>
    <w:rPr>
      <w:b/>
      <w:bCs/>
    </w:rPr>
  </w:style>
  <w:style w:type="paragraph" w:styleId="BodyText3">
    <w:name w:val="Body Text 3"/>
    <w:basedOn w:val="Normal"/>
    <w:link w:val="BodyText3Char"/>
    <w:rsid w:val="00D25949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D25949"/>
    <w:rPr>
      <w:rFonts w:ascii="Calibri" w:hAnsi="Calibri"/>
      <w:sz w:val="18"/>
    </w:rPr>
  </w:style>
  <w:style w:type="paragraph" w:customStyle="1" w:styleId="H4Blue">
    <w:name w:val="H4Blue"/>
    <w:basedOn w:val="H4"/>
    <w:qFormat/>
    <w:rsid w:val="00D25949"/>
    <w:rPr>
      <w:color w:val="002D86"/>
    </w:rPr>
  </w:style>
  <w:style w:type="paragraph" w:customStyle="1" w:styleId="Heading2Green">
    <w:name w:val="Heading2Green"/>
    <w:basedOn w:val="Heading2"/>
    <w:qFormat/>
    <w:rsid w:val="00D25949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D25949"/>
    <w:rPr>
      <w:b/>
      <w:bCs/>
      <w:i/>
      <w:iCs/>
      <w:color w:val="4F81BD"/>
    </w:rPr>
  </w:style>
  <w:style w:type="paragraph" w:customStyle="1" w:styleId="StyleH1Left">
    <w:name w:val="Style H1 + Left"/>
    <w:basedOn w:val="H1"/>
    <w:rsid w:val="00D25949"/>
    <w:pPr>
      <w:jc w:val="left"/>
    </w:pPr>
    <w:rPr>
      <w:color w:val="005400"/>
    </w:rPr>
  </w:style>
  <w:style w:type="paragraph" w:customStyle="1" w:styleId="StyleHeading4">
    <w:name w:val="Style Heading 4 +"/>
    <w:basedOn w:val="Heading4"/>
    <w:rsid w:val="00D25949"/>
    <w:rPr>
      <w:bCs/>
    </w:rPr>
  </w:style>
  <w:style w:type="paragraph" w:customStyle="1" w:styleId="SubProgramHead0">
    <w:name w:val="SubProgramHead"/>
    <w:basedOn w:val="ProgramHead"/>
    <w:rsid w:val="00D25949"/>
    <w:pPr>
      <w:jc w:val="center"/>
    </w:pPr>
  </w:style>
  <w:style w:type="paragraph" w:styleId="TOC1">
    <w:name w:val="toc 1"/>
    <w:basedOn w:val="Normal"/>
    <w:next w:val="Normal"/>
    <w:autoRedefine/>
    <w:rsid w:val="00D25949"/>
    <w:rPr>
      <w:rFonts w:ascii="Verdana" w:hAnsi="Verdana"/>
    </w:rPr>
  </w:style>
  <w:style w:type="character" w:styleId="Emphasis">
    <w:name w:val="Emphasis"/>
    <w:basedOn w:val="DefaultParagraphFont"/>
    <w:uiPriority w:val="20"/>
    <w:qFormat/>
    <w:rsid w:val="0042123D"/>
    <w:rPr>
      <w:i/>
      <w:iCs/>
    </w:rPr>
  </w:style>
  <w:style w:type="paragraph" w:styleId="ListParagraph">
    <w:name w:val="List Paragraph"/>
    <w:basedOn w:val="Normal"/>
    <w:uiPriority w:val="34"/>
    <w:qFormat/>
    <w:rsid w:val="00B60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7D9D1-31D8-44D1-B0A1-39F61B58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2703</Words>
  <Characters>17268</Characters>
  <Application>Microsoft Office Word</Application>
  <DocSecurity>0</DocSecurity>
  <Lines>143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DMR100S RESOURCES</vt:lpstr>
    </vt:vector>
  </TitlesOfParts>
  <Company>DMR State of Connecticut</Company>
  <LinksUpToDate>false</LinksUpToDate>
  <CharactersWithSpaces>19932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DMR100S RESOURCES</dc:title>
  <dc:subject/>
  <dc:creator>DMR User</dc:creator>
  <cp:keywords/>
  <dc:description/>
  <cp:lastModifiedBy>Administrator</cp:lastModifiedBy>
  <cp:revision>65</cp:revision>
  <cp:lastPrinted>2012-10-01T20:08:00Z</cp:lastPrinted>
  <dcterms:created xsi:type="dcterms:W3CDTF">2012-12-18T14:12:00Z</dcterms:created>
  <dcterms:modified xsi:type="dcterms:W3CDTF">2013-01-30T18:56:00Z</dcterms:modified>
</cp:coreProperties>
</file>