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header27.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header8.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3.xml" ContentType="application/vnd.openxmlformats-officedocument.wordprocessingml.header+xml"/>
  <Override PartName="/word/footer26.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24.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26.xml" ContentType="application/vnd.openxmlformats-officedocument.wordprocessingml.header+xml"/>
  <Override PartName="/word/footer29.xml" ContentType="application/vnd.openxmlformats-officedocument.wordprocessingml.footer+xml"/>
  <Default Extension="jpeg" ContentType="image/jpeg"/>
  <Override PartName="/word/footer6.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header24.xml" ContentType="application/vnd.openxmlformats-officedocument.wordprocessingml.header+xml"/>
  <Override PartName="/word/footer27.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2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CE3" w:rsidRDefault="00872096" w:rsidP="00071CE3">
      <w:pPr>
        <w:pStyle w:val="H1"/>
        <w:spacing w:after="0"/>
        <w:jc w:val="left"/>
      </w:pPr>
      <w:r>
        <w:drawing>
          <wp:inline distT="0" distB="0" distL="0" distR="0">
            <wp:extent cx="1600200" cy="371475"/>
            <wp:effectExtent l="19050" t="0" r="0" b="0"/>
            <wp:docPr id="1" name="Picture 1" descr="Description: S:\BOARD of REGENTS Logos\bor-logo-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BOARD of REGENTS Logos\bor-logo-horizontal.jpg"/>
                    <pic:cNvPicPr>
                      <a:picLocks noChangeAspect="1" noChangeArrowheads="1"/>
                    </pic:cNvPicPr>
                  </pic:nvPicPr>
                  <pic:blipFill>
                    <a:blip r:embed="rId8" cstate="print"/>
                    <a:srcRect/>
                    <a:stretch>
                      <a:fillRect/>
                    </a:stretch>
                  </pic:blipFill>
                  <pic:spPr bwMode="auto">
                    <a:xfrm>
                      <a:off x="0" y="0"/>
                      <a:ext cx="1600200" cy="371475"/>
                    </a:xfrm>
                    <a:prstGeom prst="rect">
                      <a:avLst/>
                    </a:prstGeom>
                    <a:noFill/>
                    <a:ln w="9525">
                      <a:noFill/>
                      <a:miter lim="800000"/>
                      <a:headEnd/>
                      <a:tailEnd/>
                    </a:ln>
                  </pic:spPr>
                </pic:pic>
              </a:graphicData>
            </a:graphic>
          </wp:inline>
        </w:drawing>
      </w:r>
    </w:p>
    <w:p w:rsidR="00E274F2" w:rsidRDefault="00E274F2" w:rsidP="00071CE3">
      <w:pPr>
        <w:pStyle w:val="H1"/>
        <w:spacing w:after="0"/>
      </w:pPr>
      <w:r>
        <w:t>BOARD OF REGENTS FOR HIGHER EDUCATION</w:t>
      </w:r>
    </w:p>
    <w:p w:rsidR="00867D8F" w:rsidRDefault="00867D8F" w:rsidP="00867D8F">
      <w:pPr>
        <w:pStyle w:val="H2"/>
        <w:sectPr w:rsidR="00867D8F" w:rsidSect="00071CE3">
          <w:headerReference w:type="even" r:id="rId9"/>
          <w:headerReference w:type="default" r:id="rId10"/>
          <w:footerReference w:type="even" r:id="rId11"/>
          <w:footerReference w:type="default" r:id="rId12"/>
          <w:type w:val="continuous"/>
          <w:pgSz w:w="12240" w:h="15840" w:code="1"/>
          <w:pgMar w:top="864" w:right="720" w:bottom="1152" w:left="720" w:header="432" w:footer="288" w:gutter="216"/>
          <w:cols w:space="720"/>
          <w:docGrid w:linePitch="245"/>
        </w:sectPr>
      </w:pPr>
      <w:r>
        <w:t xml:space="preserve">AGENCY </w:t>
      </w:r>
      <w:r w:rsidRPr="00C449C6">
        <w:t>Description</w:t>
      </w:r>
      <w:r w:rsidR="001243F5" w:rsidRPr="00C449C6">
        <w:fldChar w:fldCharType="begin"/>
      </w:r>
      <w:r w:rsidRPr="00C449C6">
        <w:instrText xml:space="preserve"> XE "</w:instrText>
      </w:r>
      <w:r w:rsidR="00A50BAE">
        <w:instrText>Board of Regents for Higher Education</w:instrText>
      </w:r>
      <w:r w:rsidRPr="00C449C6">
        <w:instrText xml:space="preserve">" </w:instrText>
      </w:r>
      <w:r w:rsidR="001243F5" w:rsidRPr="00C449C6">
        <w:fldChar w:fldCharType="end"/>
      </w:r>
      <w:r w:rsidRPr="00C449C6">
        <w:t xml:space="preserve"> </w:t>
      </w:r>
      <w:r w:rsidRPr="00C449C6">
        <w:tab/>
        <w:t xml:space="preserve"> </w:t>
      </w:r>
    </w:p>
    <w:p w:rsidR="00867D8F" w:rsidRPr="000F4FAB" w:rsidRDefault="00867D8F" w:rsidP="00867D8F">
      <w:pPr>
        <w:rPr>
          <w:szCs w:val="18"/>
        </w:rPr>
      </w:pPr>
      <w:r w:rsidRPr="000F4FAB">
        <w:rPr>
          <w:szCs w:val="18"/>
        </w:rPr>
        <w:lastRenderedPageBreak/>
        <w:t>The Board of Regents for Highe</w:t>
      </w:r>
      <w:r w:rsidR="008825BA">
        <w:rPr>
          <w:szCs w:val="18"/>
        </w:rPr>
        <w:t>r Education was established by Public A</w:t>
      </w:r>
      <w:r w:rsidRPr="000F4FAB">
        <w:rPr>
          <w:szCs w:val="18"/>
        </w:rPr>
        <w:t>ct 11-48 to serve as the governing board for the state of Connecticut’s four state universities, twelve community colleges and Charter Oak State College, known collectively as the Connecticut State Colleges &amp; Universities</w:t>
      </w:r>
      <w:r w:rsidR="00A50BAE">
        <w:rPr>
          <w:szCs w:val="18"/>
        </w:rPr>
        <w:t xml:space="preserve">. </w:t>
      </w:r>
      <w:r w:rsidRPr="000F4FAB">
        <w:rPr>
          <w:szCs w:val="18"/>
        </w:rPr>
        <w:t>The mission and purpose of the new board, which began operations officially on January 1, 2012, is to provide affordable, innovative and rigorous educational programs in a setting that permits an ever increasing number of students to achieve their personal and career goals as well as contribute to economic growth of the state of Connecticut.    This will be achieved by increasing the number of students who successfully complete a first year of college, graduating more students with the knowledge and skills to reach life and career goals, maximizing and sustaining access to higher education in Connecticut through affordable tuition and financially sound institutions, creating educational environments that emphasize innovation and eliminating achievement disparities among different ethnic, racial, economic and gender groups.</w:t>
      </w:r>
    </w:p>
    <w:p w:rsidR="00867D8F" w:rsidRPr="000F4FAB" w:rsidRDefault="00867D8F" w:rsidP="00867D8F">
      <w:pPr>
        <w:rPr>
          <w:szCs w:val="18"/>
        </w:rPr>
      </w:pPr>
      <w:r w:rsidRPr="000F4FAB">
        <w:rPr>
          <w:szCs w:val="18"/>
        </w:rPr>
        <w:t xml:space="preserve">Specific responsibilities include the implementation of policies and procedures for the 17 institutions in the system, licensure and approval of academic degree-granting and certificate programs for the state’s public and private institutions, and the implementation of statewide higher education policy and strategic planning.    </w:t>
      </w:r>
    </w:p>
    <w:p w:rsidR="00867D8F" w:rsidRPr="000F4FAB" w:rsidRDefault="00867D8F" w:rsidP="00867D8F">
      <w:pPr>
        <w:rPr>
          <w:szCs w:val="18"/>
        </w:rPr>
      </w:pPr>
      <w:r w:rsidRPr="000F4FAB">
        <w:rPr>
          <w:szCs w:val="18"/>
        </w:rPr>
        <w:t>Since its ince</w:t>
      </w:r>
      <w:r>
        <w:rPr>
          <w:szCs w:val="18"/>
        </w:rPr>
        <w:t xml:space="preserve">ption, the Board of Regents has launched </w:t>
      </w:r>
      <w:r w:rsidRPr="000F4FAB">
        <w:rPr>
          <w:szCs w:val="18"/>
        </w:rPr>
        <w:t xml:space="preserve">several important initiatives to enhance student access to, and success in, higher education in the state of Connecticut, </w:t>
      </w:r>
      <w:r>
        <w:rPr>
          <w:szCs w:val="18"/>
        </w:rPr>
        <w:t xml:space="preserve">to </w:t>
      </w:r>
      <w:r w:rsidRPr="000F4FAB">
        <w:rPr>
          <w:szCs w:val="18"/>
        </w:rPr>
        <w:t xml:space="preserve">support the state’s economic development efforts and </w:t>
      </w:r>
      <w:r>
        <w:rPr>
          <w:szCs w:val="18"/>
        </w:rPr>
        <w:t xml:space="preserve">to </w:t>
      </w:r>
      <w:r w:rsidRPr="000F4FAB">
        <w:rPr>
          <w:szCs w:val="18"/>
        </w:rPr>
        <w:t>increase efficiency and effectiveness within the Connecticut State College &amp; University System (ConnSCU).   These initiatives include:</w:t>
      </w:r>
    </w:p>
    <w:p w:rsidR="00867D8F" w:rsidRPr="000F4FAB" w:rsidRDefault="00867D8F" w:rsidP="008825BA">
      <w:pPr>
        <w:pStyle w:val="ListParagraph"/>
        <w:numPr>
          <w:ilvl w:val="0"/>
          <w:numId w:val="12"/>
        </w:numPr>
        <w:jc w:val="both"/>
        <w:rPr>
          <w:sz w:val="18"/>
          <w:szCs w:val="18"/>
        </w:rPr>
      </w:pPr>
      <w:r w:rsidRPr="000F4FAB">
        <w:rPr>
          <w:sz w:val="18"/>
          <w:szCs w:val="18"/>
        </w:rPr>
        <w:t>Planning and implementation of a policy that facilitates the transfer of students between institutions by eliminating academic barriers across the system.</w:t>
      </w:r>
    </w:p>
    <w:p w:rsidR="00867D8F" w:rsidRPr="000F4FAB" w:rsidRDefault="00867D8F" w:rsidP="008825BA">
      <w:pPr>
        <w:pStyle w:val="ListParagraph"/>
        <w:numPr>
          <w:ilvl w:val="0"/>
          <w:numId w:val="12"/>
        </w:numPr>
        <w:jc w:val="both"/>
        <w:rPr>
          <w:sz w:val="18"/>
          <w:szCs w:val="18"/>
        </w:rPr>
      </w:pPr>
      <w:r w:rsidRPr="000F4FAB">
        <w:rPr>
          <w:sz w:val="18"/>
          <w:szCs w:val="18"/>
        </w:rPr>
        <w:t>Pursuant t</w:t>
      </w:r>
      <w:r>
        <w:rPr>
          <w:sz w:val="18"/>
          <w:szCs w:val="18"/>
        </w:rPr>
        <w:t>o the provisions of PA 12-</w:t>
      </w:r>
      <w:r w:rsidRPr="000F4FAB">
        <w:rPr>
          <w:sz w:val="18"/>
          <w:szCs w:val="18"/>
        </w:rPr>
        <w:t>40, implementation of a new policy on remedial education that will improve student success rates in the system.</w:t>
      </w:r>
    </w:p>
    <w:p w:rsidR="00867D8F" w:rsidRPr="000F4FAB" w:rsidRDefault="00867D8F" w:rsidP="008825BA">
      <w:pPr>
        <w:pStyle w:val="ListParagraph"/>
        <w:numPr>
          <w:ilvl w:val="0"/>
          <w:numId w:val="12"/>
        </w:numPr>
        <w:jc w:val="both"/>
        <w:rPr>
          <w:sz w:val="18"/>
          <w:szCs w:val="18"/>
        </w:rPr>
      </w:pPr>
      <w:r w:rsidRPr="000F4FAB">
        <w:rPr>
          <w:sz w:val="18"/>
          <w:szCs w:val="18"/>
        </w:rPr>
        <w:t>Implementation of three new manufacturing centers in the community college system to address the specific workforce needs of local manufacturers.  The programs are modeled on the success of the manufacturing center program at Asnuntuck Community College and supported by $18 million in state bond funds to create the instructional infrastructure.   The first class for these new programs enrolled in fall, 2012.</w:t>
      </w:r>
    </w:p>
    <w:p w:rsidR="00867D8F" w:rsidRPr="000F4FAB" w:rsidRDefault="00867D8F" w:rsidP="008825BA">
      <w:pPr>
        <w:pStyle w:val="ListParagraph"/>
        <w:numPr>
          <w:ilvl w:val="0"/>
          <w:numId w:val="12"/>
        </w:numPr>
        <w:jc w:val="both"/>
        <w:rPr>
          <w:sz w:val="18"/>
          <w:szCs w:val="18"/>
        </w:rPr>
      </w:pPr>
      <w:r w:rsidRPr="000F4FAB">
        <w:rPr>
          <w:sz w:val="18"/>
          <w:szCs w:val="18"/>
        </w:rPr>
        <w:t>Implementation of a system-wide program designed to encourage students who have discontinued their post-secondary education in recent years to return to school to obtain a degree or certificate.</w:t>
      </w:r>
    </w:p>
    <w:p w:rsidR="00867D8F" w:rsidRDefault="00867D8F" w:rsidP="00867D8F">
      <w:pPr>
        <w:pStyle w:val="ListParagraph"/>
        <w:ind w:left="360"/>
        <w:rPr>
          <w:sz w:val="18"/>
          <w:szCs w:val="18"/>
        </w:rPr>
      </w:pPr>
    </w:p>
    <w:p w:rsidR="00867D8F" w:rsidRPr="000F4FAB" w:rsidRDefault="00867D8F" w:rsidP="00867D8F">
      <w:pPr>
        <w:pStyle w:val="ListParagraph"/>
        <w:ind w:left="360"/>
        <w:rPr>
          <w:sz w:val="18"/>
          <w:szCs w:val="18"/>
        </w:rPr>
      </w:pPr>
    </w:p>
    <w:p w:rsidR="00867D8F" w:rsidRDefault="00867D8F" w:rsidP="00867D8F">
      <w:pPr>
        <w:rPr>
          <w:szCs w:val="18"/>
        </w:rPr>
      </w:pPr>
      <w:r>
        <w:rPr>
          <w:szCs w:val="18"/>
        </w:rPr>
        <w:t>In fall 2012, the Connecticut State Colleges and Universities enrolled over 95,000 students in credit programs and another almost 30,000 will enroll over the year in non-credit programs</w:t>
      </w:r>
      <w:r w:rsidRPr="000F4FAB">
        <w:rPr>
          <w:szCs w:val="18"/>
        </w:rPr>
        <w:t>.</w:t>
      </w:r>
      <w:r>
        <w:rPr>
          <w:szCs w:val="18"/>
        </w:rPr>
        <w:t xml:space="preserve">  Students at the Connecticut State Colleges and Universities completed a record 14,879 degrees and certificates in 2011-12, up </w:t>
      </w:r>
      <w:r>
        <w:rPr>
          <w:szCs w:val="18"/>
        </w:rPr>
        <w:lastRenderedPageBreak/>
        <w:t>5.5% from the previous year.  Since 2001-02, the number of completions has increased 51.7% among all 17 institutions.</w:t>
      </w:r>
    </w:p>
    <w:p w:rsidR="00867D8F" w:rsidRPr="000F4FAB" w:rsidRDefault="00867D8F" w:rsidP="00867D8F">
      <w:pPr>
        <w:rPr>
          <w:szCs w:val="18"/>
        </w:rPr>
      </w:pPr>
    </w:p>
    <w:p w:rsidR="00867D8F" w:rsidRDefault="00867D8F" w:rsidP="00867D8F">
      <w:pPr>
        <w:spacing w:before="120"/>
      </w:pPr>
      <w:r w:rsidRPr="00703FBE">
        <w:rPr>
          <w:b/>
          <w:i/>
          <w:sz w:val="22"/>
        </w:rPr>
        <w:t>CONNECTICUT STATE UNIVERSITIES</w:t>
      </w:r>
      <w:r>
        <w:t xml:space="preserve"> </w:t>
      </w:r>
    </w:p>
    <w:p w:rsidR="00867D8F" w:rsidRDefault="008825BA" w:rsidP="00867D8F">
      <w:pPr>
        <w:spacing w:before="120"/>
      </w:pPr>
      <w:r>
        <w:t>The four comprehensive s</w:t>
      </w:r>
      <w:r w:rsidR="00867D8F">
        <w:t>tate universities are Central Connecticut State University; Eastern Connecticut State University; Southern Connecticut State University and Western Connecticut State University.</w:t>
      </w:r>
    </w:p>
    <w:p w:rsidR="00867D8F" w:rsidRDefault="00867D8F" w:rsidP="00867D8F">
      <w:r>
        <w:t>These institutions offer exemplary undergraduate and graduate instruction leading to degrees in the liberal arts, sciences, fine arts, applied fields and professional disciplines.  They advance and extend knowledge, learning and culture while preparing students to enter the workforce and to contribute to the civic life of Connecticut’s diverse communities.  To ensure access and diversity and to meet the needs of a broad range of students, the schools provide varying living and learning environments, from rural residential campuses to urban locations and online instruction.  With state-of-the art facilities and exceptional faculty, the four Connecticut State Universities support an atmosphere of inter-campus learning, the exploration of technological and global influences and the application of knowledge to promote economic growth and social justice.</w:t>
      </w:r>
    </w:p>
    <w:p w:rsidR="00867D8F" w:rsidRDefault="00867D8F" w:rsidP="00867D8F"/>
    <w:p w:rsidR="00867D8F" w:rsidRDefault="00867D8F" w:rsidP="00867D8F">
      <w:pPr>
        <w:pStyle w:val="Heading2Green"/>
        <w:rPr>
          <w:caps w:val="0"/>
          <w:color w:val="auto"/>
          <w:sz w:val="18"/>
          <w:szCs w:val="18"/>
        </w:rPr>
      </w:pPr>
      <w:r w:rsidRPr="008A3BBF">
        <w:rPr>
          <w:caps w:val="0"/>
          <w:color w:val="auto"/>
          <w:sz w:val="18"/>
          <w:szCs w:val="18"/>
        </w:rPr>
        <w:t>In fall 2012, a total of 34,947 students were enrolled in the four state universities, with a full-time equivalence (FTE) 29,353.  Of these students, 73% were enrolled on a full-time basis, 84% were undergraduates and 95% were Connecticut residents.  These enrollment levels have begun to decline from the record set in fall 2010 of 36,629 headcount enrollment at 29,603 FTE enrollment; further declines are expected as the number of high school graduates in the state shrinks, following demographic trends</w:t>
      </w:r>
      <w:r>
        <w:rPr>
          <w:caps w:val="0"/>
          <w:color w:val="auto"/>
          <w:sz w:val="18"/>
          <w:szCs w:val="18"/>
        </w:rPr>
        <w:t>.</w:t>
      </w:r>
    </w:p>
    <w:p w:rsidR="00343CAE" w:rsidRDefault="00343CAE" w:rsidP="00703FBE">
      <w:pPr>
        <w:jc w:val="left"/>
        <w:rPr>
          <w:b/>
          <w:i/>
          <w:sz w:val="22"/>
        </w:rPr>
      </w:pPr>
    </w:p>
    <w:p w:rsidR="00703FBE" w:rsidRDefault="00703FBE" w:rsidP="00703FBE">
      <w:pPr>
        <w:jc w:val="left"/>
        <w:rPr>
          <w:b/>
          <w:i/>
          <w:sz w:val="22"/>
        </w:rPr>
      </w:pPr>
      <w:r>
        <w:rPr>
          <w:b/>
          <w:i/>
          <w:sz w:val="22"/>
        </w:rPr>
        <w:t>REGIONAL COMMUNITY-TECHNICAL COLLEGES</w:t>
      </w:r>
    </w:p>
    <w:p w:rsidR="00703FBE" w:rsidRDefault="00703FBE" w:rsidP="00D93D1F">
      <w:pPr>
        <w:spacing w:after="80"/>
        <w:rPr>
          <w:rFonts w:cs="Arial"/>
        </w:rPr>
      </w:pPr>
      <w:r>
        <w:rPr>
          <w:rFonts w:cs="Arial"/>
        </w:rPr>
        <w:t xml:space="preserve">The </w:t>
      </w:r>
      <w:r w:rsidR="00D93D1F">
        <w:rPr>
          <w:rFonts w:cs="Arial"/>
        </w:rPr>
        <w:t>twelve community colleges are Asnuntuck Community College (Enfield), Capital Community College (Hartford), Gateway Community College (New Haven), Housatonic Community College (Bridgeport)</w:t>
      </w:r>
      <w:r w:rsidR="003E1AD8">
        <w:rPr>
          <w:rFonts w:cs="Arial"/>
        </w:rPr>
        <w:t>, Manchester Community College (Manchester), Middlesex Community College (Middletown), Naugatuck Valley Community College (Waterbury), Northwestern Community College (Winsted), Norwalk Community College (Norwalk), Quinebaug Valley Community College (Danielson), Three Rivers Community College (Norwich) and Tunxis Community College (Farmington)</w:t>
      </w:r>
      <w:r>
        <w:rPr>
          <w:rFonts w:cs="Arial"/>
        </w:rPr>
        <w:t>.</w:t>
      </w:r>
    </w:p>
    <w:p w:rsidR="003E1AD8" w:rsidRDefault="003E1AD8" w:rsidP="00D93D1F">
      <w:pPr>
        <w:spacing w:after="80"/>
        <w:rPr>
          <w:rFonts w:cs="Arial"/>
        </w:rPr>
      </w:pPr>
      <w:r>
        <w:rPr>
          <w:rFonts w:cs="Arial"/>
        </w:rPr>
        <w:t xml:space="preserve">The twelve comprehensive Connecticut Community Colleges that are part of the Connecticut State Colleges and Universities (ConnSCU) system share a mission to make excellent higher education and lifelong learning affordable and accessible to all Connecticut citizens.  The colleges enrich the intellectual, civic, cultural and social environments of the communities they serve through a wide range of credit transfer and career programs leading to associate degrees and certificates and non-credit life-long learning and job skills training programs.  The colleges support </w:t>
      </w:r>
      <w:r>
        <w:rPr>
          <w:rFonts w:cs="Arial"/>
        </w:rPr>
        <w:lastRenderedPageBreak/>
        <w:t xml:space="preserve">the economic growth of the state and its citizens through programs and partnerships that supply business and industry with a skilled, well-trained workforce.  All of the colleges offer an array of programs and support services that nurture student success.  </w:t>
      </w:r>
    </w:p>
    <w:p w:rsidR="003E1AD8" w:rsidRDefault="003E1AD8" w:rsidP="00D93D1F">
      <w:pPr>
        <w:spacing w:after="80"/>
        <w:rPr>
          <w:rFonts w:cs="Arial"/>
        </w:rPr>
      </w:pPr>
      <w:r>
        <w:rPr>
          <w:rFonts w:cs="Arial"/>
        </w:rPr>
        <w:t xml:space="preserve">In 2011-12, the twelve community colleges awarded 6,742 degrees and certificates, with 2,090 in liberal arts and sciences/general studies, 1,338 in health, 1,242 in business and communication, 802 in science, technology, engineering and math (STEM), </w:t>
      </w:r>
      <w:r w:rsidR="00766EC4">
        <w:rPr>
          <w:rFonts w:cs="Arial"/>
        </w:rPr>
        <w:t xml:space="preserve">575 in trades, 248 in education, 224 in arts and humanities, and 223 in social and behavioral sciences.  </w:t>
      </w:r>
    </w:p>
    <w:p w:rsidR="00766EC4" w:rsidRDefault="00766EC4" w:rsidP="00D93D1F">
      <w:pPr>
        <w:spacing w:after="80"/>
        <w:rPr>
          <w:rFonts w:cs="Arial"/>
        </w:rPr>
      </w:pPr>
      <w:r>
        <w:rPr>
          <w:rFonts w:cs="Arial"/>
        </w:rPr>
        <w:lastRenderedPageBreak/>
        <w:t>In fall 2012, a total of 58,750 students were enrolled for credit in the twelve community colleges, with a full-time equivalence (FTE) of 32,743.  This represents a record number of students, although an increase in part-time enrollments and decrease in full-time enrollments actually place FTE below the record set in 2010.  Community college enrollments have been leveling off after eight years of explosive growth.  Of the students enrolled for credit, 33% were enrolled on a full-time basis and 99% are Connecticut residents.</w:t>
      </w:r>
    </w:p>
    <w:p w:rsidR="003E1AD8" w:rsidRDefault="003E1AD8" w:rsidP="00D93D1F">
      <w:pPr>
        <w:spacing w:after="80"/>
        <w:rPr>
          <w:rFonts w:cs="Arial"/>
        </w:rPr>
      </w:pPr>
    </w:p>
    <w:p w:rsidR="00703FBE" w:rsidRDefault="00703FBE" w:rsidP="00703FBE">
      <w:pPr>
        <w:spacing w:after="0"/>
        <w:jc w:val="left"/>
        <w:rPr>
          <w:rFonts w:cs="Arial"/>
        </w:rPr>
        <w:sectPr w:rsidR="00703FBE" w:rsidSect="002A1833">
          <w:headerReference w:type="even" r:id="rId13"/>
          <w:headerReference w:type="default" r:id="rId14"/>
          <w:footerReference w:type="even" r:id="rId15"/>
          <w:footerReference w:type="default" r:id="rId16"/>
          <w:type w:val="continuous"/>
          <w:pgSz w:w="12240" w:h="15840" w:code="1"/>
          <w:pgMar w:top="864" w:right="720" w:bottom="1152" w:left="720" w:header="432" w:footer="288" w:gutter="216"/>
          <w:cols w:num="2" w:space="720" w:equalWidth="0">
            <w:col w:w="4932" w:space="720"/>
            <w:col w:w="4932"/>
          </w:cols>
        </w:sectPr>
      </w:pPr>
    </w:p>
    <w:p w:rsidR="00703FBE" w:rsidRDefault="00703FBE" w:rsidP="00703FBE">
      <w:pPr>
        <w:pStyle w:val="Heading2"/>
        <w:jc w:val="left"/>
      </w:pPr>
    </w:p>
    <w:p w:rsidR="00703FBE" w:rsidRPr="00FE0DBF" w:rsidRDefault="00703FBE" w:rsidP="00FE0DBF">
      <w:pPr>
        <w:spacing w:after="80"/>
        <w:jc w:val="left"/>
        <w:rPr>
          <w:i/>
          <w:iCs/>
          <w:sz w:val="16"/>
          <w:szCs w:val="16"/>
        </w:rPr>
        <w:sectPr w:rsidR="00703FBE" w:rsidRPr="00FE0DBF" w:rsidSect="002A1833">
          <w:type w:val="continuous"/>
          <w:pgSz w:w="12240" w:h="15840" w:code="1"/>
          <w:pgMar w:top="864" w:right="720" w:bottom="1152" w:left="720" w:header="432" w:footer="288" w:gutter="216"/>
          <w:cols w:space="432"/>
        </w:sectPr>
      </w:pPr>
      <w:r w:rsidRPr="00A12F53">
        <w:rPr>
          <w:i/>
          <w:iCs/>
          <w:sz w:val="16"/>
          <w:szCs w:val="16"/>
        </w:rPr>
        <w:t>The following programmatic and position descriptions are provided for informational purposes only.  For funding information refer to</w:t>
      </w:r>
      <w:r>
        <w:rPr>
          <w:i/>
          <w:iCs/>
          <w:sz w:val="16"/>
          <w:szCs w:val="16"/>
        </w:rPr>
        <w:t xml:space="preserve"> either </w:t>
      </w:r>
      <w:r w:rsidRPr="00A12F53">
        <w:rPr>
          <w:i/>
          <w:iCs/>
          <w:sz w:val="16"/>
          <w:szCs w:val="16"/>
        </w:rPr>
        <w:t>"The Connecticut State University Block Grant" program</w:t>
      </w:r>
      <w:r>
        <w:rPr>
          <w:i/>
          <w:iCs/>
          <w:sz w:val="16"/>
          <w:szCs w:val="16"/>
        </w:rPr>
        <w:t xml:space="preserve"> or </w:t>
      </w:r>
      <w:r>
        <w:rPr>
          <w:i/>
          <w:sz w:val="16"/>
          <w:szCs w:val="16"/>
        </w:rPr>
        <w:t>"The Regional Community-Technical Colleges Block Grant" pro</w:t>
      </w:r>
      <w:r w:rsidR="00EC3D9E">
        <w:rPr>
          <w:i/>
          <w:sz w:val="16"/>
          <w:szCs w:val="16"/>
        </w:rPr>
        <w:t>gram</w:t>
      </w:r>
      <w:r w:rsidR="00F61B80">
        <w:rPr>
          <w:i/>
          <w:sz w:val="16"/>
          <w:szCs w:val="16"/>
        </w:rPr>
        <w:t>.</w:t>
      </w:r>
    </w:p>
    <w:p w:rsidR="00511EE2" w:rsidRDefault="00511EE2" w:rsidP="002F48A1"/>
    <w:p w:rsidR="0012353A" w:rsidRDefault="00703FBE" w:rsidP="002F48A1">
      <w:pPr>
        <w:pStyle w:val="ProgramHead"/>
      </w:pPr>
      <w:r>
        <w:t>INSTRUCTION/</w:t>
      </w:r>
      <w:r w:rsidR="001243F5">
        <w:fldChar w:fldCharType="begin"/>
      </w:r>
      <w:r w:rsidR="0012353A">
        <w:instrText xml:space="preserve"> XE "</w:instrText>
      </w:r>
      <w:r w:rsidR="00A50BAE">
        <w:instrText>BOR77700</w:instrText>
      </w:r>
      <w:r w:rsidR="0012353A">
        <w:instrText xml:space="preserve"> 81101" </w:instrText>
      </w:r>
      <w:r w:rsidR="001243F5">
        <w:fldChar w:fldCharType="end"/>
      </w:r>
      <w:r w:rsidR="0012353A">
        <w:t xml:space="preserve">Learning </w:t>
      </w:r>
    </w:p>
    <w:p w:rsidR="0012353A" w:rsidRPr="00C449C6" w:rsidRDefault="0012353A" w:rsidP="002F48A1">
      <w:pPr>
        <w:pStyle w:val="ProgramHead"/>
        <w:sectPr w:rsidR="0012353A" w:rsidRPr="00C449C6" w:rsidSect="002A1833">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Statutory Reference</w:t>
      </w:r>
    </w:p>
    <w:p w:rsidR="0012353A" w:rsidRDefault="00534D72" w:rsidP="006E461E">
      <w:r>
        <w:t xml:space="preserve">C.G.S. Sections </w:t>
      </w:r>
      <w:r>
        <w:rPr>
          <w:rFonts w:cs="Arial"/>
        </w:rPr>
        <w:t>10a-71 and 10a-72 and 1</w:t>
      </w:r>
      <w:r w:rsidR="0012353A">
        <w:t>0a-87 and 10a-89</w:t>
      </w:r>
      <w:r w:rsidR="00957FD8">
        <w:t>.</w:t>
      </w:r>
      <w:r w:rsidR="0012353A">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Pr="00B822B8" w:rsidRDefault="00A053A6">
      <w:pPr>
        <w:rPr>
          <w:rFonts w:cs="Arial"/>
        </w:rPr>
      </w:pPr>
      <w:r>
        <w:t>Through the community c</w:t>
      </w:r>
      <w:r w:rsidR="00B822B8">
        <w:t xml:space="preserve">olleges,  </w:t>
      </w:r>
      <w:r w:rsidR="00B822B8">
        <w:rPr>
          <w:rFonts w:cs="Arial"/>
        </w:rPr>
        <w:t>enable people with a high school diploma (or equivalent) to obtain credits towards a certificate or associate degree or to upgrade personal or occupational skills by offering a broad range of liberal arts/transfer, vocational, occupational, technology and general programs including remediation, adult and continuing edu</w:t>
      </w:r>
      <w:r w:rsidR="005D427B">
        <w:rPr>
          <w:rFonts w:cs="Arial"/>
        </w:rPr>
        <w:t xml:space="preserve">cation. Through the state universities, </w:t>
      </w:r>
      <w:r w:rsidR="0012353A">
        <w:t xml:space="preserve">enable students meeting admissions criteria to obtain baccalaureate degrees, master’s degrees and other graduate degrees providing them with the competencies they need to succeed in employment and further study. </w:t>
      </w:r>
    </w:p>
    <w:p w:rsidR="0012353A" w:rsidRPr="007D6782" w:rsidRDefault="0012353A" w:rsidP="006E461E">
      <w:pPr>
        <w:pStyle w:val="Heading2"/>
        <w:rPr>
          <w:b/>
          <w:i/>
          <w:caps w:val="0"/>
        </w:rPr>
      </w:pPr>
      <w:r w:rsidRPr="007D6782">
        <w:rPr>
          <w:b/>
          <w:i/>
          <w:caps w:val="0"/>
        </w:rPr>
        <w:lastRenderedPageBreak/>
        <w:t>Program Description</w:t>
      </w:r>
    </w:p>
    <w:p w:rsidR="0012353A" w:rsidRDefault="0012353A" w:rsidP="00C449C6">
      <w:r>
        <w:t xml:space="preserve">Educational activities are offered to enhance student learning. The </w:t>
      </w:r>
      <w:r w:rsidR="00B822B8">
        <w:t xml:space="preserve">colleges and </w:t>
      </w:r>
      <w:r>
        <w:t>universities offer curricula to prepare students for careers in education, business administration</w:t>
      </w:r>
      <w:r w:rsidR="00703FBE">
        <w:t>, nursing, social work, librar</w:t>
      </w:r>
      <w:r w:rsidR="00FE0DBF">
        <w:t xml:space="preserve">y </w:t>
      </w:r>
      <w:r>
        <w:t>science, engineering technologies and other professional career and field choices. Programs of study are also provided in the areas of the liberal and fine arts.</w:t>
      </w:r>
    </w:p>
    <w:p w:rsidR="00703FBE" w:rsidRDefault="0012353A" w:rsidP="00C449C6">
      <w:r>
        <w:t>The process of learning involves faculty and student work in classes, laboratories and other learning situations and includes applied and basic research undertaken within a faculty member's regular workload. To the extent that faculty members, whose primary responsibility is to teach, are involved in the administration of the academic departments, administrative costs are included in this program.</w:t>
      </w:r>
    </w:p>
    <w:p w:rsidR="00867D8F" w:rsidRDefault="00867D8F" w:rsidP="00C449C6">
      <w:pPr>
        <w:sectPr w:rsidR="00867D8F" w:rsidSect="002A1833">
          <w:headerReference w:type="even" r:id="rId17"/>
          <w:headerReference w:type="default" r:id="rId18"/>
          <w:footerReference w:type="even" r:id="rId19"/>
          <w:footerReference w:type="default" r:id="rId20"/>
          <w:type w:val="continuous"/>
          <w:pgSz w:w="12240" w:h="15840" w:code="1"/>
          <w:pgMar w:top="864" w:right="720" w:bottom="1152" w:left="720" w:header="432" w:footer="288" w:gutter="216"/>
          <w:cols w:num="2" w:space="432"/>
          <w:docGrid w:linePitch="58"/>
        </w:sectPr>
      </w:pPr>
    </w:p>
    <w:p w:rsidR="00703FBE" w:rsidRDefault="00703FBE" w:rsidP="00887433">
      <w:pPr>
        <w:spacing w:after="0"/>
        <w:rPr>
          <w:rFonts w:cs="Arial"/>
        </w:rPr>
        <w:sectPr w:rsidR="00703FBE" w:rsidSect="002A1833">
          <w:type w:val="continuous"/>
          <w:pgSz w:w="12240" w:h="15840" w:code="1"/>
          <w:pgMar w:top="864" w:right="720" w:bottom="1152" w:left="720" w:header="432" w:footer="288" w:gutter="216"/>
          <w:cols w:num="2" w:space="432"/>
        </w:sectPr>
      </w:pPr>
    </w:p>
    <w:p w:rsidR="002F48A1" w:rsidRDefault="002F48A1" w:rsidP="002F48A1"/>
    <w:p w:rsidR="0012353A" w:rsidRDefault="001243F5" w:rsidP="002F48A1">
      <w:pPr>
        <w:pStyle w:val="ProgramHead"/>
        <w:sectPr w:rsidR="0012353A" w:rsidSect="002A1833">
          <w:headerReference w:type="even" r:id="rId21"/>
          <w:headerReference w:type="default" r:id="rId22"/>
          <w:footerReference w:type="even" r:id="rId23"/>
          <w:footerReference w:type="default" r:id="rId24"/>
          <w:type w:val="continuous"/>
          <w:pgSz w:w="12240" w:h="15840" w:code="1"/>
          <w:pgMar w:top="864" w:right="720" w:bottom="1152" w:left="720" w:header="432" w:footer="288" w:gutter="216"/>
          <w:cols w:space="432"/>
        </w:sectPr>
      </w:pPr>
      <w:r>
        <w:fldChar w:fldCharType="begin"/>
      </w:r>
      <w:r w:rsidR="0012353A">
        <w:instrText xml:space="preserve"> XE "</w:instrText>
      </w:r>
      <w:r w:rsidR="00A50BAE">
        <w:instrText>BOR77700</w:instrText>
      </w:r>
      <w:r w:rsidR="0012353A">
        <w:instrText xml:space="preserve"> 81102" </w:instrText>
      </w:r>
      <w:r>
        <w:fldChar w:fldCharType="end"/>
      </w:r>
      <w:r w:rsidR="0012353A">
        <w:t>Researc</w:t>
      </w:r>
      <w:r w:rsidR="00254496">
        <w:t>H</w:t>
      </w:r>
    </w:p>
    <w:p w:rsidR="0012353A" w:rsidRPr="007D6782" w:rsidRDefault="0012353A" w:rsidP="006E461E">
      <w:pPr>
        <w:pStyle w:val="Heading2"/>
        <w:rPr>
          <w:b/>
          <w:i/>
          <w:caps w:val="0"/>
        </w:rPr>
      </w:pPr>
      <w:r w:rsidRPr="007D6782">
        <w:rPr>
          <w:b/>
          <w:i/>
          <w:caps w:val="0"/>
        </w:rPr>
        <w:lastRenderedPageBreak/>
        <w:t xml:space="preserve">Statutory Reference </w:t>
      </w:r>
    </w:p>
    <w:p w:rsidR="0012353A" w:rsidRDefault="0012353A" w:rsidP="006E461E">
      <w:r>
        <w:t>C.G.S. Sections 10a-89 and 10a-98</w:t>
      </w:r>
      <w:r w:rsidR="00B822B8">
        <w:t>.</w:t>
      </w:r>
      <w:r>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 xml:space="preserve">To expand knowledge by conducting applied research and other creative activities while maximizing the benefits of research for state citizens, businesses and schools. </w:t>
      </w:r>
    </w:p>
    <w:p w:rsidR="0012353A" w:rsidRPr="007D6782" w:rsidRDefault="0012353A" w:rsidP="006E461E">
      <w:pPr>
        <w:pStyle w:val="Heading2"/>
        <w:rPr>
          <w:b/>
          <w:i/>
          <w:caps w:val="0"/>
        </w:rPr>
      </w:pPr>
      <w:r w:rsidRPr="007D6782">
        <w:rPr>
          <w:b/>
          <w:i/>
          <w:caps w:val="0"/>
        </w:rPr>
        <w:t>Program Description</w:t>
      </w:r>
    </w:p>
    <w:p w:rsidR="00480A6B" w:rsidRDefault="00FE0DBF" w:rsidP="00480A6B">
      <w:proofErr w:type="gramStart"/>
      <w:r>
        <w:t>F</w:t>
      </w:r>
      <w:r w:rsidR="00480A6B">
        <w:t xml:space="preserve">aculty of the </w:t>
      </w:r>
      <w:r>
        <w:t xml:space="preserve">four </w:t>
      </w:r>
      <w:r w:rsidR="00EA4E3C">
        <w:t>state u</w:t>
      </w:r>
      <w:r>
        <w:t>niversities</w:t>
      </w:r>
      <w:r w:rsidR="008825BA">
        <w:t xml:space="preserve"> are</w:t>
      </w:r>
      <w:proofErr w:type="gramEnd"/>
      <w:r w:rsidR="00480A6B">
        <w:t xml:space="preserve"> involved in research and creative activity to enhance learning.  Applied research activity predominates.  Expenditures </w:t>
      </w:r>
      <w:r w:rsidR="00480F56">
        <w:t xml:space="preserve">in </w:t>
      </w:r>
      <w:r w:rsidR="00480A6B">
        <w:t>this program are supported primarily by externally funded grants made to individual faculty members or centers.</w:t>
      </w:r>
    </w:p>
    <w:p w:rsidR="00FE0DBF" w:rsidRDefault="00480A6B" w:rsidP="00480A6B">
      <w:r>
        <w:t xml:space="preserve">The benefits of research activities to citizens, businesses and schools are many and depend upon the types of research grants received. </w:t>
      </w:r>
    </w:p>
    <w:p w:rsidR="009D45F7" w:rsidRPr="00C448F5" w:rsidRDefault="00480A6B" w:rsidP="00480A6B">
      <w:pPr>
        <w:sectPr w:rsidR="009D45F7" w:rsidRPr="00C448F5" w:rsidSect="002A1833">
          <w:headerReference w:type="even" r:id="rId25"/>
          <w:headerReference w:type="default" r:id="rId26"/>
          <w:footerReference w:type="even" r:id="rId27"/>
          <w:footerReference w:type="default" r:id="rId28"/>
          <w:type w:val="continuous"/>
          <w:pgSz w:w="12240" w:h="15840" w:code="1"/>
          <w:pgMar w:top="864" w:right="720" w:bottom="1152" w:left="720" w:header="432" w:footer="288" w:gutter="216"/>
          <w:cols w:num="2" w:space="432"/>
        </w:sectPr>
      </w:pPr>
      <w:r w:rsidRPr="00C448F5">
        <w:lastRenderedPageBreak/>
        <w:t xml:space="preserve">Examples based on recent grant activity center around the STEM </w:t>
      </w:r>
      <w:r w:rsidR="00480F56">
        <w:t xml:space="preserve">(science, technology, engineering and math) </w:t>
      </w:r>
      <w:r w:rsidRPr="00C448F5">
        <w:t xml:space="preserve">areas, and include funding for the expansion of the research and educational capacity of graduate programs that teach earth science students the techniques of field data analysis (maximizes benefits by preparing science teachers); grant funds to support basic scientific research to promote progress in the biological </w:t>
      </w:r>
      <w:r w:rsidR="00C448F5" w:rsidRPr="00C448F5">
        <w:t xml:space="preserve">and physical </w:t>
      </w:r>
      <w:r w:rsidR="00EC3D9E">
        <w:t>sciences and strengthen the n</w:t>
      </w:r>
      <w:r w:rsidRPr="00C448F5">
        <w:t xml:space="preserve">ation's scientific enterprise (benefits the state, businesses, and students by preparing </w:t>
      </w:r>
      <w:r w:rsidR="00C448F5" w:rsidRPr="00C448F5">
        <w:t xml:space="preserve">promoting careers in science and preparing </w:t>
      </w:r>
      <w:r w:rsidRPr="00C448F5">
        <w:t xml:space="preserve">graduates for employment in STEM areas, as well as future science teachers); and grant funding to work with the K-12 institutions to prepare students for lifelong learning, and in particular, employment in STEM areas.  Research funding also supports research for important social programs, such as </w:t>
      </w:r>
      <w:r w:rsidR="00C448F5" w:rsidRPr="00C448F5">
        <w:t xml:space="preserve">the prevention of alcohol and substance abuse and violence against women </w:t>
      </w:r>
      <w:r w:rsidRPr="00C448F5">
        <w:t>and the study of climate change and environmental</w:t>
      </w:r>
      <w:r w:rsidR="008A7251" w:rsidRPr="00C448F5">
        <w:t xml:space="preserve"> i</w:t>
      </w:r>
      <w:r w:rsidR="00F65F27">
        <w:t>ssues.</w:t>
      </w:r>
    </w:p>
    <w:p w:rsidR="002F48A1" w:rsidRDefault="002F48A1" w:rsidP="002F48A1"/>
    <w:p w:rsidR="0012353A" w:rsidRPr="002F48A1" w:rsidRDefault="001243F5" w:rsidP="002F48A1">
      <w:pPr>
        <w:pStyle w:val="ProgramHead"/>
        <w:sectPr w:rsidR="0012353A" w:rsidRPr="002F48A1" w:rsidSect="002A1833">
          <w:type w:val="continuous"/>
          <w:pgSz w:w="12240" w:h="15840" w:code="1"/>
          <w:pgMar w:top="864" w:right="720" w:bottom="1152" w:left="720" w:header="432" w:footer="288" w:gutter="216"/>
          <w:cols w:space="432"/>
        </w:sectPr>
      </w:pPr>
      <w:r w:rsidRPr="002F48A1">
        <w:fldChar w:fldCharType="begin"/>
      </w:r>
      <w:r w:rsidR="0012353A" w:rsidRPr="002F48A1">
        <w:instrText xml:space="preserve"> XE "</w:instrText>
      </w:r>
      <w:r w:rsidR="00A50BAE" w:rsidRPr="002F48A1">
        <w:instrText>BOR77700</w:instrText>
      </w:r>
      <w:r w:rsidR="0012353A" w:rsidRPr="002F48A1">
        <w:instrText xml:space="preserve"> 81103" </w:instrText>
      </w:r>
      <w:r w:rsidRPr="002F48A1">
        <w:fldChar w:fldCharType="end"/>
      </w:r>
      <w:r w:rsidR="0012353A" w:rsidRPr="002F48A1">
        <w:t>Public Service</w:t>
      </w:r>
    </w:p>
    <w:p w:rsidR="0012353A" w:rsidRPr="007D6782" w:rsidRDefault="0012353A" w:rsidP="006E461E">
      <w:pPr>
        <w:pStyle w:val="Heading2"/>
        <w:rPr>
          <w:b/>
          <w:i/>
          <w:caps w:val="0"/>
        </w:rPr>
      </w:pPr>
      <w:r w:rsidRPr="007D6782">
        <w:rPr>
          <w:b/>
          <w:i/>
          <w:caps w:val="0"/>
        </w:rPr>
        <w:lastRenderedPageBreak/>
        <w:t xml:space="preserve">Statutory Reference </w:t>
      </w:r>
    </w:p>
    <w:p w:rsidR="0012353A" w:rsidRDefault="00FC119E">
      <w:r>
        <w:t xml:space="preserve">C.G.S. </w:t>
      </w:r>
      <w:r w:rsidR="00B822B8">
        <w:t xml:space="preserve">Sections </w:t>
      </w:r>
      <w:r w:rsidR="00B205F4">
        <w:rPr>
          <w:rFonts w:cs="Arial"/>
        </w:rPr>
        <w:t>10a-71,</w:t>
      </w:r>
      <w:r w:rsidR="00A400AA">
        <w:rPr>
          <w:rFonts w:cs="Arial"/>
        </w:rPr>
        <w:t xml:space="preserve"> 10a-72</w:t>
      </w:r>
      <w:proofErr w:type="gramStart"/>
      <w:r w:rsidR="00A400AA">
        <w:rPr>
          <w:rFonts w:cs="Arial"/>
        </w:rPr>
        <w:t xml:space="preserve">, </w:t>
      </w:r>
      <w:r w:rsidR="00B822B8">
        <w:rPr>
          <w:rFonts w:cs="Arial"/>
        </w:rPr>
        <w:t xml:space="preserve"> </w:t>
      </w:r>
      <w:r w:rsidR="00B822B8">
        <w:t>10a</w:t>
      </w:r>
      <w:proofErr w:type="gramEnd"/>
      <w:r w:rsidR="00B822B8">
        <w:t>-87 and 10a-89.</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To enhance non-instructional services to those external to the universities through special social, cultural and economic activities and services for individuals, businesses, industry and other groups.</w:t>
      </w:r>
    </w:p>
    <w:p w:rsidR="0012353A" w:rsidRPr="007D6782" w:rsidRDefault="0012353A" w:rsidP="006E461E">
      <w:pPr>
        <w:pStyle w:val="Heading2"/>
        <w:rPr>
          <w:b/>
          <w:i/>
          <w:caps w:val="0"/>
        </w:rPr>
      </w:pPr>
      <w:r w:rsidRPr="007D6782">
        <w:rPr>
          <w:b/>
          <w:i/>
          <w:caps w:val="0"/>
        </w:rPr>
        <w:lastRenderedPageBreak/>
        <w:t>Program Description</w:t>
      </w:r>
    </w:p>
    <w:p w:rsidR="0012353A" w:rsidRDefault="0012353A">
      <w:r>
        <w:t>Public service has long been recognized as</w:t>
      </w:r>
      <w:r w:rsidR="006A6BC0">
        <w:t xml:space="preserve"> part of the mission of the state u</w:t>
      </w:r>
      <w:r w:rsidR="00633DF0">
        <w:t xml:space="preserve">niversities </w:t>
      </w:r>
      <w:r>
        <w:t xml:space="preserve">and is a logical extension of the learners' community.   Consulting and voluntary service, applied research, training programs, exhibits, plays, sports and concerts are means by which faculty and students share their expertise and render public service to the people of Connecticut.  A variety of centers and </w:t>
      </w:r>
      <w:r>
        <w:lastRenderedPageBreak/>
        <w:t xml:space="preserve">institutes have been established </w:t>
      </w:r>
      <w:r w:rsidR="00633DF0">
        <w:t>at</w:t>
      </w:r>
      <w:r>
        <w:t xml:space="preserve"> the Con</w:t>
      </w:r>
      <w:r w:rsidR="00633DF0">
        <w:t xml:space="preserve">necticut State </w:t>
      </w:r>
      <w:r w:rsidR="002A1561">
        <w:t>Universities to</w:t>
      </w:r>
      <w:r>
        <w:t xml:space="preserve"> carry out projects funded by the federal government or other external sources. </w:t>
      </w:r>
    </w:p>
    <w:p w:rsidR="0012353A" w:rsidRDefault="0012353A">
      <w:r>
        <w:t xml:space="preserve">Grants and contracts often provide the opportunity for students to be employed as junior members of a professional team applying academic knowledge to the real problems of society.  Such projects provide especially effective learning environments for students enabling them to have the kind of practical experiences future employers seek. </w:t>
      </w:r>
    </w:p>
    <w:p w:rsidR="006E0755" w:rsidRDefault="00D1200F" w:rsidP="006E0755">
      <w:pPr>
        <w:rPr>
          <w:rFonts w:cs="Arial"/>
        </w:rPr>
      </w:pPr>
      <w:r>
        <w:rPr>
          <w:rFonts w:cs="Arial"/>
        </w:rPr>
        <w:lastRenderedPageBreak/>
        <w:t>At the community c</w:t>
      </w:r>
      <w:r w:rsidR="006E0755">
        <w:rPr>
          <w:rFonts w:cs="Arial"/>
        </w:rPr>
        <w:t>olleges, these community service programs make available various resources and special capabilities that exist within the colleges, by offering primarily short-term, non-credit educational activities. These activi</w:t>
      </w:r>
      <w:r>
        <w:rPr>
          <w:rFonts w:cs="Arial"/>
        </w:rPr>
        <w:t>ti</w:t>
      </w:r>
      <w:r w:rsidR="006E0755">
        <w:rPr>
          <w:rFonts w:cs="Arial"/>
        </w:rPr>
        <w:t xml:space="preserve">es are related to professional development, improved job skills, or career advancement through educational services, outreach programs, conferences, workshops, public lectures and events, televised or individualized instruction, contract and grant projects and interagency services. </w:t>
      </w:r>
    </w:p>
    <w:p w:rsidR="006E0755" w:rsidRDefault="006E0755"/>
    <w:p w:rsidR="006E0755" w:rsidRDefault="006E0755">
      <w:pPr>
        <w:sectPr w:rsidR="006E0755" w:rsidSect="002A1833">
          <w:headerReference w:type="even" r:id="rId29"/>
          <w:headerReference w:type="default" r:id="rId30"/>
          <w:footerReference w:type="even" r:id="rId31"/>
          <w:footerReference w:type="default" r:id="rId32"/>
          <w:type w:val="continuous"/>
          <w:pgSz w:w="12240" w:h="15840" w:code="1"/>
          <w:pgMar w:top="864" w:right="720" w:bottom="1152" w:left="720" w:header="432" w:footer="288" w:gutter="216"/>
          <w:cols w:num="2" w:space="432"/>
        </w:sectPr>
      </w:pPr>
    </w:p>
    <w:p w:rsidR="00887433" w:rsidRDefault="00887433" w:rsidP="002F48A1"/>
    <w:p w:rsidR="0012353A" w:rsidRDefault="001243F5" w:rsidP="001A5916">
      <w:pPr>
        <w:pStyle w:val="ProgramHead"/>
      </w:pPr>
      <w:r>
        <w:fldChar w:fldCharType="begin"/>
      </w:r>
      <w:r w:rsidR="0012353A">
        <w:instrText xml:space="preserve"> XE "</w:instrText>
      </w:r>
      <w:r w:rsidR="00A50BAE">
        <w:instrText>BOR77700</w:instrText>
      </w:r>
      <w:r w:rsidR="0012353A">
        <w:instrText xml:space="preserve"> 81104" </w:instrText>
      </w:r>
      <w:r>
        <w:fldChar w:fldCharType="end"/>
      </w:r>
      <w:r w:rsidR="0012353A">
        <w:t xml:space="preserve">Academic Support </w:t>
      </w:r>
    </w:p>
    <w:p w:rsidR="0012353A" w:rsidRDefault="0012353A" w:rsidP="001A5916">
      <w:pPr>
        <w:pStyle w:val="ProgramHead"/>
        <w:sectPr w:rsidR="0012353A" w:rsidSect="002A1833">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Statutory Reference</w:t>
      </w:r>
    </w:p>
    <w:p w:rsidR="0012353A" w:rsidRDefault="007D6782">
      <w:r>
        <w:t xml:space="preserve">C.G.S. </w:t>
      </w:r>
      <w:r w:rsidR="0012353A">
        <w:t>Sections</w:t>
      </w:r>
      <w:r w:rsidR="00D213C4">
        <w:t xml:space="preserve"> 10a-71, 10a-72</w:t>
      </w:r>
      <w:proofErr w:type="gramStart"/>
      <w:r w:rsidR="00D213C4">
        <w:t xml:space="preserve">, </w:t>
      </w:r>
      <w:r w:rsidR="0012353A">
        <w:t xml:space="preserve"> 10a</w:t>
      </w:r>
      <w:proofErr w:type="gramEnd"/>
      <w:r w:rsidR="0012353A">
        <w:t>-87 and 10a-89</w:t>
      </w:r>
      <w:r w:rsidR="00002540">
        <w:t>.</w:t>
      </w:r>
      <w:r w:rsidR="0012353A">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To enhance the primary activities of learning, research and public service through support services that provide academic program management, access to equipment and materials, and opportunities for personal and professional growth of the faculty.</w:t>
      </w:r>
    </w:p>
    <w:p w:rsidR="0012353A" w:rsidRPr="007D6782" w:rsidRDefault="0012353A" w:rsidP="006E461E">
      <w:pPr>
        <w:pStyle w:val="Heading2"/>
        <w:rPr>
          <w:b/>
          <w:i/>
          <w:caps w:val="0"/>
        </w:rPr>
      </w:pPr>
      <w:r w:rsidRPr="007D6782">
        <w:rPr>
          <w:b/>
          <w:i/>
          <w:caps w:val="0"/>
        </w:rPr>
        <w:lastRenderedPageBreak/>
        <w:t xml:space="preserve">Program Description </w:t>
      </w:r>
    </w:p>
    <w:p w:rsidR="008825BA" w:rsidRDefault="006E0755" w:rsidP="006E0755">
      <w:pPr>
        <w:rPr>
          <w:rFonts w:cs="Arial"/>
        </w:rPr>
      </w:pPr>
      <w:r>
        <w:rPr>
          <w:rFonts w:cs="Arial"/>
          <w:iCs/>
        </w:rPr>
        <w:t>The Academic Support Program</w:t>
      </w:r>
      <w:r>
        <w:rPr>
          <w:rFonts w:cs="Arial"/>
        </w:rPr>
        <w:t xml:space="preserve"> embodies those activities that support the primary instructional programs through various services, programs and activities that directly assist the academic functions of the institution.  Included are academic and instructional technology, educational media, course and curriculum development, allied health, child care and other instructional practica, museums, galleries, laboratories, learning resource centers and faculty professional deve</w:t>
      </w:r>
      <w:r w:rsidR="00910325">
        <w:rPr>
          <w:rFonts w:cs="Arial"/>
        </w:rPr>
        <w:t>lopmen</w:t>
      </w:r>
      <w:r w:rsidR="008825BA">
        <w:rPr>
          <w:rFonts w:cs="Arial"/>
        </w:rPr>
        <w:t>t.</w:t>
      </w:r>
    </w:p>
    <w:p w:rsidR="008825BA" w:rsidRDefault="008825BA" w:rsidP="006E0755">
      <w:pPr>
        <w:rPr>
          <w:rFonts w:cs="Arial"/>
        </w:rPr>
        <w:sectPr w:rsidR="008825BA" w:rsidSect="002A1833">
          <w:type w:val="continuous"/>
          <w:pgSz w:w="12240" w:h="15840" w:code="1"/>
          <w:pgMar w:top="864" w:right="720" w:bottom="1152" w:left="720" w:header="432" w:footer="288" w:gutter="216"/>
          <w:cols w:num="2" w:space="432"/>
        </w:sectPr>
      </w:pPr>
    </w:p>
    <w:p w:rsidR="00FC76BE" w:rsidRDefault="00FC76BE" w:rsidP="002F48A1"/>
    <w:p w:rsidR="0012353A" w:rsidRDefault="001243F5" w:rsidP="001A5916">
      <w:pPr>
        <w:pStyle w:val="ProgramHead"/>
      </w:pPr>
      <w:r>
        <w:fldChar w:fldCharType="begin"/>
      </w:r>
      <w:r w:rsidR="0012353A">
        <w:instrText xml:space="preserve"> XE "</w:instrText>
      </w:r>
      <w:r w:rsidR="00A50BAE">
        <w:instrText>BOR77700</w:instrText>
      </w:r>
      <w:r w:rsidR="0012353A">
        <w:instrText xml:space="preserve"> 81105" </w:instrText>
      </w:r>
      <w:r>
        <w:fldChar w:fldCharType="end"/>
      </w:r>
      <w:r w:rsidR="0012353A">
        <w:t xml:space="preserve">Library </w:t>
      </w:r>
    </w:p>
    <w:p w:rsidR="0012353A" w:rsidRDefault="0012353A" w:rsidP="001A5916">
      <w:pPr>
        <w:pStyle w:val="ProgramHead"/>
        <w:sectPr w:rsidR="0012353A" w:rsidSect="002A1833">
          <w:headerReference w:type="even" r:id="rId33"/>
          <w:headerReference w:type="default" r:id="rId34"/>
          <w:footerReference w:type="even" r:id="rId35"/>
          <w:footerReference w:type="default" r:id="rId36"/>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 xml:space="preserve">Statutory Reference </w:t>
      </w:r>
    </w:p>
    <w:p w:rsidR="0012353A" w:rsidRDefault="00D213C4">
      <w:r>
        <w:t xml:space="preserve">C.G.S. </w:t>
      </w:r>
      <w:r w:rsidR="0012353A">
        <w:t xml:space="preserve">Sections </w:t>
      </w:r>
      <w:r>
        <w:rPr>
          <w:rFonts w:cs="Arial"/>
        </w:rPr>
        <w:t xml:space="preserve">10a-71, </w:t>
      </w:r>
      <w:r w:rsidR="00002540">
        <w:rPr>
          <w:rFonts w:cs="Arial"/>
        </w:rPr>
        <w:t>10a-72</w:t>
      </w:r>
      <w:proofErr w:type="gramStart"/>
      <w:r>
        <w:rPr>
          <w:rFonts w:cs="Arial"/>
        </w:rPr>
        <w:t xml:space="preserve">, </w:t>
      </w:r>
      <w:r w:rsidR="00002540">
        <w:rPr>
          <w:rFonts w:cs="Arial"/>
        </w:rPr>
        <w:t xml:space="preserve"> </w:t>
      </w:r>
      <w:r w:rsidR="00BD4044">
        <w:t>10a</w:t>
      </w:r>
      <w:proofErr w:type="gramEnd"/>
      <w:r w:rsidR="00BD4044">
        <w:t>-87 and 10a-89</w:t>
      </w:r>
      <w:r w:rsidR="00002540">
        <w:t>.</w:t>
      </w:r>
    </w:p>
    <w:p w:rsidR="0012353A" w:rsidRPr="007D6782" w:rsidRDefault="0012353A" w:rsidP="006E461E">
      <w:pPr>
        <w:pStyle w:val="Heading2"/>
        <w:rPr>
          <w:b/>
          <w:i/>
          <w:caps w:val="0"/>
        </w:rPr>
      </w:pPr>
      <w:r w:rsidRPr="007D6782">
        <w:rPr>
          <w:b/>
          <w:i/>
          <w:caps w:val="0"/>
        </w:rPr>
        <w:t>Statement of Need and Program Objectives</w:t>
      </w:r>
    </w:p>
    <w:p w:rsidR="0012353A" w:rsidRDefault="0012353A" w:rsidP="00C449C6">
      <w:r>
        <w:t xml:space="preserve">To ensure that students, faculty, staff and citizens are provided convenient access to library collections appropriate for the size and educational and research mission of the </w:t>
      </w:r>
      <w:r w:rsidR="00002540">
        <w:t>state universities and community colleges</w:t>
      </w:r>
      <w:r>
        <w:t>.  To ensure that such collections remain current through a regular and efficient program of replacement, acquisition and restoration.  Increasingly, libraries provide electronic access to full-text information sources.</w:t>
      </w:r>
    </w:p>
    <w:p w:rsidR="0012353A" w:rsidRPr="007D6782" w:rsidRDefault="0012353A" w:rsidP="006E461E">
      <w:pPr>
        <w:pStyle w:val="Heading2"/>
        <w:rPr>
          <w:b/>
          <w:i/>
          <w:caps w:val="0"/>
        </w:rPr>
      </w:pPr>
      <w:r w:rsidRPr="007D6782">
        <w:rPr>
          <w:b/>
          <w:i/>
          <w:caps w:val="0"/>
        </w:rPr>
        <w:lastRenderedPageBreak/>
        <w:t xml:space="preserve">Program Description </w:t>
      </w:r>
    </w:p>
    <w:p w:rsidR="0012353A" w:rsidRDefault="0012353A">
      <w:r>
        <w:t>Each of the libraries contains collections of books, periodicals and other media to support the academic program offerings of each campus.  There are also several collections to meet specialized needs:</w:t>
      </w:r>
    </w:p>
    <w:p w:rsidR="0012353A" w:rsidRPr="009D45F7" w:rsidRDefault="0012353A" w:rsidP="00DF6CEE">
      <w:pPr>
        <w:numPr>
          <w:ilvl w:val="0"/>
          <w:numId w:val="7"/>
        </w:numPr>
      </w:pPr>
      <w:r>
        <w:t>Young Library – Ancell School of Business at Western Connecticut State University.</w:t>
      </w:r>
    </w:p>
    <w:p w:rsidR="005F7105" w:rsidRDefault="0012353A" w:rsidP="00DF6CEE">
      <w:pPr>
        <w:numPr>
          <w:ilvl w:val="0"/>
          <w:numId w:val="8"/>
        </w:numPr>
      </w:pPr>
      <w:r>
        <w:t>Connecticut Studies at Eastern Connecticut State University.</w:t>
      </w:r>
    </w:p>
    <w:p w:rsidR="0012353A" w:rsidRPr="009D45F7" w:rsidRDefault="0012353A" w:rsidP="00DF6CEE">
      <w:pPr>
        <w:numPr>
          <w:ilvl w:val="0"/>
          <w:numId w:val="8"/>
        </w:numPr>
      </w:pPr>
      <w:r>
        <w:t>Curricula laboratories for teacher preparation at the four universities</w:t>
      </w:r>
      <w:r w:rsidR="008A7251">
        <w:t xml:space="preserve"> and</w:t>
      </w:r>
      <w:r w:rsidR="009D45F7">
        <w:t xml:space="preserve"> </w:t>
      </w:r>
      <w:r>
        <w:t>Polish American Archives at Central Connecticut State University</w:t>
      </w:r>
      <w:r w:rsidR="008A7251">
        <w:t>.</w:t>
      </w:r>
      <w:r>
        <w:t xml:space="preserve"> </w:t>
      </w:r>
    </w:p>
    <w:p w:rsidR="0012353A" w:rsidRDefault="0012353A" w:rsidP="00C52185">
      <w:pPr>
        <w:sectPr w:rsidR="0012353A" w:rsidSect="002A1833">
          <w:headerReference w:type="even" r:id="rId37"/>
          <w:headerReference w:type="default" r:id="rId38"/>
          <w:footerReference w:type="even" r:id="rId39"/>
          <w:footerReference w:type="default" r:id="rId40"/>
          <w:type w:val="continuous"/>
          <w:pgSz w:w="12240" w:h="15840" w:code="1"/>
          <w:pgMar w:top="864" w:right="720" w:bottom="1152" w:left="720" w:header="432" w:footer="288" w:gutter="216"/>
          <w:cols w:num="2" w:space="432"/>
        </w:sectPr>
      </w:pPr>
    </w:p>
    <w:p w:rsidR="00887433" w:rsidRDefault="00887433" w:rsidP="002F48A1"/>
    <w:p w:rsidR="0012353A" w:rsidRDefault="001243F5" w:rsidP="001A5916">
      <w:pPr>
        <w:pStyle w:val="ProgramHead"/>
      </w:pPr>
      <w:r>
        <w:fldChar w:fldCharType="begin"/>
      </w:r>
      <w:r w:rsidR="0012353A">
        <w:instrText xml:space="preserve"> XE "</w:instrText>
      </w:r>
      <w:r w:rsidR="00A50BAE">
        <w:instrText>BOR77700</w:instrText>
      </w:r>
      <w:r w:rsidR="0012353A">
        <w:instrText xml:space="preserve"> 81106" </w:instrText>
      </w:r>
      <w:r>
        <w:fldChar w:fldCharType="end"/>
      </w:r>
      <w:r w:rsidR="0012353A">
        <w:t xml:space="preserve">Student Services </w:t>
      </w:r>
    </w:p>
    <w:p w:rsidR="0012353A" w:rsidRDefault="0012353A" w:rsidP="001A5916">
      <w:pPr>
        <w:pStyle w:val="ProgramHead"/>
        <w:sectPr w:rsidR="0012353A" w:rsidSect="002A1833">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Statutory Reference</w:t>
      </w:r>
    </w:p>
    <w:p w:rsidR="0012353A" w:rsidRDefault="006F3FBF">
      <w:r>
        <w:t xml:space="preserve">C.G.S. </w:t>
      </w:r>
      <w:r w:rsidR="0012353A">
        <w:t xml:space="preserve">Sections </w:t>
      </w:r>
      <w:r>
        <w:rPr>
          <w:rFonts w:cs="Arial"/>
        </w:rPr>
        <w:t>10a-71</w:t>
      </w:r>
      <w:proofErr w:type="gramStart"/>
      <w:r>
        <w:rPr>
          <w:rFonts w:cs="Arial"/>
        </w:rPr>
        <w:t>,  10a</w:t>
      </w:r>
      <w:proofErr w:type="gramEnd"/>
      <w:r>
        <w:rPr>
          <w:rFonts w:cs="Arial"/>
        </w:rPr>
        <w:t xml:space="preserve">-72, </w:t>
      </w:r>
      <w:r w:rsidR="00002540">
        <w:rPr>
          <w:rFonts w:cs="Arial"/>
        </w:rPr>
        <w:t xml:space="preserve"> </w:t>
      </w:r>
      <w:r w:rsidR="0012353A">
        <w:t>10a-87 and 10a-89</w:t>
      </w:r>
      <w:r w:rsidR="00BD4044">
        <w:t>.</w:t>
      </w:r>
      <w:r w:rsidR="0012353A">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8174C2" w:rsidRPr="007B21A7" w:rsidRDefault="0012353A" w:rsidP="008174C2">
      <w:pPr>
        <w:rPr>
          <w:rFonts w:cs="Arial"/>
        </w:rPr>
      </w:pPr>
      <w:r>
        <w:t>To enhance a student's educational experience by providing a collegiate environment that offers</w:t>
      </w:r>
      <w:r w:rsidR="00002540">
        <w:t xml:space="preserve"> social and cultural activities.  At the state universities this includes</w:t>
      </w:r>
      <w:r>
        <w:t xml:space="preserve"> housing and food services</w:t>
      </w:r>
      <w:r w:rsidR="00002540">
        <w:t>, which are</w:t>
      </w:r>
      <w:r>
        <w:t xml:space="preserve"> financed primarily as self-supporting operations. </w:t>
      </w:r>
    </w:p>
    <w:p w:rsidR="0012353A" w:rsidRPr="007D6782" w:rsidRDefault="0012353A" w:rsidP="006E461E">
      <w:pPr>
        <w:pStyle w:val="Heading2"/>
        <w:rPr>
          <w:b/>
          <w:i/>
          <w:caps w:val="0"/>
        </w:rPr>
      </w:pPr>
      <w:r w:rsidRPr="007D6782">
        <w:rPr>
          <w:b/>
          <w:i/>
          <w:caps w:val="0"/>
        </w:rPr>
        <w:t xml:space="preserve">Program Description </w:t>
      </w:r>
    </w:p>
    <w:p w:rsidR="0012353A" w:rsidRDefault="0012353A">
      <w:r>
        <w:t>The Student Services program comprises all activities related to students and includes such services as social and cultural development activities, counseling, career guidance and placement,</w:t>
      </w:r>
      <w:r w:rsidR="0025238F">
        <w:t xml:space="preserve"> </w:t>
      </w:r>
      <w:r>
        <w:t xml:space="preserve">financial aid administration, student admissions and records, student health services, cooperative education programs and child care. </w:t>
      </w:r>
    </w:p>
    <w:p w:rsidR="0012353A" w:rsidRDefault="0012353A">
      <w:r>
        <w:t>The Con</w:t>
      </w:r>
      <w:r w:rsidR="00CC13CD">
        <w:t>necticut State Universities,</w:t>
      </w:r>
      <w:r>
        <w:t xml:space="preserve"> through student fees</w:t>
      </w:r>
      <w:r w:rsidR="00CC13CD">
        <w:t>, currently provide</w:t>
      </w:r>
      <w:r>
        <w:t>:</w:t>
      </w:r>
    </w:p>
    <w:p w:rsidR="0012353A" w:rsidRPr="00E94161" w:rsidRDefault="0012353A" w:rsidP="00DF6CEE">
      <w:pPr>
        <w:numPr>
          <w:ilvl w:val="0"/>
          <w:numId w:val="9"/>
        </w:numPr>
      </w:pPr>
      <w:r w:rsidRPr="00E94161">
        <w:t>Housing for approximately 3</w:t>
      </w:r>
      <w:r w:rsidR="00E94161" w:rsidRPr="00E94161">
        <w:t>4</w:t>
      </w:r>
      <w:r w:rsidRPr="00E94161">
        <w:t>% of the full-time students enrolled.</w:t>
      </w:r>
    </w:p>
    <w:p w:rsidR="0012353A" w:rsidRDefault="006121A1" w:rsidP="00DF6CEE">
      <w:pPr>
        <w:numPr>
          <w:ilvl w:val="0"/>
          <w:numId w:val="10"/>
        </w:numPr>
      </w:pPr>
      <w:r>
        <w:lastRenderedPageBreak/>
        <w:t>Food service f</w:t>
      </w:r>
      <w:r w:rsidR="0012353A">
        <w:t>acilities accommodating both resident students and commuters.</w:t>
      </w:r>
    </w:p>
    <w:p w:rsidR="0012353A" w:rsidRDefault="006121A1" w:rsidP="00DF6CEE">
      <w:pPr>
        <w:numPr>
          <w:ilvl w:val="0"/>
          <w:numId w:val="11"/>
        </w:numPr>
      </w:pPr>
      <w:r>
        <w:t>Student c</w:t>
      </w:r>
      <w:r w:rsidR="0012353A">
        <w:t>enters that are the focal points of most student activities, including radio stations, student newspapers, bookstores and recreation areas</w:t>
      </w:r>
      <w:r w:rsidR="008A7251">
        <w:t xml:space="preserve"> and</w:t>
      </w:r>
      <w:r w:rsidR="009D45F7">
        <w:t xml:space="preserve"> </w:t>
      </w:r>
      <w:r w:rsidR="0012353A">
        <w:t>Intercollegiate Athletics</w:t>
      </w:r>
      <w:r w:rsidR="008A7251">
        <w:t>.</w:t>
      </w:r>
      <w:r w:rsidR="0012353A">
        <w:t xml:space="preserve"> </w:t>
      </w:r>
    </w:p>
    <w:p w:rsidR="008174C2" w:rsidRDefault="008174C2" w:rsidP="008174C2">
      <w:pPr>
        <w:rPr>
          <w:rFonts w:cs="Arial"/>
        </w:rPr>
      </w:pPr>
      <w:r>
        <w:rPr>
          <w:rFonts w:cs="Arial"/>
        </w:rPr>
        <w:t>Serving the community college student population effectively and</w:t>
      </w:r>
      <w:r w:rsidR="0025238F">
        <w:rPr>
          <w:rFonts w:cs="Arial"/>
        </w:rPr>
        <w:t xml:space="preserve"> making </w:t>
      </w:r>
      <w:r>
        <w:rPr>
          <w:rFonts w:cs="Arial"/>
        </w:rPr>
        <w:t>further study a reality for those students who may be under-prepared or returning to higher education for career advancement requires a high level of academic support services.  The colleges provide developmental and remedial programs along with the following programs and services that make success at the college level possible for many of the state’s students:  academic advising; placement testing and counseling; individualized instruction and tutoring; transfer and career counseling; financial aid advising and programs; library and laboratory support and school to career programs and child care services.</w:t>
      </w:r>
    </w:p>
    <w:p w:rsidR="008174C2" w:rsidRDefault="008174C2" w:rsidP="008174C2">
      <w:pPr>
        <w:sectPr w:rsidR="008174C2" w:rsidSect="002A1833">
          <w:headerReference w:type="even" r:id="rId41"/>
          <w:headerReference w:type="default" r:id="rId42"/>
          <w:footerReference w:type="even" r:id="rId43"/>
          <w:footerReference w:type="default" r:id="rId44"/>
          <w:type w:val="continuous"/>
          <w:pgSz w:w="12240" w:h="15840" w:code="1"/>
          <w:pgMar w:top="864" w:right="720" w:bottom="1152" w:left="720" w:header="432" w:footer="288" w:gutter="216"/>
          <w:cols w:num="2" w:space="432"/>
        </w:sectPr>
      </w:pPr>
    </w:p>
    <w:p w:rsidR="00E53910" w:rsidRDefault="00E53910" w:rsidP="00E53910">
      <w:pPr>
        <w:spacing w:after="0"/>
        <w:jc w:val="left"/>
        <w:rPr>
          <w:rFonts w:cs="Arial"/>
        </w:rPr>
        <w:sectPr w:rsidR="00E53910" w:rsidSect="002A1833">
          <w:type w:val="continuous"/>
          <w:pgSz w:w="12240" w:h="15840" w:code="1"/>
          <w:pgMar w:top="864" w:right="720" w:bottom="1152" w:left="720" w:header="432" w:footer="288" w:gutter="216"/>
          <w:cols w:num="2" w:space="432"/>
        </w:sectPr>
      </w:pPr>
    </w:p>
    <w:p w:rsidR="002F48A1" w:rsidRDefault="002F48A1" w:rsidP="002F48A1"/>
    <w:p w:rsidR="0012353A" w:rsidRDefault="001243F5" w:rsidP="001A5916">
      <w:pPr>
        <w:pStyle w:val="ProgramHead"/>
      </w:pPr>
      <w:r>
        <w:fldChar w:fldCharType="begin"/>
      </w:r>
      <w:r w:rsidR="0012353A">
        <w:instrText xml:space="preserve"> XE "</w:instrText>
      </w:r>
      <w:r w:rsidR="00A50BAE">
        <w:instrText>BOR77700</w:instrText>
      </w:r>
      <w:r w:rsidR="0012353A">
        <w:instrText xml:space="preserve"> 81107" </w:instrText>
      </w:r>
      <w:r>
        <w:fldChar w:fldCharType="end"/>
      </w:r>
      <w:r w:rsidR="0012353A">
        <w:t xml:space="preserve">Institutional Support </w:t>
      </w:r>
    </w:p>
    <w:p w:rsidR="0012353A" w:rsidRDefault="0012353A" w:rsidP="001A5916">
      <w:pPr>
        <w:pStyle w:val="ProgramHead"/>
        <w:sectPr w:rsidR="0012353A" w:rsidSect="002A1833">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Statutory Reference</w:t>
      </w:r>
    </w:p>
    <w:p w:rsidR="0012353A" w:rsidRDefault="00E50D06">
      <w:r>
        <w:t>C.G.</w:t>
      </w:r>
      <w:r w:rsidR="006121A1">
        <w:t xml:space="preserve">S. </w:t>
      </w:r>
      <w:r w:rsidR="0012353A">
        <w:t xml:space="preserve">Sections </w:t>
      </w:r>
      <w:r w:rsidR="00BD4044">
        <w:rPr>
          <w:rFonts w:cs="Arial"/>
        </w:rPr>
        <w:t xml:space="preserve">10a-71, 10a-72, </w:t>
      </w:r>
      <w:r w:rsidR="0012353A">
        <w:t>10a-87 and 10a-89</w:t>
      </w:r>
      <w:r w:rsidR="008174C2">
        <w:t>.</w:t>
      </w:r>
      <w:r w:rsidR="0012353A">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 xml:space="preserve">To </w:t>
      </w:r>
      <w:r w:rsidR="003E1BE0">
        <w:t xml:space="preserve">operate </w:t>
      </w:r>
      <w:r>
        <w:t xml:space="preserve">the </w:t>
      </w:r>
      <w:r w:rsidR="008174C2">
        <w:t xml:space="preserve">state universities and colleges </w:t>
      </w:r>
      <w:r w:rsidR="003E1BE0">
        <w:t>with</w:t>
      </w:r>
      <w:r>
        <w:t xml:space="preserve"> effective management, long-range planning</w:t>
      </w:r>
      <w:r w:rsidR="00E35EC0">
        <w:t>,</w:t>
      </w:r>
      <w:r>
        <w:t xml:space="preserve"> and services to support faculty, staff and students. </w:t>
      </w:r>
    </w:p>
    <w:p w:rsidR="00F65F27" w:rsidRDefault="00F65F27"/>
    <w:p w:rsidR="0012353A" w:rsidRPr="007D6782" w:rsidRDefault="0012353A" w:rsidP="006E461E">
      <w:pPr>
        <w:pStyle w:val="Heading2"/>
        <w:rPr>
          <w:b/>
          <w:i/>
          <w:caps w:val="0"/>
        </w:rPr>
      </w:pPr>
      <w:r w:rsidRPr="007D6782">
        <w:rPr>
          <w:b/>
          <w:i/>
          <w:caps w:val="0"/>
        </w:rPr>
        <w:lastRenderedPageBreak/>
        <w:t xml:space="preserve">Program Description </w:t>
      </w:r>
    </w:p>
    <w:p w:rsidR="0012353A" w:rsidRDefault="0012353A" w:rsidP="008F6B2B">
      <w:pPr>
        <w:sectPr w:rsidR="0012353A" w:rsidSect="002A1833">
          <w:headerReference w:type="even" r:id="rId45"/>
          <w:headerReference w:type="default" r:id="rId46"/>
          <w:footerReference w:type="even" r:id="rId47"/>
          <w:footerReference w:type="default" r:id="rId48"/>
          <w:type w:val="continuous"/>
          <w:pgSz w:w="12240" w:h="15840" w:code="1"/>
          <w:pgMar w:top="864" w:right="720" w:bottom="1152" w:left="720" w:header="432" w:footer="288" w:gutter="216"/>
          <w:cols w:num="2" w:space="432"/>
        </w:sectPr>
      </w:pPr>
      <w:r>
        <w:t xml:space="preserve">This program consists of activities that support the major functions of learning, academic support and student services.  These include: general management of the campuses, strategic planning, budgeting, academic planning and research, public information, fiscal operations, </w:t>
      </w:r>
      <w:r w:rsidR="00E35EC0">
        <w:t xml:space="preserve">information technology </w:t>
      </w:r>
      <w:r>
        <w:t>operati</w:t>
      </w:r>
      <w:r w:rsidR="00CF4A50">
        <w:t>ons, campus security and safe.</w:t>
      </w:r>
    </w:p>
    <w:p w:rsidR="00F65F27" w:rsidRDefault="00F65F27" w:rsidP="00F65F27">
      <w:pPr>
        <w:spacing w:after="0"/>
        <w:jc w:val="left"/>
        <w:rPr>
          <w:rFonts w:ascii="Arial" w:hAnsi="Arial" w:cs="Arial"/>
          <w:caps/>
          <w:noProof/>
          <w:color w:val="006600"/>
          <w:sz w:val="16"/>
        </w:rPr>
        <w:sectPr w:rsidR="00F65F27" w:rsidSect="002A1833">
          <w:type w:val="continuous"/>
          <w:pgSz w:w="12240" w:h="15840" w:code="1"/>
          <w:pgMar w:top="864" w:right="720" w:bottom="1152" w:left="720" w:header="432" w:footer="288" w:gutter="216"/>
          <w:cols w:num="2" w:space="432"/>
        </w:sectPr>
      </w:pPr>
    </w:p>
    <w:p w:rsidR="0012353A" w:rsidRDefault="0012353A"/>
    <w:p w:rsidR="0012353A" w:rsidRDefault="001243F5" w:rsidP="00CF4A50">
      <w:pPr>
        <w:pStyle w:val="ProgramHead"/>
        <w:sectPr w:rsidR="0012353A" w:rsidSect="002A1833">
          <w:type w:val="continuous"/>
          <w:pgSz w:w="12240" w:h="15840" w:code="1"/>
          <w:pgMar w:top="864" w:right="720" w:bottom="1152" w:left="720" w:header="432" w:footer="288" w:gutter="216"/>
          <w:cols w:space="432"/>
        </w:sectPr>
      </w:pPr>
      <w:r>
        <w:fldChar w:fldCharType="begin"/>
      </w:r>
      <w:r w:rsidR="0012353A">
        <w:instrText xml:space="preserve"> XE "</w:instrText>
      </w:r>
      <w:r w:rsidR="00A50BAE">
        <w:instrText>BOR77700</w:instrText>
      </w:r>
      <w:r w:rsidR="0012353A">
        <w:instrText xml:space="preserve"> 81108" </w:instrText>
      </w:r>
      <w:r>
        <w:fldChar w:fldCharType="end"/>
      </w:r>
      <w:r w:rsidR="0012353A">
        <w:t xml:space="preserve">Physical Plant Operations and Maintenance </w:t>
      </w:r>
    </w:p>
    <w:p w:rsidR="0012353A" w:rsidRPr="007D6782" w:rsidRDefault="0012353A" w:rsidP="006E461E">
      <w:pPr>
        <w:pStyle w:val="Heading2"/>
        <w:rPr>
          <w:b/>
          <w:i/>
          <w:caps w:val="0"/>
        </w:rPr>
      </w:pPr>
      <w:r w:rsidRPr="007D6782">
        <w:rPr>
          <w:b/>
          <w:i/>
          <w:caps w:val="0"/>
        </w:rPr>
        <w:lastRenderedPageBreak/>
        <w:t>Statutory Reference</w:t>
      </w:r>
    </w:p>
    <w:p w:rsidR="0012353A" w:rsidRDefault="0012353A">
      <w:r>
        <w:t xml:space="preserve">C.G.S. Sections </w:t>
      </w:r>
      <w:r w:rsidR="008174C2">
        <w:rPr>
          <w:rFonts w:cs="Arial"/>
        </w:rPr>
        <w:t xml:space="preserve">10a-71 and 10a-72 and </w:t>
      </w:r>
      <w:r>
        <w:t>10a-87 and 10a-89</w:t>
      </w:r>
      <w:r w:rsidR="008174C2">
        <w:t>.</w:t>
      </w:r>
      <w:r>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 xml:space="preserve">To ensure a clean, safe and healthy environment for students, faculty, employees and visitors through regular and effective maintenance and upkeep of buildings and grounds. </w:t>
      </w:r>
    </w:p>
    <w:p w:rsidR="0012353A" w:rsidRPr="007D6782" w:rsidRDefault="0012353A" w:rsidP="006E461E">
      <w:pPr>
        <w:pStyle w:val="Heading2"/>
        <w:rPr>
          <w:b/>
          <w:i/>
          <w:caps w:val="0"/>
        </w:rPr>
      </w:pPr>
      <w:r w:rsidRPr="007D6782">
        <w:rPr>
          <w:b/>
          <w:i/>
          <w:caps w:val="0"/>
        </w:rPr>
        <w:t xml:space="preserve">Program Description </w:t>
      </w:r>
    </w:p>
    <w:p w:rsidR="0012353A" w:rsidRDefault="006D3B55" w:rsidP="00C449C6">
      <w:r>
        <w:t xml:space="preserve">The </w:t>
      </w:r>
      <w:proofErr w:type="gramStart"/>
      <w:r>
        <w:t xml:space="preserve">state </w:t>
      </w:r>
      <w:r w:rsidR="0012353A" w:rsidRPr="007E1509">
        <w:t xml:space="preserve"> universities</w:t>
      </w:r>
      <w:proofErr w:type="gramEnd"/>
      <w:r w:rsidR="0012353A" w:rsidRPr="007E1509">
        <w:t xml:space="preserve"> maintain a total of 1</w:t>
      </w:r>
      <w:r w:rsidR="00750F3A" w:rsidRPr="007E1509">
        <w:t>74</w:t>
      </w:r>
      <w:r w:rsidR="0012353A" w:rsidRPr="007E1509">
        <w:t xml:space="preserve"> buildings</w:t>
      </w:r>
      <w:r w:rsidR="00750F3A" w:rsidRPr="007E1509">
        <w:t>/structures</w:t>
      </w:r>
      <w:r w:rsidR="0012353A" w:rsidRPr="007E1509">
        <w:t xml:space="preserve"> and 1,05</w:t>
      </w:r>
      <w:r w:rsidR="00750F3A" w:rsidRPr="007E1509">
        <w:t>3</w:t>
      </w:r>
      <w:r w:rsidR="0012353A" w:rsidRPr="007E1509">
        <w:t xml:space="preserve"> acres. Campuses</w:t>
      </w:r>
      <w:r w:rsidR="0012353A" w:rsidRPr="0089471B">
        <w:t xml:space="preserve"> pro</w:t>
      </w:r>
      <w:r w:rsidR="0012353A">
        <w:t xml:space="preserve">vide housing, food service and </w:t>
      </w:r>
      <w:r w:rsidR="0012353A">
        <w:lastRenderedPageBreak/>
        <w:t xml:space="preserve">student center facilities, classrooms, laboratories, offices and libraries.  </w:t>
      </w:r>
    </w:p>
    <w:p w:rsidR="008174C2" w:rsidRDefault="008174C2" w:rsidP="008174C2">
      <w:pPr>
        <w:rPr>
          <w:rFonts w:cs="Arial"/>
        </w:rPr>
      </w:pPr>
      <w:r>
        <w:rPr>
          <w:rFonts w:cs="Arial"/>
        </w:rPr>
        <w:t>The twelve community colleges are composed of fifteen major campus locations.  This program includes campus security, custodial maintenance, building maintenance, landscape and grounds maintenance, utility services, repairs and renovations and physical plant administration for those sites.</w:t>
      </w:r>
    </w:p>
    <w:p w:rsidR="008174C2" w:rsidRDefault="008174C2" w:rsidP="00C449C6">
      <w:pPr>
        <w:sectPr w:rsidR="008174C2" w:rsidSect="002A1833">
          <w:headerReference w:type="even" r:id="rId49"/>
          <w:headerReference w:type="default" r:id="rId50"/>
          <w:footerReference w:type="even" r:id="rId51"/>
          <w:footerReference w:type="default" r:id="rId52"/>
          <w:type w:val="continuous"/>
          <w:pgSz w:w="12240" w:h="15840" w:code="1"/>
          <w:pgMar w:top="864" w:right="720" w:bottom="1152" w:left="720" w:header="432" w:footer="288" w:gutter="216"/>
          <w:cols w:num="2" w:space="432"/>
        </w:sectPr>
      </w:pPr>
    </w:p>
    <w:p w:rsidR="00F65F27" w:rsidRDefault="00F65F27" w:rsidP="002F48A1"/>
    <w:p w:rsidR="0012353A" w:rsidRDefault="001243F5" w:rsidP="001A5916">
      <w:pPr>
        <w:pStyle w:val="ProgramHead"/>
      </w:pPr>
      <w:r>
        <w:fldChar w:fldCharType="begin"/>
      </w:r>
      <w:r w:rsidR="0012353A">
        <w:instrText xml:space="preserve"> XE "</w:instrText>
      </w:r>
      <w:r w:rsidR="00A50BAE">
        <w:instrText>BOR77700</w:instrText>
      </w:r>
      <w:r w:rsidR="0012353A">
        <w:instrText xml:space="preserve"> 81109" </w:instrText>
      </w:r>
      <w:r>
        <w:fldChar w:fldCharType="end"/>
      </w:r>
      <w:r w:rsidR="0012353A">
        <w:t xml:space="preserve">Scholarships and Fellowships </w:t>
      </w:r>
      <w:r w:rsidR="0012353A" w:rsidRPr="00C449C6">
        <w:t xml:space="preserve"> </w:t>
      </w:r>
    </w:p>
    <w:p w:rsidR="0012353A" w:rsidRDefault="0012353A" w:rsidP="001A5916">
      <w:pPr>
        <w:pStyle w:val="ProgramHead"/>
        <w:sectPr w:rsidR="0012353A" w:rsidSect="002A1833">
          <w:type w:val="continuous"/>
          <w:pgSz w:w="12240" w:h="15840" w:code="1"/>
          <w:pgMar w:top="864" w:right="720" w:bottom="1152" w:left="720" w:header="432" w:footer="288" w:gutter="216"/>
          <w:cols w:space="432"/>
        </w:sectPr>
      </w:pPr>
    </w:p>
    <w:p w:rsidR="0012353A" w:rsidRPr="007D6782" w:rsidRDefault="0012353A" w:rsidP="006E461E">
      <w:pPr>
        <w:pStyle w:val="Heading2"/>
        <w:rPr>
          <w:b/>
          <w:i/>
          <w:caps w:val="0"/>
        </w:rPr>
      </w:pPr>
      <w:r w:rsidRPr="007D6782">
        <w:rPr>
          <w:b/>
          <w:i/>
          <w:caps w:val="0"/>
        </w:rPr>
        <w:lastRenderedPageBreak/>
        <w:t>Statutory Reference</w:t>
      </w:r>
    </w:p>
    <w:p w:rsidR="0012353A" w:rsidRDefault="006D3B55">
      <w:r>
        <w:t>C.G.</w:t>
      </w:r>
      <w:r w:rsidR="0012353A">
        <w:t xml:space="preserve">S. </w:t>
      </w:r>
      <w:r w:rsidR="009534C9">
        <w:t>Sections 10a</w:t>
      </w:r>
      <w:r w:rsidR="008174C2">
        <w:rPr>
          <w:rFonts w:cs="Arial"/>
        </w:rPr>
        <w:t>-71, 10a-72 and 10a-77</w:t>
      </w:r>
      <w:proofErr w:type="gramStart"/>
      <w:r w:rsidR="00BD4044">
        <w:rPr>
          <w:rFonts w:cs="Arial"/>
        </w:rPr>
        <w:t>,</w:t>
      </w:r>
      <w:r w:rsidR="008174C2">
        <w:rPr>
          <w:rFonts w:cs="Arial"/>
        </w:rPr>
        <w:t xml:space="preserve"> </w:t>
      </w:r>
      <w:r w:rsidR="008174C2">
        <w:t xml:space="preserve"> 10a</w:t>
      </w:r>
      <w:proofErr w:type="gramEnd"/>
      <w:r w:rsidR="008174C2">
        <w:t>-87, 10a-89 and 10a-99.</w:t>
      </w:r>
    </w:p>
    <w:p w:rsidR="0012353A" w:rsidRPr="001247AE" w:rsidRDefault="0012353A" w:rsidP="006E461E">
      <w:pPr>
        <w:pStyle w:val="Heading2"/>
        <w:rPr>
          <w:i/>
          <w:caps w:val="0"/>
        </w:rPr>
      </w:pPr>
      <w:r w:rsidRPr="001247AE">
        <w:rPr>
          <w:i/>
          <w:caps w:val="0"/>
        </w:rPr>
        <w:t>Statement of Need and Program Objectives</w:t>
      </w:r>
    </w:p>
    <w:p w:rsidR="0012353A" w:rsidRPr="00825394" w:rsidRDefault="008174C2">
      <w:pPr>
        <w:rPr>
          <w:rFonts w:cs="Arial"/>
        </w:rPr>
      </w:pPr>
      <w:r>
        <w:rPr>
          <w:rFonts w:cs="Arial"/>
        </w:rPr>
        <w:t>To minimize economic barriers for community college students by providing financial assistance in the form of grants, scholarships, part-time employment, tuit</w:t>
      </w:r>
      <w:r w:rsidR="00825394">
        <w:rPr>
          <w:rFonts w:cs="Arial"/>
        </w:rPr>
        <w:t xml:space="preserve">ion waivers and loan programs.  </w:t>
      </w:r>
      <w:r w:rsidR="0012353A">
        <w:t>To ensure access to the C</w:t>
      </w:r>
      <w:r w:rsidR="002D08A2">
        <w:t>onnecticut State Universities,</w:t>
      </w:r>
      <w:r w:rsidR="0012353A">
        <w:t xml:space="preserve"> by capable students who might otherwise be unable to attend because of financial barriers</w:t>
      </w:r>
      <w:r w:rsidR="002D08A2">
        <w:t>,</w:t>
      </w:r>
      <w:r w:rsidR="0012353A">
        <w:t xml:space="preserve"> by providing financial assistance in the form of scholarships, loans and tuition </w:t>
      </w:r>
      <w:r w:rsidR="00E846FD">
        <w:t xml:space="preserve">and fee </w:t>
      </w:r>
      <w:r w:rsidR="0012353A">
        <w:t xml:space="preserve">waivers. </w:t>
      </w:r>
    </w:p>
    <w:p w:rsidR="0012353A" w:rsidRPr="007D6782" w:rsidRDefault="0012353A" w:rsidP="006E461E">
      <w:pPr>
        <w:pStyle w:val="Heading2"/>
        <w:rPr>
          <w:b/>
          <w:i/>
          <w:caps w:val="0"/>
        </w:rPr>
      </w:pPr>
      <w:r w:rsidRPr="007D6782">
        <w:rPr>
          <w:b/>
          <w:i/>
          <w:caps w:val="0"/>
        </w:rPr>
        <w:lastRenderedPageBreak/>
        <w:t xml:space="preserve">Program Description </w:t>
      </w:r>
    </w:p>
    <w:p w:rsidR="0012353A" w:rsidRDefault="008174C2">
      <w:pPr>
        <w:numPr>
          <w:ilvl w:val="12"/>
          <w:numId w:val="0"/>
        </w:numPr>
      </w:pPr>
      <w:r>
        <w:t>The state universities and colleges provide</w:t>
      </w:r>
      <w:r w:rsidR="0012353A">
        <w:t xml:space="preserve"> financial aid in the form of tuition </w:t>
      </w:r>
      <w:r w:rsidR="003B3CBB">
        <w:t xml:space="preserve">and fee </w:t>
      </w:r>
      <w:r w:rsidR="0012353A">
        <w:t xml:space="preserve">waivers or refunds, scholarships, grants, loans and work-study programs.  Awards are financed from </w:t>
      </w:r>
      <w:r w:rsidR="00086D9E">
        <w:t xml:space="preserve">state financial aid programs, </w:t>
      </w:r>
      <w:r w:rsidR="0012353A">
        <w:t>student tuition, federal funds (e.g. Pell grants) and loan repayments.  Awards are packaged to fit each student's needs.  Loans, as used here, do not include Guaranteed Student Loans financed through banks.</w:t>
      </w:r>
    </w:p>
    <w:p w:rsidR="002D08A2" w:rsidRDefault="002D08A2">
      <w:pPr>
        <w:numPr>
          <w:ilvl w:val="12"/>
          <w:numId w:val="0"/>
        </w:numPr>
      </w:pPr>
    </w:p>
    <w:p w:rsidR="0012353A" w:rsidRDefault="0012353A">
      <w:pPr>
        <w:pStyle w:val="H2"/>
        <w:sectPr w:rsidR="0012353A" w:rsidSect="002A1833">
          <w:headerReference w:type="even" r:id="rId53"/>
          <w:headerReference w:type="default" r:id="rId54"/>
          <w:footerReference w:type="even" r:id="rId55"/>
          <w:footerReference w:type="default" r:id="rId56"/>
          <w:type w:val="continuous"/>
          <w:pgSz w:w="12240" w:h="15840" w:code="1"/>
          <w:pgMar w:top="864" w:right="720" w:bottom="1152" w:left="720" w:header="432" w:footer="288" w:gutter="216"/>
          <w:cols w:num="2" w:space="432"/>
        </w:sectPr>
      </w:pPr>
    </w:p>
    <w:p w:rsidR="002F48A1" w:rsidRDefault="002F48A1" w:rsidP="002F48A1"/>
    <w:p w:rsidR="00792355" w:rsidRDefault="001243F5" w:rsidP="00BA1065">
      <w:pPr>
        <w:pStyle w:val="ProgramHead"/>
        <w:sectPr w:rsidR="00792355" w:rsidSect="002A1833">
          <w:headerReference w:type="even" r:id="rId57"/>
          <w:headerReference w:type="default" r:id="rId58"/>
          <w:footerReference w:type="even" r:id="rId59"/>
          <w:footerReference w:type="default" r:id="rId60"/>
          <w:type w:val="continuous"/>
          <w:pgSz w:w="12240" w:h="15840" w:code="1"/>
          <w:pgMar w:top="864" w:right="720" w:bottom="1152" w:left="720" w:header="432" w:footer="288" w:gutter="216"/>
          <w:cols w:space="432"/>
        </w:sectPr>
      </w:pPr>
      <w:r>
        <w:fldChar w:fldCharType="begin"/>
      </w:r>
      <w:r w:rsidR="00792355">
        <w:instrText xml:space="preserve"> XE "</w:instrText>
      </w:r>
      <w:r w:rsidR="00A50BAE">
        <w:instrText>BOR77700</w:instrText>
      </w:r>
      <w:r w:rsidR="00792355">
        <w:instrText xml:space="preserve"> 81111" </w:instrText>
      </w:r>
      <w:r>
        <w:fldChar w:fldCharType="end"/>
      </w:r>
      <w:r w:rsidR="00792355">
        <w:t xml:space="preserve">Auxiliary Enterprises </w:t>
      </w:r>
    </w:p>
    <w:p w:rsidR="00792355" w:rsidRPr="007D6782" w:rsidRDefault="00792355" w:rsidP="006E461E">
      <w:pPr>
        <w:pStyle w:val="Heading2"/>
        <w:rPr>
          <w:b/>
          <w:i/>
          <w:caps w:val="0"/>
        </w:rPr>
      </w:pPr>
      <w:r w:rsidRPr="007D6782">
        <w:rPr>
          <w:b/>
          <w:i/>
          <w:caps w:val="0"/>
        </w:rPr>
        <w:lastRenderedPageBreak/>
        <w:t xml:space="preserve">Statutory Reference </w:t>
      </w:r>
    </w:p>
    <w:p w:rsidR="00792355" w:rsidRDefault="00941263" w:rsidP="00792355">
      <w:r>
        <w:t>C.</w:t>
      </w:r>
      <w:r w:rsidR="00BD4044">
        <w:t xml:space="preserve">G.S. </w:t>
      </w:r>
      <w:r w:rsidR="00792355">
        <w:t>Sections 10a-87 and 10a-89</w:t>
      </w:r>
      <w:r w:rsidR="00BD4044">
        <w:t>.</w:t>
      </w:r>
      <w:r w:rsidR="00792355">
        <w:t xml:space="preserve"> </w:t>
      </w:r>
    </w:p>
    <w:p w:rsidR="00792355" w:rsidRPr="007D6782" w:rsidRDefault="00792355" w:rsidP="006E461E">
      <w:pPr>
        <w:pStyle w:val="Heading2"/>
        <w:rPr>
          <w:b/>
          <w:i/>
          <w:caps w:val="0"/>
        </w:rPr>
      </w:pPr>
      <w:r w:rsidRPr="007D6782">
        <w:rPr>
          <w:b/>
          <w:i/>
          <w:caps w:val="0"/>
        </w:rPr>
        <w:t xml:space="preserve">Statement of Need and Program Objectives </w:t>
      </w:r>
    </w:p>
    <w:p w:rsidR="00792355" w:rsidRDefault="00792355" w:rsidP="00792355">
      <w:proofErr w:type="gramStart"/>
      <w:r>
        <w:t>To furnish goods and services to students.</w:t>
      </w:r>
      <w:proofErr w:type="gramEnd"/>
      <w:r>
        <w:t xml:space="preserve"> </w:t>
      </w:r>
    </w:p>
    <w:p w:rsidR="00792355" w:rsidRPr="007D6782" w:rsidRDefault="00792355" w:rsidP="006E461E">
      <w:pPr>
        <w:pStyle w:val="Heading2"/>
        <w:rPr>
          <w:b/>
          <w:i/>
          <w:caps w:val="0"/>
        </w:rPr>
      </w:pPr>
      <w:r w:rsidRPr="007D6782">
        <w:rPr>
          <w:b/>
          <w:i/>
          <w:caps w:val="0"/>
        </w:rPr>
        <w:lastRenderedPageBreak/>
        <w:t xml:space="preserve">Program Description </w:t>
      </w:r>
    </w:p>
    <w:p w:rsidR="00792355" w:rsidRDefault="00792355" w:rsidP="00792355">
      <w:pPr>
        <w:numPr>
          <w:ilvl w:val="12"/>
          <w:numId w:val="0"/>
        </w:numPr>
      </w:pPr>
      <w:r>
        <w:t>The distinguishing characteristic of an auxiliary enterprise is that it is managed as an essentially self-supporting activity.  Examples are residence halls, food services, intercolleg</w:t>
      </w:r>
      <w:r w:rsidR="002D08A2">
        <w:t>iate athletic camps and clinics</w:t>
      </w:r>
      <w:r>
        <w:t xml:space="preserve"> and telecommunications.</w:t>
      </w:r>
    </w:p>
    <w:p w:rsidR="00792355" w:rsidRDefault="00792355" w:rsidP="00792355">
      <w:pPr>
        <w:numPr>
          <w:ilvl w:val="12"/>
          <w:numId w:val="0"/>
        </w:numPr>
        <w:sectPr w:rsidR="00792355" w:rsidSect="002A1833">
          <w:headerReference w:type="even" r:id="rId61"/>
          <w:headerReference w:type="default" r:id="rId62"/>
          <w:footerReference w:type="even" r:id="rId63"/>
          <w:footerReference w:type="default" r:id="rId64"/>
          <w:type w:val="continuous"/>
          <w:pgSz w:w="12240" w:h="15840" w:code="1"/>
          <w:pgMar w:top="864" w:right="720" w:bottom="1152" w:left="720" w:header="432" w:footer="288" w:gutter="216"/>
          <w:cols w:num="2" w:space="432"/>
        </w:sectPr>
      </w:pPr>
    </w:p>
    <w:p w:rsidR="00792355" w:rsidRDefault="00792355" w:rsidP="00792355"/>
    <w:p w:rsidR="0012353A" w:rsidRDefault="001243F5">
      <w:pPr>
        <w:pStyle w:val="ProgramHead"/>
        <w:sectPr w:rsidR="0012353A" w:rsidSect="002A1833">
          <w:type w:val="continuous"/>
          <w:pgSz w:w="12240" w:h="15840" w:code="1"/>
          <w:pgMar w:top="864" w:right="720" w:bottom="1152" w:left="720" w:header="432" w:footer="288" w:gutter="216"/>
          <w:cols w:space="432"/>
        </w:sectPr>
      </w:pPr>
      <w:r>
        <w:fldChar w:fldCharType="begin"/>
      </w:r>
      <w:r w:rsidR="0012353A">
        <w:instrText xml:space="preserve"> XE "</w:instrText>
      </w:r>
      <w:r w:rsidR="00A50BAE">
        <w:instrText>BOR77700</w:instrText>
      </w:r>
      <w:r w:rsidR="0012353A">
        <w:instrText xml:space="preserve"> 81110" </w:instrText>
      </w:r>
      <w:r>
        <w:fldChar w:fldCharType="end"/>
      </w:r>
      <w:r w:rsidR="00F57DB2">
        <w:t xml:space="preserve">Block Grants </w:t>
      </w:r>
      <w:r w:rsidR="0012353A">
        <w:t xml:space="preserve"> </w:t>
      </w:r>
    </w:p>
    <w:p w:rsidR="0012353A" w:rsidRPr="007D6782" w:rsidRDefault="0012353A" w:rsidP="006E461E">
      <w:pPr>
        <w:pStyle w:val="Heading2"/>
        <w:rPr>
          <w:b/>
          <w:i/>
          <w:caps w:val="0"/>
        </w:rPr>
      </w:pPr>
      <w:r w:rsidRPr="007D6782">
        <w:rPr>
          <w:b/>
          <w:i/>
          <w:caps w:val="0"/>
        </w:rPr>
        <w:lastRenderedPageBreak/>
        <w:t xml:space="preserve">Statutory Reference </w:t>
      </w:r>
    </w:p>
    <w:p w:rsidR="0012353A" w:rsidRDefault="00941263">
      <w:r>
        <w:t>C.G.</w:t>
      </w:r>
      <w:r w:rsidR="006121A1">
        <w:t>S. Sections</w:t>
      </w:r>
      <w:r w:rsidR="00F57DB2">
        <w:t xml:space="preserve"> </w:t>
      </w:r>
      <w:r w:rsidR="00F57DB2">
        <w:rPr>
          <w:rFonts w:cs="Arial"/>
        </w:rPr>
        <w:t xml:space="preserve">10a-71, 10a-72, </w:t>
      </w:r>
      <w:r w:rsidR="00F57DB2">
        <w:t>10a-87 and</w:t>
      </w:r>
      <w:r w:rsidR="0012353A">
        <w:t xml:space="preserve"> 10a-99</w:t>
      </w:r>
      <w:r w:rsidR="00BD4044">
        <w:t>.</w:t>
      </w:r>
      <w:r w:rsidR="0012353A">
        <w:t xml:space="preserve"> </w:t>
      </w:r>
    </w:p>
    <w:p w:rsidR="0012353A" w:rsidRPr="007D6782" w:rsidRDefault="0012353A" w:rsidP="006E461E">
      <w:pPr>
        <w:pStyle w:val="Heading2"/>
        <w:rPr>
          <w:b/>
          <w:i/>
          <w:caps w:val="0"/>
        </w:rPr>
      </w:pPr>
      <w:r w:rsidRPr="007D6782">
        <w:rPr>
          <w:b/>
          <w:i/>
          <w:caps w:val="0"/>
        </w:rPr>
        <w:t xml:space="preserve">Statement of Need and Program Objectives </w:t>
      </w:r>
    </w:p>
    <w:p w:rsidR="0012353A" w:rsidRDefault="0012353A">
      <w:r>
        <w:t xml:space="preserve">To enable </w:t>
      </w:r>
      <w:r w:rsidR="00F57DB2">
        <w:t xml:space="preserve">students </w:t>
      </w:r>
      <w:r>
        <w:t>to obtain</w:t>
      </w:r>
      <w:r w:rsidR="00F57DB2">
        <w:t xml:space="preserve"> associate degrees, </w:t>
      </w:r>
      <w:r>
        <w:t>baccalaureate degrees, master’s degrees, sixth-year certificates or advanced graduate study and doctoral degrees.</w:t>
      </w:r>
      <w:r w:rsidR="005C7E42">
        <w:t xml:space="preserve"> </w:t>
      </w:r>
      <w:r>
        <w:t xml:space="preserve">To </w:t>
      </w:r>
      <w:r w:rsidR="003E1BE0">
        <w:t xml:space="preserve">provide continuing education that will </w:t>
      </w:r>
      <w:r>
        <w:t xml:space="preserve">enable people to enhance personal and/or occupational skills </w:t>
      </w:r>
    </w:p>
    <w:p w:rsidR="0012353A" w:rsidRPr="007D6782" w:rsidRDefault="0012353A" w:rsidP="006E461E">
      <w:pPr>
        <w:pStyle w:val="Heading2"/>
        <w:rPr>
          <w:b/>
          <w:i/>
          <w:caps w:val="0"/>
        </w:rPr>
      </w:pPr>
      <w:r w:rsidRPr="007D6782">
        <w:rPr>
          <w:b/>
          <w:i/>
          <w:caps w:val="0"/>
        </w:rPr>
        <w:lastRenderedPageBreak/>
        <w:t xml:space="preserve">Program Description </w:t>
      </w:r>
    </w:p>
    <w:p w:rsidR="00F57DB2" w:rsidRDefault="00F57DB2" w:rsidP="00F57DB2">
      <w:pPr>
        <w:rPr>
          <w:rFonts w:cs="Arial"/>
        </w:rPr>
      </w:pPr>
      <w:r>
        <w:rPr>
          <w:rFonts w:cs="Arial"/>
        </w:rPr>
        <w:t xml:space="preserve">There are eight program elements supported by "The Regional Community-Technical Colleges Block Grant":  Instruction; Public Services; Academic Support; Library; Student Services; Institutional Support; Physical Plant Operation and Maintenance and Scholarships and Fellowships. </w:t>
      </w:r>
    </w:p>
    <w:p w:rsidR="0012353A" w:rsidRDefault="0012353A" w:rsidP="00C449C6">
      <w:r>
        <w:t>There are eight program elements in "The Connecticut State University Block Grant".  They are:  Learning; Research; Public Service; Academic Support; Library; Student Services; Institutional Support and Physical Plant Operations and Maintenance.</w:t>
      </w:r>
    </w:p>
    <w:p w:rsidR="0012353A" w:rsidRDefault="0012353A" w:rsidP="00C449C6">
      <w:pPr>
        <w:sectPr w:rsidR="0012353A" w:rsidSect="002A1833">
          <w:type w:val="continuous"/>
          <w:pgSz w:w="12240" w:h="15840" w:code="1"/>
          <w:pgMar w:top="864" w:right="720" w:bottom="1152" w:left="720" w:header="432" w:footer="288" w:gutter="216"/>
          <w:cols w:num="2" w:space="432"/>
        </w:sectPr>
      </w:pPr>
    </w:p>
    <w:p w:rsidR="002D08A2" w:rsidRDefault="002D08A2" w:rsidP="002D08A2">
      <w:pPr>
        <w:spacing w:after="0"/>
        <w:jc w:val="left"/>
        <w:rPr>
          <w:rFonts w:cs="Arial"/>
        </w:rPr>
        <w:sectPr w:rsidR="002D08A2" w:rsidSect="002A1833">
          <w:type w:val="continuous"/>
          <w:pgSz w:w="12240" w:h="15840" w:code="1"/>
          <w:pgMar w:top="864" w:right="720" w:bottom="1152" w:left="720" w:header="432" w:footer="288" w:gutter="216"/>
          <w:cols w:num="2" w:space="432"/>
        </w:sectPr>
      </w:pPr>
    </w:p>
    <w:p w:rsidR="0012353A" w:rsidRDefault="0012353A"/>
    <w:p w:rsidR="00633DF0" w:rsidRPr="00703FBE" w:rsidRDefault="00633DF0" w:rsidP="00633DF0">
      <w:pPr>
        <w:jc w:val="left"/>
        <w:rPr>
          <w:b/>
          <w:i/>
          <w:sz w:val="22"/>
        </w:rPr>
        <w:sectPr w:rsidR="00633DF0" w:rsidRPr="00703FBE" w:rsidSect="002A1833">
          <w:headerReference w:type="even" r:id="rId65"/>
          <w:headerReference w:type="default" r:id="rId66"/>
          <w:footerReference w:type="even" r:id="rId67"/>
          <w:footerReference w:type="default" r:id="rId68"/>
          <w:type w:val="continuous"/>
          <w:pgSz w:w="12240" w:h="15840" w:code="1"/>
          <w:pgMar w:top="864" w:right="720" w:bottom="1152" w:left="720" w:header="432" w:footer="288" w:gutter="216"/>
          <w:cols w:space="720"/>
          <w:docGrid w:linePitch="58"/>
        </w:sectPr>
      </w:pPr>
      <w:r w:rsidRPr="00703FBE">
        <w:rPr>
          <w:b/>
          <w:i/>
          <w:sz w:val="22"/>
        </w:rPr>
        <w:t>C</w:t>
      </w:r>
      <w:r>
        <w:rPr>
          <w:b/>
          <w:i/>
          <w:sz w:val="22"/>
        </w:rPr>
        <w:t>HARTER OAK STATE COLLEGE</w:t>
      </w:r>
    </w:p>
    <w:p w:rsidR="00C721D2" w:rsidRDefault="00766EC4" w:rsidP="00C721D2">
      <w:pPr>
        <w:spacing w:after="0"/>
        <w:rPr>
          <w:rFonts w:cs="Arial"/>
        </w:rPr>
      </w:pPr>
      <w:r>
        <w:lastRenderedPageBreak/>
        <w:t>Charter Oak State College, the state’s only public, online degree-granting institution and part of the Connecticut State Co</w:t>
      </w:r>
      <w:r w:rsidR="00BA1065">
        <w:t xml:space="preserve">lleges and Universities </w:t>
      </w:r>
      <w:r>
        <w:t xml:space="preserve">system, provides diverse and alternative opportunities for adults to earn undergraduate and graduate degrees and certificates.  </w:t>
      </w:r>
      <w:r w:rsidR="0065788F">
        <w:t xml:space="preserve">Relying on the judgment of professional educators, </w:t>
      </w:r>
      <w:r w:rsidR="00AF51BC">
        <w:t xml:space="preserve">Charter Oak State College validates learning acquired through examinations, </w:t>
      </w:r>
      <w:r w:rsidR="0065788F">
        <w:t>independent study, work experience, non-collegiate-sponsored instruction, technology-mediated learning and traditional study, including through Charter Oak State C</w:t>
      </w:r>
      <w:r w:rsidR="0065788F">
        <w:rPr>
          <w:rFonts w:cs="Arial"/>
        </w:rPr>
        <w:t xml:space="preserve">ollege’s own courses.  In all of its activities, the college rigorously upholds standards of high quality and seeks to inspire adults with the self-enrichment potential of non-traditional higher education.  </w:t>
      </w:r>
    </w:p>
    <w:p w:rsidR="00C721D2" w:rsidRDefault="0065788F" w:rsidP="00C80AA4">
      <w:pPr>
        <w:spacing w:after="0"/>
        <w:rPr>
          <w:rFonts w:cs="Arial"/>
        </w:rPr>
      </w:pPr>
      <w:r>
        <w:rPr>
          <w:rFonts w:cs="Arial"/>
        </w:rPr>
        <w:t xml:space="preserve">Charter Oak State College implements a non-traditional academic </w:t>
      </w:r>
      <w:r w:rsidR="00533948">
        <w:rPr>
          <w:rFonts w:cs="Arial"/>
        </w:rPr>
        <w:t>calendar;</w:t>
      </w:r>
      <w:r>
        <w:rPr>
          <w:rFonts w:cs="Arial"/>
        </w:rPr>
        <w:t xml:space="preserve"> consequently fall enrollment data are not available until November.   In fall 2012, 1,330 students were enrolled for credit as of the end of September and another 761 were continuing association with the college for the purposes of degree aggregation.  This level of enrollment is down 2.6% from fall 2011.  Of students </w:t>
      </w:r>
      <w:r>
        <w:rPr>
          <w:rFonts w:cs="Arial"/>
        </w:rPr>
        <w:lastRenderedPageBreak/>
        <w:t xml:space="preserve">enrolled in fall 2011, 11% were full-time and 71% were Connecticut residents.  </w:t>
      </w:r>
    </w:p>
    <w:p w:rsidR="009F4350" w:rsidRPr="007D6782" w:rsidRDefault="001247AE" w:rsidP="007D6782">
      <w:pPr>
        <w:spacing w:after="0"/>
        <w:rPr>
          <w:b/>
          <w:i/>
          <w:sz w:val="20"/>
        </w:rPr>
      </w:pPr>
      <w:r w:rsidRPr="007D6782">
        <w:rPr>
          <w:b/>
          <w:i/>
          <w:sz w:val="20"/>
        </w:rPr>
        <w:t>Statutory Reference</w:t>
      </w:r>
    </w:p>
    <w:p w:rsidR="009F4350" w:rsidRDefault="009F4350" w:rsidP="007D6782">
      <w:pPr>
        <w:spacing w:after="0"/>
        <w:rPr>
          <w:rFonts w:cs="Arial"/>
        </w:rPr>
      </w:pPr>
      <w:r>
        <w:rPr>
          <w:rFonts w:cs="Arial"/>
        </w:rPr>
        <w:t>C.G.S.</w:t>
      </w:r>
      <w:r w:rsidR="007D6782">
        <w:rPr>
          <w:rFonts w:cs="Arial"/>
        </w:rPr>
        <w:t xml:space="preserve"> Sections 10a-143 and 10a-149.</w:t>
      </w:r>
    </w:p>
    <w:p w:rsidR="007D6782" w:rsidRDefault="007D6782" w:rsidP="007D6782">
      <w:pPr>
        <w:spacing w:after="0"/>
        <w:rPr>
          <w:rFonts w:cs="Arial"/>
        </w:rPr>
      </w:pPr>
    </w:p>
    <w:p w:rsidR="007D6782" w:rsidRPr="007D6782" w:rsidRDefault="007D6782" w:rsidP="007D6782">
      <w:pPr>
        <w:spacing w:after="0"/>
        <w:rPr>
          <w:b/>
          <w:i/>
          <w:sz w:val="20"/>
        </w:rPr>
      </w:pPr>
      <w:r w:rsidRPr="007D6782">
        <w:rPr>
          <w:b/>
          <w:i/>
          <w:sz w:val="20"/>
        </w:rPr>
        <w:t xml:space="preserve">Statement of Need and Program Objectives </w:t>
      </w:r>
    </w:p>
    <w:p w:rsidR="00A46F45" w:rsidRPr="002638D7" w:rsidRDefault="00A46F45" w:rsidP="00A46F45">
      <w:pPr>
        <w:spacing w:after="0"/>
      </w:pPr>
      <w:r>
        <w:t>To extend access to higher education to adults through its associate and baccalaureate degree completion programs which incorporate transfer credit, Charter Oak distance learning courses, testing and other methods of competency validation and to encourage</w:t>
      </w:r>
      <w:r w:rsidR="002638D7">
        <w:t xml:space="preserve"> </w:t>
      </w:r>
      <w:r>
        <w:t>innovation in higher education in order to meet the needs of adult learners.</w:t>
      </w:r>
    </w:p>
    <w:p w:rsidR="00A46F45" w:rsidRPr="007D6782" w:rsidRDefault="00A46F45" w:rsidP="00A46F45">
      <w:pPr>
        <w:pStyle w:val="Heading2"/>
        <w:rPr>
          <w:b/>
          <w:i/>
          <w:caps w:val="0"/>
        </w:rPr>
      </w:pPr>
      <w:r w:rsidRPr="007D6782">
        <w:rPr>
          <w:b/>
          <w:i/>
          <w:caps w:val="0"/>
        </w:rPr>
        <w:t>Program Description</w:t>
      </w:r>
    </w:p>
    <w:p w:rsidR="00A46F45" w:rsidRDefault="00A46F45" w:rsidP="00A46F45">
      <w:pPr>
        <w:spacing w:after="0"/>
        <w:rPr>
          <w:rFonts w:cs="Arial"/>
        </w:rPr>
      </w:pPr>
      <w:r>
        <w:rPr>
          <w:rFonts w:cs="Arial"/>
        </w:rPr>
        <w:t>Charter Oak offers degrees without boundaries</w:t>
      </w:r>
      <w:r w:rsidR="00A353DA">
        <w:rPr>
          <w:rFonts w:cs="Arial"/>
        </w:rPr>
        <w:t>.</w:t>
      </w:r>
      <w:r>
        <w:rPr>
          <w:rFonts w:cs="Arial"/>
        </w:rPr>
        <w:t xml:space="preserve"> </w:t>
      </w:r>
      <w:r w:rsidR="00A353DA">
        <w:rPr>
          <w:rFonts w:cs="Arial"/>
        </w:rPr>
        <w:t xml:space="preserve"> </w:t>
      </w:r>
      <w:r>
        <w:rPr>
          <w:rFonts w:cs="Arial"/>
        </w:rPr>
        <w:t xml:space="preserve">The program is designed to accommodate adults who work and </w:t>
      </w:r>
      <w:r w:rsidR="00887433">
        <w:rPr>
          <w:rFonts w:cs="Arial"/>
        </w:rPr>
        <w:t>h</w:t>
      </w:r>
      <w:r>
        <w:rPr>
          <w:rFonts w:cs="Arial"/>
        </w:rPr>
        <w:t>ave family and job responsibilities regardless of where they live.  Its low cost, flexible scheduling and online services (tutoring, advising and library) save the students time and money</w:t>
      </w:r>
      <w:r w:rsidRPr="00C721D2">
        <w:rPr>
          <w:rFonts w:cs="Arial"/>
        </w:rPr>
        <w:t>.</w:t>
      </w:r>
    </w:p>
    <w:p w:rsidR="00984F23" w:rsidRDefault="00984F23" w:rsidP="00A46F45">
      <w:pPr>
        <w:spacing w:after="0"/>
        <w:rPr>
          <w:rFonts w:cs="Arial"/>
        </w:rPr>
      </w:pPr>
    </w:p>
    <w:p w:rsidR="00984F23" w:rsidRPr="00C721D2" w:rsidRDefault="00984F23" w:rsidP="00A46F45">
      <w:pPr>
        <w:spacing w:after="0"/>
        <w:rPr>
          <w:rFonts w:cs="Arial"/>
          <w:color w:val="00B050"/>
        </w:rPr>
        <w:sectPr w:rsidR="00984F23" w:rsidRPr="00C721D2" w:rsidSect="002A1833">
          <w:type w:val="continuous"/>
          <w:pgSz w:w="12240" w:h="15840" w:code="1"/>
          <w:pgMar w:top="864" w:right="720" w:bottom="1152" w:left="720" w:header="432" w:footer="288" w:gutter="216"/>
          <w:cols w:num="2" w:space="432"/>
        </w:sectPr>
      </w:pPr>
    </w:p>
    <w:p w:rsidR="00887433" w:rsidRDefault="00887433" w:rsidP="00984F23">
      <w:pPr>
        <w:pStyle w:val="ProgramHead"/>
      </w:pPr>
    </w:p>
    <w:p w:rsidR="00984F23" w:rsidRDefault="001243F5" w:rsidP="00984F23">
      <w:pPr>
        <w:pStyle w:val="ProgramHead"/>
      </w:pPr>
      <w:r>
        <w:fldChar w:fldCharType="begin"/>
      </w:r>
      <w:r w:rsidR="00984F23">
        <w:instrText xml:space="preserve"> XE "</w:instrText>
      </w:r>
      <w:r w:rsidR="00A50BAE">
        <w:instrText>BOR77700</w:instrText>
      </w:r>
      <w:r w:rsidR="00984F23">
        <w:instrText xml:space="preserve"> 810</w:instrText>
      </w:r>
      <w:r w:rsidR="00A50BAE">
        <w:instrText>05</w:instrText>
      </w:r>
      <w:r w:rsidR="00984F23">
        <w:instrText xml:space="preserve">" </w:instrText>
      </w:r>
      <w:r>
        <w:fldChar w:fldCharType="end"/>
      </w:r>
      <w:r w:rsidR="00984F23">
        <w:t>CONNECTICUT DISTANCE LEARNING CONSORTIUM</w:t>
      </w:r>
    </w:p>
    <w:p w:rsidR="00984F23" w:rsidRDefault="00984F23" w:rsidP="00984F23">
      <w:pPr>
        <w:spacing w:after="0"/>
        <w:jc w:val="left"/>
        <w:rPr>
          <w:caps/>
          <w:noProof/>
          <w:color w:val="006600"/>
          <w:sz w:val="24"/>
        </w:rPr>
        <w:sectPr w:rsidR="00984F23" w:rsidSect="002A1833">
          <w:type w:val="continuous"/>
          <w:pgSz w:w="12240" w:h="15840" w:code="1"/>
          <w:pgMar w:top="864" w:right="720" w:bottom="1152" w:left="720" w:header="432" w:footer="288" w:gutter="216"/>
          <w:cols w:space="720"/>
        </w:sectPr>
      </w:pPr>
    </w:p>
    <w:p w:rsidR="00984F23" w:rsidRPr="007D6782" w:rsidRDefault="00984F23" w:rsidP="00984F23">
      <w:pPr>
        <w:spacing w:after="0"/>
        <w:rPr>
          <w:b/>
          <w:i/>
          <w:sz w:val="20"/>
        </w:rPr>
      </w:pPr>
      <w:r w:rsidRPr="007D6782">
        <w:rPr>
          <w:b/>
          <w:i/>
          <w:sz w:val="20"/>
        </w:rPr>
        <w:lastRenderedPageBreak/>
        <w:t>Statutory Reference</w:t>
      </w:r>
    </w:p>
    <w:p w:rsidR="00984F23" w:rsidRDefault="009534C9" w:rsidP="00984F23">
      <w:pPr>
        <w:spacing w:after="0"/>
        <w:rPr>
          <w:rFonts w:cs="Arial"/>
        </w:rPr>
      </w:pPr>
      <w:proofErr w:type="gramStart"/>
      <w:r>
        <w:rPr>
          <w:rFonts w:cs="Arial"/>
        </w:rPr>
        <w:t xml:space="preserve">C.G.S. </w:t>
      </w:r>
      <w:r w:rsidR="00984F23">
        <w:rPr>
          <w:rFonts w:cs="Arial"/>
        </w:rPr>
        <w:t>Section 10a-143.</w:t>
      </w:r>
      <w:proofErr w:type="gramEnd"/>
    </w:p>
    <w:p w:rsidR="00984F23" w:rsidRDefault="00984F23" w:rsidP="00984F23">
      <w:pPr>
        <w:spacing w:after="0"/>
        <w:rPr>
          <w:rFonts w:cs="Arial"/>
        </w:rPr>
      </w:pPr>
    </w:p>
    <w:p w:rsidR="00984F23" w:rsidRPr="007D6782" w:rsidRDefault="00984F23" w:rsidP="00984F23">
      <w:pPr>
        <w:spacing w:after="0"/>
        <w:rPr>
          <w:b/>
          <w:i/>
          <w:sz w:val="20"/>
        </w:rPr>
      </w:pPr>
      <w:r w:rsidRPr="007D6782">
        <w:rPr>
          <w:b/>
          <w:i/>
          <w:sz w:val="20"/>
        </w:rPr>
        <w:t xml:space="preserve">Statement of Need and Program Objectives </w:t>
      </w:r>
    </w:p>
    <w:p w:rsidR="00984F23" w:rsidRPr="00A46F45" w:rsidRDefault="00984F23" w:rsidP="00984F23">
      <w:pPr>
        <w:spacing w:after="0"/>
        <w:rPr>
          <w:rFonts w:cs="Arial"/>
        </w:rPr>
      </w:pPr>
      <w:proofErr w:type="gramStart"/>
      <w:r>
        <w:t>To promote cost savings by providing a single point of presence for online learning in Connecticut.</w:t>
      </w:r>
      <w:proofErr w:type="gramEnd"/>
      <w:r w:rsidR="009531D0">
        <w:t xml:space="preserve">  The CTDLC reduces the need for institutions to maintain separate data infrastructures, technical staff, help desks, student services, course designers, faculty trainers and marketing budgets by providing these services as </w:t>
      </w:r>
      <w:proofErr w:type="gramStart"/>
      <w:r w:rsidR="009531D0">
        <w:t>a collaboration</w:t>
      </w:r>
      <w:proofErr w:type="gramEnd"/>
      <w:r w:rsidR="009531D0">
        <w:t xml:space="preserve"> or as a fee for service model.  For K-12 and adult education, the CTDLC provides a single point for the delivery of online courses which are shared by schools and programs across the state.</w:t>
      </w:r>
    </w:p>
    <w:p w:rsidR="00984F23" w:rsidRPr="007D6782" w:rsidRDefault="00984F23" w:rsidP="00984F23">
      <w:pPr>
        <w:pStyle w:val="Heading2"/>
        <w:rPr>
          <w:b/>
          <w:i/>
          <w:caps w:val="0"/>
        </w:rPr>
      </w:pPr>
      <w:r w:rsidRPr="007D6782">
        <w:rPr>
          <w:b/>
          <w:i/>
          <w:caps w:val="0"/>
        </w:rPr>
        <w:t>Program Description</w:t>
      </w:r>
    </w:p>
    <w:p w:rsidR="0051701C" w:rsidRDefault="009531D0" w:rsidP="00984F23">
      <w:pPr>
        <w:spacing w:after="0"/>
        <w:rPr>
          <w:rFonts w:cs="Arial"/>
        </w:rPr>
      </w:pPr>
      <w:r>
        <w:rPr>
          <w:rFonts w:cs="Arial"/>
        </w:rPr>
        <w:t>CTDLC promotes and delivers distance learning education to higher education, K-12, adult education, state agencies and non-profit organizations.  It provides a single point of presence for distance learning</w:t>
      </w:r>
      <w:r w:rsidR="00A97C2D">
        <w:rPr>
          <w:rFonts w:cs="Arial"/>
        </w:rPr>
        <w:t xml:space="preserve"> offered by Connecticut public and independent colleges and universities, distributing program information, course listings, registration links and student support services</w:t>
      </w:r>
      <w:r w:rsidR="00984F23" w:rsidRPr="00C721D2">
        <w:rPr>
          <w:rFonts w:cs="Arial"/>
        </w:rPr>
        <w:t>.</w:t>
      </w:r>
      <w:r w:rsidR="00A97C2D">
        <w:rPr>
          <w:rFonts w:cs="Arial"/>
        </w:rPr>
        <w:t xml:space="preserve">  In addition, the </w:t>
      </w:r>
    </w:p>
    <w:p w:rsidR="003D1A38" w:rsidRDefault="00A97C2D" w:rsidP="00984F23">
      <w:pPr>
        <w:spacing w:after="0"/>
        <w:rPr>
          <w:rFonts w:cs="Arial"/>
        </w:rPr>
      </w:pPr>
      <w:r>
        <w:rPr>
          <w:rFonts w:cs="Arial"/>
        </w:rPr>
        <w:t xml:space="preserve">CTDLC supports distance learning in other state agencies, adult education programs, K-12 and educational organizations.  The goals </w:t>
      </w:r>
      <w:r>
        <w:rPr>
          <w:rFonts w:cs="Arial"/>
        </w:rPr>
        <w:lastRenderedPageBreak/>
        <w:t xml:space="preserve">are to have institutions work collaboratively to deliver distance learning and to lower the costs of delivery by reducing duplication.  </w:t>
      </w:r>
    </w:p>
    <w:p w:rsidR="0051701C" w:rsidRDefault="0051701C" w:rsidP="00984F23">
      <w:pPr>
        <w:spacing w:after="0"/>
        <w:rPr>
          <w:rFonts w:cs="Arial"/>
        </w:rPr>
      </w:pPr>
    </w:p>
    <w:p w:rsidR="00984F23" w:rsidRDefault="00A97C2D" w:rsidP="00984F23">
      <w:pPr>
        <w:spacing w:after="0"/>
        <w:rPr>
          <w:rFonts w:cs="Arial"/>
        </w:rPr>
      </w:pPr>
      <w:r>
        <w:rPr>
          <w:rFonts w:cs="Arial"/>
        </w:rPr>
        <w:t>The CTDLC directs the CT adult Virtual High Schoo</w:t>
      </w:r>
      <w:r w:rsidR="00C80AA4">
        <w:rPr>
          <w:rFonts w:cs="Arial"/>
        </w:rPr>
        <w:t>l, which is funded by a</w:t>
      </w:r>
      <w:r>
        <w:rPr>
          <w:rFonts w:cs="Arial"/>
        </w:rPr>
        <w:t xml:space="preserve"> grant from the State Department</w:t>
      </w:r>
      <w:r w:rsidR="003D1A38">
        <w:rPr>
          <w:rFonts w:cs="Arial"/>
        </w:rPr>
        <w:t xml:space="preserve"> of Education.  The program provides online courses to students enrolled in an adult</w:t>
      </w:r>
      <w:r w:rsidR="0051701C">
        <w:rPr>
          <w:rFonts w:cs="Arial"/>
        </w:rPr>
        <w:t xml:space="preserve"> education program to earn and adult credit diploma, to study online for GED preparation and sharpen writing skills in an online writing lab.</w:t>
      </w:r>
    </w:p>
    <w:p w:rsidR="0051701C" w:rsidRDefault="0051701C" w:rsidP="00984F23">
      <w:pPr>
        <w:spacing w:after="0"/>
        <w:rPr>
          <w:rFonts w:cs="Arial"/>
        </w:rPr>
      </w:pPr>
    </w:p>
    <w:p w:rsidR="0051701C" w:rsidRDefault="0051701C" w:rsidP="00984F23">
      <w:pPr>
        <w:spacing w:after="0"/>
        <w:rPr>
          <w:rFonts w:cs="Arial"/>
        </w:rPr>
      </w:pPr>
      <w:r>
        <w:rPr>
          <w:rFonts w:cs="Arial"/>
        </w:rPr>
        <w:t xml:space="preserve">The CT Virtual Learning Center, a state program for high school students to take online courses, completed its second full year of operation.  Courses are focused on credit recovery, Advanced Placement and world languages.  </w:t>
      </w:r>
    </w:p>
    <w:p w:rsidR="0051701C" w:rsidRDefault="0051701C" w:rsidP="00984F23">
      <w:pPr>
        <w:spacing w:after="0"/>
        <w:rPr>
          <w:rFonts w:cs="Arial"/>
        </w:rPr>
      </w:pPr>
    </w:p>
    <w:p w:rsidR="0051701C" w:rsidRDefault="00A80FA9" w:rsidP="00984F23">
      <w:pPr>
        <w:spacing w:after="0"/>
        <w:rPr>
          <w:rFonts w:cs="Arial"/>
        </w:rPr>
      </w:pPr>
      <w:r>
        <w:rPr>
          <w:rFonts w:cs="Arial"/>
        </w:rPr>
        <w:t>The CTDLC</w:t>
      </w:r>
      <w:r w:rsidR="0051701C">
        <w:rPr>
          <w:rFonts w:cs="Arial"/>
        </w:rPr>
        <w:t>‘s collaborative eTutoring and ePortfolio programs provide direct support to students in 20 of Connecticut’s colleges and universities,</w:t>
      </w:r>
      <w:r w:rsidR="00606C62">
        <w:rPr>
          <w:rFonts w:cs="Arial"/>
        </w:rPr>
        <w:t xml:space="preserve"> as well as 56 institutions in nine</w:t>
      </w:r>
      <w:r w:rsidR="0051701C">
        <w:rPr>
          <w:rFonts w:cs="Arial"/>
        </w:rPr>
        <w:t xml:space="preserve"> other states.  The eTutoring and ePortfolio programs are designed to improve student learning and retention, as well as provide a platform for authentic assessment and career planning.  The CTDLC also provides a support center to provide help to those faculty and students using these programs.</w:t>
      </w:r>
    </w:p>
    <w:p w:rsidR="00984F23" w:rsidRPr="00C721D2" w:rsidRDefault="00984F23" w:rsidP="00984F23">
      <w:pPr>
        <w:spacing w:after="0"/>
        <w:rPr>
          <w:rFonts w:cs="Arial"/>
          <w:color w:val="00B050"/>
        </w:rPr>
        <w:sectPr w:rsidR="00984F23" w:rsidRPr="00C721D2" w:rsidSect="002A1833">
          <w:type w:val="continuous"/>
          <w:pgSz w:w="12240" w:h="15840" w:code="1"/>
          <w:pgMar w:top="864" w:right="720" w:bottom="1152" w:left="720" w:header="432" w:footer="288" w:gutter="216"/>
          <w:cols w:num="2" w:space="432"/>
        </w:sectPr>
      </w:pPr>
    </w:p>
    <w:p w:rsidR="009179DA" w:rsidRPr="009F4350" w:rsidRDefault="009179DA" w:rsidP="00984F23">
      <w:pPr>
        <w:spacing w:after="0"/>
        <w:rPr>
          <w:rFonts w:cs="Arial"/>
        </w:rPr>
      </w:pPr>
    </w:p>
    <w:sectPr w:rsidR="009179DA" w:rsidRPr="009F4350" w:rsidSect="002A1833">
      <w:type w:val="continuous"/>
      <w:pgSz w:w="12240" w:h="15840" w:code="1"/>
      <w:pgMar w:top="864" w:right="720" w:bottom="1152" w:left="720" w:header="432" w:footer="288" w:gutter="216"/>
      <w:cols w:space="720"/>
      <w:docGrid w:linePitch="5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496" w:rsidRDefault="00254496">
      <w:r>
        <w:separator/>
      </w:r>
    </w:p>
  </w:endnote>
  <w:endnote w:type="continuationSeparator" w:id="0">
    <w:p w:rsidR="00254496" w:rsidRDefault="002544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vantGar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3</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3</w:t>
    </w:r>
    <w:r>
      <w:rPr>
        <w:rStyle w:val="PageNumber"/>
      </w:rPr>
      <w:fldChar w:fldCharType="end"/>
    </w:r>
  </w:p>
  <w:p w:rsidR="00254496" w:rsidRDefault="00254496">
    <w:pPr>
      <w:pStyle w:val="Footer"/>
      <w:tabs>
        <w:tab w:val="right" w:pos="10535"/>
      </w:tabs>
      <w:jc w:val="both"/>
    </w:pPr>
    <w:r>
      <w:t>Education</w:t>
    </w:r>
    <w:r>
      <w:tab/>
      <w:t>Board of Regents for Higher Education</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8825BA">
      <w:rPr>
        <w:rStyle w:val="PageNumber"/>
        <w:noProof/>
      </w:rPr>
      <w:t>4</w:t>
    </w:r>
    <w:r>
      <w:rPr>
        <w:rStyle w:val="PageNumber"/>
      </w:rPr>
      <w:fldChar w:fldCharType="end"/>
    </w:r>
  </w:p>
  <w:p w:rsidR="00254496" w:rsidRDefault="00254496">
    <w:pPr>
      <w:pStyle w:val="Footer"/>
      <w:tabs>
        <w:tab w:val="right" w:pos="10535"/>
      </w:tabs>
      <w:jc w:val="both"/>
    </w:pPr>
    <w:r>
      <w:t>Board of Regents for Higher Education</w:t>
    </w:r>
    <w:r>
      <w:tab/>
      <w:t>Education</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5C7E42">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1</w:t>
    </w:r>
    <w:r>
      <w:rPr>
        <w:rStyle w:val="PageNumber"/>
      </w:rPr>
      <w:fldChar w:fldCharType="end"/>
    </w:r>
  </w:p>
  <w:p w:rsidR="00254496" w:rsidRDefault="00254496">
    <w:pPr>
      <w:pStyle w:val="Footer"/>
      <w:tabs>
        <w:tab w:val="right" w:pos="10535"/>
      </w:tabs>
      <w:jc w:val="both"/>
    </w:pPr>
    <w:r>
      <w:t>Education</w:t>
    </w:r>
    <w:r>
      <w:tab/>
      <w:t>Board of Regents for Higher Education</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6</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6</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6</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5</w:t>
    </w:r>
    <w:r>
      <w:rPr>
        <w:rStyle w:val="PageNumber"/>
      </w:rPr>
      <w:fldChar w:fldCharType="end"/>
    </w:r>
  </w:p>
  <w:p w:rsidR="00254496" w:rsidRDefault="00254496">
    <w:pPr>
      <w:pStyle w:val="Footer"/>
      <w:tabs>
        <w:tab w:val="right" w:pos="10535"/>
      </w:tabs>
      <w:jc w:val="both"/>
    </w:pPr>
    <w:r>
      <w:t>Education</w:t>
    </w:r>
    <w:r>
      <w:tab/>
      <w:t>Board of Regents for Higher Education</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6</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2</w:t>
    </w:r>
    <w:r>
      <w:rPr>
        <w:rStyle w:val="PageNumber"/>
      </w:rPr>
      <w:fldChar w:fldCharType="end"/>
    </w:r>
  </w:p>
  <w:p w:rsidR="00254496" w:rsidRDefault="00254496">
    <w:pPr>
      <w:pStyle w:val="Footer"/>
      <w:tabs>
        <w:tab w:val="right" w:pos="10535"/>
      </w:tabs>
      <w:jc w:val="both"/>
    </w:pPr>
    <w:r>
      <w:t>Board of Regents for Higher Education</w:t>
    </w:r>
    <w:r>
      <w:tab/>
      <w:t>Education</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F57DB2">
      <w:rPr>
        <w:rStyle w:val="PageNumber"/>
        <w:noProof/>
      </w:rPr>
      <w:t>5</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3</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2</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3</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3</w:t>
    </w:r>
    <w:r>
      <w:rPr>
        <w:rStyle w:val="PageNumber"/>
      </w:rPr>
      <w:fldChar w:fldCharType="end"/>
    </w:r>
  </w:p>
  <w:p w:rsidR="00254496" w:rsidRDefault="00254496">
    <w:pPr>
      <w:pStyle w:val="Footer"/>
      <w:tabs>
        <w:tab w:val="right" w:pos="10535"/>
      </w:tabs>
      <w:jc w:val="both"/>
    </w:pPr>
    <w:r>
      <w:t>Education</w:t>
    </w:r>
    <w:r>
      <w:tab/>
    </w: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1243F5">
    <w:pPr>
      <w:pStyle w:val="Footer"/>
      <w:framePr w:wrap="around" w:vAnchor="text" w:hAnchor="margin" w:xAlign="center" w:y="1"/>
      <w:rPr>
        <w:rStyle w:val="PageNumber"/>
      </w:rPr>
    </w:pPr>
    <w:r>
      <w:rPr>
        <w:rStyle w:val="PageNumber"/>
      </w:rPr>
      <w:fldChar w:fldCharType="begin"/>
    </w:r>
    <w:r w:rsidR="00254496">
      <w:rPr>
        <w:rStyle w:val="PageNumber"/>
      </w:rPr>
      <w:instrText xml:space="preserve">PAGE  </w:instrText>
    </w:r>
    <w:r>
      <w:rPr>
        <w:rStyle w:val="PageNumber"/>
      </w:rPr>
      <w:fldChar w:fldCharType="separate"/>
    </w:r>
    <w:r w:rsidR="00254496">
      <w:rPr>
        <w:rStyle w:val="PageNumber"/>
        <w:noProof/>
      </w:rPr>
      <w:t>4</w:t>
    </w:r>
    <w:r>
      <w:rPr>
        <w:rStyle w:val="PageNumber"/>
      </w:rPr>
      <w:fldChar w:fldCharType="end"/>
    </w:r>
  </w:p>
  <w:p w:rsidR="00254496" w:rsidRDefault="00254496">
    <w:pPr>
      <w:pStyle w:val="Footer"/>
      <w:tabs>
        <w:tab w:val="right" w:pos="10535"/>
      </w:tabs>
      <w:jc w:val="both"/>
    </w:pPr>
    <w:smartTag w:uri="urn:schemas-microsoft-com:office:smarttags" w:element="place">
      <w:smartTag w:uri="urn:schemas-microsoft-com:office:smarttags" w:element="PlaceName">
        <w:r>
          <w:t>Connecticut</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ab/>
      <w:t>Education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496" w:rsidRDefault="00254496">
      <w:r>
        <w:separator/>
      </w:r>
    </w:p>
  </w:footnote>
  <w:footnote w:type="continuationSeparator" w:id="0">
    <w:p w:rsidR="00254496" w:rsidRDefault="002544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r>
      <w:t>Budget-in-Detail</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r>
      <w:t>Budget-in-Detail</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r>
      <w:t>Budget-in-Detail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r>
      <w:t>Budget-in-Detail</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right"/>
    </w:pPr>
    <w:smartTag w:uri="urn:schemas-microsoft-com:office:smarttags" w:element="PersonName">
      <w:r>
        <w:t>Budget</w:t>
      </w:r>
    </w:smartTag>
    <w:r>
      <w:t>-in-Detail</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496" w:rsidRDefault="00254496">
    <w:pPr>
      <w:pStyle w:val="Header"/>
      <w:jc w:val="left"/>
    </w:pPr>
    <w:smartTag w:uri="urn:schemas-microsoft-com:office:smarttags" w:element="PersonName">
      <w:r>
        <w:t>Budget</w:t>
      </w:r>
    </w:smartTag>
    <w:r>
      <w:t>-in-Detail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2A2BF6C"/>
    <w:lvl w:ilvl="0">
      <w:start w:val="1"/>
      <w:numFmt w:val="decimal"/>
      <w:lvlText w:val="%1."/>
      <w:lvlJc w:val="left"/>
      <w:pPr>
        <w:tabs>
          <w:tab w:val="num" w:pos="1800"/>
        </w:tabs>
        <w:ind w:left="1800" w:hanging="360"/>
      </w:pPr>
    </w:lvl>
  </w:abstractNum>
  <w:abstractNum w:abstractNumId="1">
    <w:nsid w:val="FFFFFF7D"/>
    <w:multiLevelType w:val="singleLevel"/>
    <w:tmpl w:val="B8CC00C4"/>
    <w:lvl w:ilvl="0">
      <w:start w:val="1"/>
      <w:numFmt w:val="decimal"/>
      <w:lvlText w:val="%1."/>
      <w:lvlJc w:val="left"/>
      <w:pPr>
        <w:tabs>
          <w:tab w:val="num" w:pos="1440"/>
        </w:tabs>
        <w:ind w:left="1440" w:hanging="360"/>
      </w:pPr>
    </w:lvl>
  </w:abstractNum>
  <w:abstractNum w:abstractNumId="2">
    <w:nsid w:val="FFFFFF7E"/>
    <w:multiLevelType w:val="singleLevel"/>
    <w:tmpl w:val="F166816E"/>
    <w:lvl w:ilvl="0">
      <w:start w:val="1"/>
      <w:numFmt w:val="decimal"/>
      <w:lvlText w:val="%1."/>
      <w:lvlJc w:val="left"/>
      <w:pPr>
        <w:tabs>
          <w:tab w:val="num" w:pos="1080"/>
        </w:tabs>
        <w:ind w:left="1080" w:hanging="360"/>
      </w:pPr>
    </w:lvl>
  </w:abstractNum>
  <w:abstractNum w:abstractNumId="3">
    <w:nsid w:val="FFFFFF7F"/>
    <w:multiLevelType w:val="singleLevel"/>
    <w:tmpl w:val="D020FB6C"/>
    <w:lvl w:ilvl="0">
      <w:start w:val="1"/>
      <w:numFmt w:val="decimal"/>
      <w:lvlText w:val="%1."/>
      <w:lvlJc w:val="left"/>
      <w:pPr>
        <w:tabs>
          <w:tab w:val="num" w:pos="720"/>
        </w:tabs>
        <w:ind w:left="720" w:hanging="360"/>
      </w:pPr>
    </w:lvl>
  </w:abstractNum>
  <w:abstractNum w:abstractNumId="4">
    <w:nsid w:val="FFFFFF80"/>
    <w:multiLevelType w:val="singleLevel"/>
    <w:tmpl w:val="4A365D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77084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FE41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11E6A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7C6A76"/>
    <w:lvl w:ilvl="0">
      <w:start w:val="1"/>
      <w:numFmt w:val="decimal"/>
      <w:lvlText w:val="%1."/>
      <w:lvlJc w:val="left"/>
      <w:pPr>
        <w:tabs>
          <w:tab w:val="num" w:pos="360"/>
        </w:tabs>
        <w:ind w:left="360" w:hanging="360"/>
      </w:pPr>
    </w:lvl>
  </w:abstractNum>
  <w:abstractNum w:abstractNumId="9">
    <w:nsid w:val="FFFFFF89"/>
    <w:multiLevelType w:val="singleLevel"/>
    <w:tmpl w:val="45CC2010"/>
    <w:lvl w:ilvl="0">
      <w:start w:val="1"/>
      <w:numFmt w:val="bullet"/>
      <w:lvlText w:val=""/>
      <w:lvlJc w:val="left"/>
      <w:pPr>
        <w:tabs>
          <w:tab w:val="num" w:pos="360"/>
        </w:tabs>
        <w:ind w:left="360" w:hanging="360"/>
      </w:pPr>
      <w:rPr>
        <w:rFonts w:ascii="Symbol" w:hAnsi="Symbol" w:hint="default"/>
      </w:rPr>
    </w:lvl>
  </w:abstractNum>
  <w:abstractNum w:abstractNumId="10">
    <w:nsid w:val="02DD04C9"/>
    <w:multiLevelType w:val="multilevel"/>
    <w:tmpl w:val="DFD6D18C"/>
    <w:numStyleLink w:val="StyleBulletedSymbolsymbolGray-50Left0Hanging02"/>
  </w:abstractNum>
  <w:abstractNum w:abstractNumId="11">
    <w:nsid w:val="0B0F6A01"/>
    <w:multiLevelType w:val="hybridMultilevel"/>
    <w:tmpl w:val="CB84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424CDE"/>
    <w:multiLevelType w:val="hybridMultilevel"/>
    <w:tmpl w:val="E96EA8C4"/>
    <w:lvl w:ilvl="0" w:tplc="D4A07788">
      <w:start w:val="1"/>
      <w:numFmt w:val="bullet"/>
      <w:lvlRestart w:val="0"/>
      <w:pStyle w:val="H7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B523DC"/>
    <w:multiLevelType w:val="multilevel"/>
    <w:tmpl w:val="DFD6D18C"/>
    <w:styleLink w:val="StyleBulletedSymbolsymbolGray-50Left0Hanging02"/>
    <w:lvl w:ilvl="0">
      <w:start w:val="1"/>
      <w:numFmt w:val="bullet"/>
      <w:lvlText w:val=""/>
      <w:lvlJc w:val="left"/>
      <w:pPr>
        <w:tabs>
          <w:tab w:val="num" w:pos="360"/>
        </w:tabs>
        <w:ind w:left="360" w:hanging="360"/>
      </w:pPr>
      <w:rPr>
        <w:rFonts w:ascii="Symbol" w:hAnsi="Symbol"/>
        <w:color w:val="002D86"/>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303C1A"/>
    <w:multiLevelType w:val="multilevel"/>
    <w:tmpl w:val="DFD6D18C"/>
    <w:numStyleLink w:val="StyleBulletedSymbolsymbolGray-50Left0Hanging02"/>
  </w:abstractNum>
  <w:abstractNum w:abstractNumId="15">
    <w:nsid w:val="504C3C53"/>
    <w:multiLevelType w:val="multilevel"/>
    <w:tmpl w:val="DFD6D18C"/>
    <w:numStyleLink w:val="StyleBulletedSymbolsymbolGray-50Left0Hanging02"/>
  </w:abstractNum>
  <w:abstractNum w:abstractNumId="16">
    <w:nsid w:val="51706983"/>
    <w:multiLevelType w:val="multilevel"/>
    <w:tmpl w:val="DFD6D18C"/>
    <w:numStyleLink w:val="StyleBulletedSymbolsymbolGray-50Left0Hanging02"/>
  </w:abstractNum>
  <w:abstractNum w:abstractNumId="17">
    <w:nsid w:val="61F130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4B966AA"/>
    <w:multiLevelType w:val="hybridMultilevel"/>
    <w:tmpl w:val="BB1C97CA"/>
    <w:lvl w:ilvl="0" w:tplc="2E8E6052">
      <w:start w:val="1"/>
      <w:numFmt w:val="bullet"/>
      <w:lvlRestart w:val="0"/>
      <w:pStyle w:val="Normal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EF7B17"/>
    <w:multiLevelType w:val="multilevel"/>
    <w:tmpl w:val="DFD6D18C"/>
    <w:numStyleLink w:val="StyleBulletedSymbolsymbolGray-50Left0Hanging02"/>
  </w:abstractNum>
  <w:abstractNum w:abstractNumId="20">
    <w:nsid w:val="6E1908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7F657A3"/>
    <w:multiLevelType w:val="singleLevel"/>
    <w:tmpl w:val="070A5ECA"/>
    <w:lvl w:ilvl="0">
      <w:start w:val="1"/>
      <w:numFmt w:val="bullet"/>
      <w:pStyle w:val="BulletsDigest"/>
      <w:lvlText w:val=""/>
      <w:lvlJc w:val="left"/>
      <w:pPr>
        <w:tabs>
          <w:tab w:val="num" w:pos="360"/>
        </w:tabs>
        <w:ind w:left="360" w:hanging="360"/>
      </w:pPr>
      <w:rPr>
        <w:rFonts w:ascii="Symbol" w:hAnsi="Symbol" w:hint="default"/>
        <w:b w:val="0"/>
        <w:i w:val="0"/>
        <w:sz w:val="24"/>
      </w:rPr>
    </w:lvl>
  </w:abstractNum>
  <w:num w:numId="1">
    <w:abstractNumId w:val="20"/>
  </w:num>
  <w:num w:numId="2">
    <w:abstractNumId w:val="17"/>
  </w:num>
  <w:num w:numId="3">
    <w:abstractNumId w:val="21"/>
  </w:num>
  <w:num w:numId="4">
    <w:abstractNumId w:val="12"/>
  </w:num>
  <w:num w:numId="5">
    <w:abstractNumId w:val="18"/>
  </w:num>
  <w:num w:numId="6">
    <w:abstractNumId w:val="13"/>
  </w:num>
  <w:num w:numId="7">
    <w:abstractNumId w:val="16"/>
  </w:num>
  <w:num w:numId="8">
    <w:abstractNumId w:val="19"/>
  </w:num>
  <w:num w:numId="9">
    <w:abstractNumId w:val="10"/>
  </w:num>
  <w:num w:numId="10">
    <w:abstractNumId w:val="14"/>
  </w:num>
  <w:num w:numId="11">
    <w:abstractNumId w:val="15"/>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1F04"/>
  <w:defaultTabStop w:val="288"/>
  <w:evenAndOddHeaders/>
  <w:drawingGridHorizontalSpacing w:val="43"/>
  <w:drawingGridVerticalSpacing w:val="29"/>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12353A"/>
    <w:rsid w:val="00002540"/>
    <w:rsid w:val="00023877"/>
    <w:rsid w:val="00071CE3"/>
    <w:rsid w:val="00072548"/>
    <w:rsid w:val="00086D9E"/>
    <w:rsid w:val="000D2473"/>
    <w:rsid w:val="000E27FD"/>
    <w:rsid w:val="000E702B"/>
    <w:rsid w:val="000F4FAB"/>
    <w:rsid w:val="000F5AEC"/>
    <w:rsid w:val="001003E3"/>
    <w:rsid w:val="00114903"/>
    <w:rsid w:val="0012353A"/>
    <w:rsid w:val="001243F5"/>
    <w:rsid w:val="001247AE"/>
    <w:rsid w:val="00131C2E"/>
    <w:rsid w:val="001473FC"/>
    <w:rsid w:val="0015165B"/>
    <w:rsid w:val="00186043"/>
    <w:rsid w:val="001A5916"/>
    <w:rsid w:val="001C6040"/>
    <w:rsid w:val="001E15C8"/>
    <w:rsid w:val="001E4248"/>
    <w:rsid w:val="001F0E59"/>
    <w:rsid w:val="002107B1"/>
    <w:rsid w:val="0025238F"/>
    <w:rsid w:val="00254496"/>
    <w:rsid w:val="00254BD5"/>
    <w:rsid w:val="002638D7"/>
    <w:rsid w:val="00291E7B"/>
    <w:rsid w:val="002A1561"/>
    <w:rsid w:val="002A1833"/>
    <w:rsid w:val="002B7194"/>
    <w:rsid w:val="002C6CC7"/>
    <w:rsid w:val="002D0721"/>
    <w:rsid w:val="002D08A2"/>
    <w:rsid w:val="002E4AB5"/>
    <w:rsid w:val="002F48A1"/>
    <w:rsid w:val="00343CAE"/>
    <w:rsid w:val="00364CF7"/>
    <w:rsid w:val="00382CDB"/>
    <w:rsid w:val="003A0241"/>
    <w:rsid w:val="003B3CBB"/>
    <w:rsid w:val="003D0258"/>
    <w:rsid w:val="003D1A38"/>
    <w:rsid w:val="003D41ED"/>
    <w:rsid w:val="003E1AD8"/>
    <w:rsid w:val="003E1BE0"/>
    <w:rsid w:val="004070F3"/>
    <w:rsid w:val="00414929"/>
    <w:rsid w:val="00434C69"/>
    <w:rsid w:val="00464931"/>
    <w:rsid w:val="00474A16"/>
    <w:rsid w:val="00476286"/>
    <w:rsid w:val="00480A6B"/>
    <w:rsid w:val="00480F56"/>
    <w:rsid w:val="004863D4"/>
    <w:rsid w:val="00511EE2"/>
    <w:rsid w:val="0051701C"/>
    <w:rsid w:val="0053008A"/>
    <w:rsid w:val="00533948"/>
    <w:rsid w:val="00534D72"/>
    <w:rsid w:val="0053608E"/>
    <w:rsid w:val="005466B8"/>
    <w:rsid w:val="00585F6F"/>
    <w:rsid w:val="005B263A"/>
    <w:rsid w:val="005B65E8"/>
    <w:rsid w:val="005C7E42"/>
    <w:rsid w:val="005D427B"/>
    <w:rsid w:val="005F7105"/>
    <w:rsid w:val="00600918"/>
    <w:rsid w:val="00601BE7"/>
    <w:rsid w:val="00606C62"/>
    <w:rsid w:val="006121A1"/>
    <w:rsid w:val="00633DF0"/>
    <w:rsid w:val="00651122"/>
    <w:rsid w:val="0065788F"/>
    <w:rsid w:val="00667DAF"/>
    <w:rsid w:val="00672404"/>
    <w:rsid w:val="006802E8"/>
    <w:rsid w:val="006868D1"/>
    <w:rsid w:val="00686D3B"/>
    <w:rsid w:val="006A6BC0"/>
    <w:rsid w:val="006B136D"/>
    <w:rsid w:val="006B1B56"/>
    <w:rsid w:val="006C3B92"/>
    <w:rsid w:val="006D3B55"/>
    <w:rsid w:val="006E0755"/>
    <w:rsid w:val="006E461E"/>
    <w:rsid w:val="006F3FBF"/>
    <w:rsid w:val="006F7388"/>
    <w:rsid w:val="00703FBE"/>
    <w:rsid w:val="00721906"/>
    <w:rsid w:val="00734122"/>
    <w:rsid w:val="00735E91"/>
    <w:rsid w:val="00741F08"/>
    <w:rsid w:val="00750F3A"/>
    <w:rsid w:val="00766EC4"/>
    <w:rsid w:val="00784137"/>
    <w:rsid w:val="00792355"/>
    <w:rsid w:val="007B21A7"/>
    <w:rsid w:val="007B5EC6"/>
    <w:rsid w:val="007D6782"/>
    <w:rsid w:val="007E1509"/>
    <w:rsid w:val="007E4A78"/>
    <w:rsid w:val="007F5308"/>
    <w:rsid w:val="007F78DF"/>
    <w:rsid w:val="007F7B5F"/>
    <w:rsid w:val="008174C2"/>
    <w:rsid w:val="00820B98"/>
    <w:rsid w:val="00825394"/>
    <w:rsid w:val="008302F1"/>
    <w:rsid w:val="00847B15"/>
    <w:rsid w:val="008531DA"/>
    <w:rsid w:val="00860C58"/>
    <w:rsid w:val="0086493D"/>
    <w:rsid w:val="00867D8F"/>
    <w:rsid w:val="00872096"/>
    <w:rsid w:val="008822A3"/>
    <w:rsid w:val="008825BA"/>
    <w:rsid w:val="00887433"/>
    <w:rsid w:val="0089471B"/>
    <w:rsid w:val="00896CB7"/>
    <w:rsid w:val="008A3BBF"/>
    <w:rsid w:val="008A52DB"/>
    <w:rsid w:val="008A7251"/>
    <w:rsid w:val="008B4015"/>
    <w:rsid w:val="008D1B45"/>
    <w:rsid w:val="008E1C08"/>
    <w:rsid w:val="008E5665"/>
    <w:rsid w:val="008F6B2B"/>
    <w:rsid w:val="00900981"/>
    <w:rsid w:val="00903B71"/>
    <w:rsid w:val="00910325"/>
    <w:rsid w:val="009179DA"/>
    <w:rsid w:val="00926615"/>
    <w:rsid w:val="00926C91"/>
    <w:rsid w:val="00941263"/>
    <w:rsid w:val="009531D0"/>
    <w:rsid w:val="009534C9"/>
    <w:rsid w:val="00957FD8"/>
    <w:rsid w:val="00962822"/>
    <w:rsid w:val="00984F23"/>
    <w:rsid w:val="009B50EC"/>
    <w:rsid w:val="009D45F7"/>
    <w:rsid w:val="009F4350"/>
    <w:rsid w:val="00A053A6"/>
    <w:rsid w:val="00A12F53"/>
    <w:rsid w:val="00A31E49"/>
    <w:rsid w:val="00A353DA"/>
    <w:rsid w:val="00A37391"/>
    <w:rsid w:val="00A400AA"/>
    <w:rsid w:val="00A46F45"/>
    <w:rsid w:val="00A50BAE"/>
    <w:rsid w:val="00A50C68"/>
    <w:rsid w:val="00A80FA9"/>
    <w:rsid w:val="00A831BF"/>
    <w:rsid w:val="00A83CDE"/>
    <w:rsid w:val="00A97C2D"/>
    <w:rsid w:val="00AC20A1"/>
    <w:rsid w:val="00AF51BC"/>
    <w:rsid w:val="00B04266"/>
    <w:rsid w:val="00B205F4"/>
    <w:rsid w:val="00B357BD"/>
    <w:rsid w:val="00B413F3"/>
    <w:rsid w:val="00B675A8"/>
    <w:rsid w:val="00B822B8"/>
    <w:rsid w:val="00B961E9"/>
    <w:rsid w:val="00BA1065"/>
    <w:rsid w:val="00BC10B3"/>
    <w:rsid w:val="00BC7781"/>
    <w:rsid w:val="00BD09ED"/>
    <w:rsid w:val="00BD4044"/>
    <w:rsid w:val="00BE242C"/>
    <w:rsid w:val="00BE2FEF"/>
    <w:rsid w:val="00C02990"/>
    <w:rsid w:val="00C10972"/>
    <w:rsid w:val="00C15AEB"/>
    <w:rsid w:val="00C448F5"/>
    <w:rsid w:val="00C449C6"/>
    <w:rsid w:val="00C47463"/>
    <w:rsid w:val="00C51B63"/>
    <w:rsid w:val="00C52185"/>
    <w:rsid w:val="00C721D2"/>
    <w:rsid w:val="00C80AA4"/>
    <w:rsid w:val="00C84121"/>
    <w:rsid w:val="00CB6ADE"/>
    <w:rsid w:val="00CC13CD"/>
    <w:rsid w:val="00CF4A50"/>
    <w:rsid w:val="00D063D5"/>
    <w:rsid w:val="00D112D1"/>
    <w:rsid w:val="00D1200F"/>
    <w:rsid w:val="00D17F90"/>
    <w:rsid w:val="00D213C4"/>
    <w:rsid w:val="00D24D59"/>
    <w:rsid w:val="00D34B8A"/>
    <w:rsid w:val="00D3706C"/>
    <w:rsid w:val="00D5133A"/>
    <w:rsid w:val="00D52701"/>
    <w:rsid w:val="00D575F9"/>
    <w:rsid w:val="00D620E9"/>
    <w:rsid w:val="00D7083F"/>
    <w:rsid w:val="00D83680"/>
    <w:rsid w:val="00D93D1F"/>
    <w:rsid w:val="00DB48C6"/>
    <w:rsid w:val="00DD2F51"/>
    <w:rsid w:val="00DD534A"/>
    <w:rsid w:val="00DE2C90"/>
    <w:rsid w:val="00DF6CEE"/>
    <w:rsid w:val="00E11F33"/>
    <w:rsid w:val="00E274F2"/>
    <w:rsid w:val="00E35EC0"/>
    <w:rsid w:val="00E50D06"/>
    <w:rsid w:val="00E53910"/>
    <w:rsid w:val="00E54028"/>
    <w:rsid w:val="00E67E7B"/>
    <w:rsid w:val="00E76946"/>
    <w:rsid w:val="00E846FD"/>
    <w:rsid w:val="00E94161"/>
    <w:rsid w:val="00E96D1C"/>
    <w:rsid w:val="00EA4E3C"/>
    <w:rsid w:val="00EB1B17"/>
    <w:rsid w:val="00EC3D9E"/>
    <w:rsid w:val="00EC4ADB"/>
    <w:rsid w:val="00EC71F8"/>
    <w:rsid w:val="00ED1241"/>
    <w:rsid w:val="00EE6689"/>
    <w:rsid w:val="00F066A6"/>
    <w:rsid w:val="00F2365C"/>
    <w:rsid w:val="00F26C88"/>
    <w:rsid w:val="00F57DB2"/>
    <w:rsid w:val="00F60DFA"/>
    <w:rsid w:val="00F61B80"/>
    <w:rsid w:val="00F62210"/>
    <w:rsid w:val="00F65F27"/>
    <w:rsid w:val="00F92866"/>
    <w:rsid w:val="00FB57B3"/>
    <w:rsid w:val="00FC119E"/>
    <w:rsid w:val="00FC76BE"/>
    <w:rsid w:val="00FE0DBF"/>
    <w:rsid w:val="00FE42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5F7"/>
    <w:pPr>
      <w:spacing w:after="40"/>
      <w:jc w:val="both"/>
    </w:pPr>
    <w:rPr>
      <w:rFonts w:ascii="Calibri" w:hAnsi="Calibri"/>
      <w:sz w:val="18"/>
    </w:rPr>
  </w:style>
  <w:style w:type="paragraph" w:styleId="Heading1">
    <w:name w:val="heading 1"/>
    <w:basedOn w:val="H1"/>
    <w:next w:val="Normal"/>
    <w:qFormat/>
    <w:rsid w:val="009D45F7"/>
    <w:pPr>
      <w:keepNext/>
      <w:spacing w:after="60"/>
      <w:jc w:val="left"/>
      <w:outlineLvl w:val="0"/>
    </w:pPr>
    <w:rPr>
      <w:kern w:val="28"/>
    </w:rPr>
  </w:style>
  <w:style w:type="paragraph" w:styleId="Heading2">
    <w:name w:val="heading 2"/>
    <w:basedOn w:val="Normal"/>
    <w:next w:val="Normal"/>
    <w:qFormat/>
    <w:rsid w:val="009D45F7"/>
    <w:pPr>
      <w:keepNext/>
      <w:spacing w:before="80" w:after="0"/>
      <w:outlineLvl w:val="1"/>
    </w:pPr>
    <w:rPr>
      <w:caps/>
      <w:sz w:val="20"/>
    </w:rPr>
  </w:style>
  <w:style w:type="paragraph" w:styleId="Heading3">
    <w:name w:val="heading 3"/>
    <w:basedOn w:val="Normal"/>
    <w:next w:val="Normal"/>
    <w:link w:val="Heading3Char"/>
    <w:qFormat/>
    <w:rsid w:val="009D45F7"/>
    <w:pPr>
      <w:keepNext/>
      <w:spacing w:after="60"/>
      <w:jc w:val="center"/>
      <w:outlineLvl w:val="2"/>
    </w:pPr>
    <w:rPr>
      <w:b/>
    </w:rPr>
  </w:style>
  <w:style w:type="paragraph" w:styleId="Heading4">
    <w:name w:val="heading 4"/>
    <w:basedOn w:val="Heading3"/>
    <w:next w:val="Normal"/>
    <w:link w:val="Heading4Char"/>
    <w:qFormat/>
    <w:rsid w:val="009D45F7"/>
    <w:pPr>
      <w:spacing w:before="120" w:after="0"/>
      <w:jc w:val="left"/>
      <w:outlineLvl w:val="3"/>
    </w:pPr>
  </w:style>
  <w:style w:type="paragraph" w:styleId="Heading5">
    <w:name w:val="heading 5"/>
    <w:basedOn w:val="Normal"/>
    <w:next w:val="Normal"/>
    <w:qFormat/>
    <w:rsid w:val="009D45F7"/>
    <w:pPr>
      <w:spacing w:before="240" w:after="60"/>
      <w:outlineLvl w:val="4"/>
    </w:pPr>
    <w:rPr>
      <w:sz w:val="22"/>
    </w:rPr>
  </w:style>
  <w:style w:type="paragraph" w:styleId="Heading6">
    <w:name w:val="heading 6"/>
    <w:basedOn w:val="Normal"/>
    <w:next w:val="Normal"/>
    <w:qFormat/>
    <w:rsid w:val="009D45F7"/>
    <w:pPr>
      <w:keepNext/>
      <w:shd w:val="pct20" w:color="000000" w:fill="FFFFFF"/>
      <w:tabs>
        <w:tab w:val="left" w:pos="0"/>
        <w:tab w:val="right" w:pos="4752"/>
        <w:tab w:val="right" w:pos="6264"/>
        <w:tab w:val="right" w:pos="7776"/>
        <w:tab w:val="right" w:pos="9288"/>
        <w:tab w:val="right" w:pos="10800"/>
      </w:tabs>
      <w:outlineLvl w:val="5"/>
    </w:pPr>
    <w:rPr>
      <w:b/>
      <w:color w:val="C0C0C0"/>
    </w:rPr>
  </w:style>
  <w:style w:type="paragraph" w:styleId="Heading7">
    <w:name w:val="heading 7"/>
    <w:basedOn w:val="Normal"/>
    <w:next w:val="Normal"/>
    <w:qFormat/>
    <w:rsid w:val="009D45F7"/>
    <w:pPr>
      <w:keepNext/>
      <w:outlineLvl w:val="6"/>
    </w:pPr>
    <w:rPr>
      <w:b/>
      <w:u w:val="single"/>
    </w:rPr>
  </w:style>
  <w:style w:type="paragraph" w:styleId="Heading8">
    <w:name w:val="heading 8"/>
    <w:basedOn w:val="Normal"/>
    <w:next w:val="Normal"/>
    <w:qFormat/>
    <w:rsid w:val="009D45F7"/>
    <w:pPr>
      <w:keepNext/>
      <w:tabs>
        <w:tab w:val="left" w:pos="0"/>
        <w:tab w:val="right" w:pos="4752"/>
        <w:tab w:val="right" w:pos="6264"/>
        <w:tab w:val="right" w:pos="7776"/>
        <w:tab w:val="right" w:pos="9288"/>
        <w:tab w:val="right" w:pos="10800"/>
      </w:tabs>
      <w:jc w:val="right"/>
      <w:outlineLvl w:val="7"/>
    </w:pPr>
    <w:rPr>
      <w:b/>
      <w:sz w:val="28"/>
    </w:rPr>
  </w:style>
  <w:style w:type="paragraph" w:styleId="Heading9">
    <w:name w:val="heading 9"/>
    <w:basedOn w:val="Normal"/>
    <w:next w:val="Normal"/>
    <w:qFormat/>
    <w:rsid w:val="009D45F7"/>
    <w:pPr>
      <w:keepNext/>
      <w:tabs>
        <w:tab w:val="left" w:pos="0"/>
        <w:tab w:val="right" w:pos="4752"/>
        <w:tab w:val="right" w:pos="6264"/>
        <w:tab w:val="right" w:pos="7776"/>
        <w:tab w:val="right" w:pos="9288"/>
        <w:tab w:val="right" w:pos="10800"/>
      </w:tabs>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next w:val="Normal"/>
    <w:link w:val="H1Char"/>
    <w:rsid w:val="009D45F7"/>
    <w:pPr>
      <w:spacing w:after="240"/>
      <w:jc w:val="center"/>
    </w:pPr>
    <w:rPr>
      <w:rFonts w:ascii="Calibri" w:hAnsi="Calibri"/>
      <w:caps/>
      <w:noProof/>
      <w:color w:val="002D86"/>
      <w:sz w:val="40"/>
    </w:rPr>
  </w:style>
  <w:style w:type="paragraph" w:styleId="Footer">
    <w:name w:val="footer"/>
    <w:basedOn w:val="Header"/>
    <w:link w:val="FooterChar"/>
    <w:rsid w:val="009D45F7"/>
  </w:style>
  <w:style w:type="character" w:styleId="PageNumber">
    <w:name w:val="page number"/>
    <w:rsid w:val="009D45F7"/>
    <w:rPr>
      <w:rFonts w:ascii="Trebuchet MS" w:hAnsi="Trebuchet MS"/>
      <w:sz w:val="16"/>
    </w:rPr>
  </w:style>
  <w:style w:type="paragraph" w:customStyle="1" w:styleId="H2">
    <w:name w:val="H2"/>
    <w:basedOn w:val="Normal"/>
    <w:link w:val="H2Char"/>
    <w:rsid w:val="009D45F7"/>
    <w:pPr>
      <w:pBdr>
        <w:bottom w:val="single" w:sz="4" w:space="1" w:color="808080"/>
      </w:pBdr>
      <w:spacing w:before="120"/>
      <w:jc w:val="left"/>
    </w:pPr>
    <w:rPr>
      <w:caps/>
      <w:noProof/>
      <w:color w:val="002D86"/>
      <w:sz w:val="24"/>
    </w:rPr>
  </w:style>
  <w:style w:type="paragraph" w:styleId="Header">
    <w:name w:val="header"/>
    <w:basedOn w:val="Normal"/>
    <w:link w:val="HeaderChar"/>
    <w:rsid w:val="009D45F7"/>
    <w:pPr>
      <w:jc w:val="center"/>
    </w:pPr>
  </w:style>
  <w:style w:type="paragraph" w:customStyle="1" w:styleId="H3">
    <w:name w:val="H3"/>
    <w:basedOn w:val="Heading3"/>
    <w:next w:val="Normal"/>
    <w:rsid w:val="009D45F7"/>
  </w:style>
  <w:style w:type="paragraph" w:customStyle="1" w:styleId="H4">
    <w:name w:val="H4"/>
    <w:basedOn w:val="Heading4"/>
    <w:next w:val="Normal"/>
    <w:link w:val="H4Char"/>
    <w:rsid w:val="009D45F7"/>
    <w:pPr>
      <w:spacing w:before="80"/>
    </w:pPr>
    <w:rPr>
      <w:b w:val="0"/>
      <w:caps/>
      <w:sz w:val="20"/>
    </w:rPr>
  </w:style>
  <w:style w:type="paragraph" w:customStyle="1" w:styleId="H5">
    <w:name w:val="H5"/>
    <w:basedOn w:val="Heading5"/>
    <w:next w:val="Normal"/>
    <w:rsid w:val="009D45F7"/>
  </w:style>
  <w:style w:type="paragraph" w:customStyle="1" w:styleId="H6">
    <w:name w:val="H6"/>
    <w:rsid w:val="009D45F7"/>
    <w:pPr>
      <w:spacing w:before="60" w:after="60"/>
    </w:pPr>
    <w:rPr>
      <w:rFonts w:ascii="AvantGarde" w:hAnsi="AvantGarde"/>
      <w:smallCaps/>
      <w:noProof/>
      <w:color w:val="000080"/>
      <w:sz w:val="24"/>
    </w:rPr>
  </w:style>
  <w:style w:type="paragraph" w:customStyle="1" w:styleId="H7">
    <w:name w:val="H7"/>
    <w:basedOn w:val="Normal"/>
    <w:rsid w:val="009D45F7"/>
    <w:rPr>
      <w:sz w:val="16"/>
    </w:rPr>
  </w:style>
  <w:style w:type="paragraph" w:customStyle="1" w:styleId="ProgramHead">
    <w:name w:val="ProgramHead"/>
    <w:basedOn w:val="H2"/>
    <w:rsid w:val="002F48A1"/>
    <w:pPr>
      <w:pBdr>
        <w:bottom w:val="single" w:sz="2" w:space="1" w:color="BFBFBF"/>
      </w:pBdr>
      <w:spacing w:after="0"/>
    </w:pPr>
  </w:style>
  <w:style w:type="paragraph" w:customStyle="1" w:styleId="SubProgramHead">
    <w:name w:val="SubProgramHead"/>
    <w:basedOn w:val="ProgramHead"/>
    <w:rsid w:val="009D45F7"/>
    <w:pPr>
      <w:jc w:val="center"/>
    </w:pPr>
  </w:style>
  <w:style w:type="paragraph" w:styleId="BodyText">
    <w:name w:val="Body Text"/>
    <w:basedOn w:val="Normal"/>
    <w:link w:val="BodyTextChar"/>
    <w:rsid w:val="009D45F7"/>
    <w:pPr>
      <w:ind w:right="-54"/>
    </w:pPr>
  </w:style>
  <w:style w:type="character" w:styleId="Hyperlink">
    <w:name w:val="Hyperlink"/>
    <w:rsid w:val="009D45F7"/>
    <w:rPr>
      <w:rFonts w:ascii="Calibri" w:hAnsi="Calibri"/>
      <w:color w:val="17365D"/>
      <w:sz w:val="16"/>
      <w:u w:val="single"/>
    </w:rPr>
  </w:style>
  <w:style w:type="character" w:customStyle="1" w:styleId="H4Char">
    <w:name w:val="H4 Char"/>
    <w:link w:val="H4"/>
    <w:rsid w:val="00847B15"/>
    <w:rPr>
      <w:rFonts w:ascii="Calibri" w:hAnsi="Calibri"/>
      <w:caps/>
    </w:rPr>
  </w:style>
  <w:style w:type="character" w:styleId="CommentReference">
    <w:name w:val="annotation reference"/>
    <w:semiHidden/>
    <w:rsid w:val="009D45F7"/>
    <w:rPr>
      <w:sz w:val="16"/>
      <w:szCs w:val="16"/>
    </w:rPr>
  </w:style>
  <w:style w:type="paragraph" w:styleId="CommentText">
    <w:name w:val="annotation text"/>
    <w:basedOn w:val="Normal"/>
    <w:link w:val="CommentTextChar"/>
    <w:rsid w:val="009D45F7"/>
    <w:rPr>
      <w:sz w:val="20"/>
    </w:rPr>
  </w:style>
  <w:style w:type="character" w:customStyle="1" w:styleId="H1Char">
    <w:name w:val="H1 Char"/>
    <w:link w:val="H1"/>
    <w:rsid w:val="00847B15"/>
    <w:rPr>
      <w:rFonts w:ascii="Calibri" w:hAnsi="Calibri"/>
      <w:caps/>
      <w:noProof/>
      <w:color w:val="002D86"/>
      <w:sz w:val="40"/>
      <w:lang w:val="en-US" w:eastAsia="en-US" w:bidi="ar-SA"/>
    </w:rPr>
  </w:style>
  <w:style w:type="character" w:customStyle="1" w:styleId="H2Char">
    <w:name w:val="H2 Char"/>
    <w:link w:val="H2"/>
    <w:rsid w:val="00847B15"/>
    <w:rPr>
      <w:rFonts w:ascii="Calibri" w:hAnsi="Calibri"/>
      <w:caps/>
      <w:noProof/>
      <w:color w:val="002D86"/>
      <w:sz w:val="24"/>
      <w:lang w:val="en-US" w:eastAsia="en-US" w:bidi="ar-SA"/>
    </w:rPr>
  </w:style>
  <w:style w:type="paragraph" w:customStyle="1" w:styleId="H2SubProgram">
    <w:name w:val="H2 SubProgram"/>
    <w:basedOn w:val="H2"/>
    <w:rsid w:val="009D45F7"/>
    <w:pPr>
      <w:jc w:val="center"/>
    </w:pPr>
  </w:style>
  <w:style w:type="paragraph" w:customStyle="1" w:styleId="H7b0">
    <w:name w:val="H7b"/>
    <w:basedOn w:val="H7"/>
    <w:rsid w:val="009D45F7"/>
    <w:pPr>
      <w:jc w:val="right"/>
      <w:outlineLvl w:val="0"/>
    </w:pPr>
    <w:rPr>
      <w:rFonts w:ascii="Arial" w:hAnsi="Arial"/>
    </w:rPr>
  </w:style>
  <w:style w:type="paragraph" w:customStyle="1" w:styleId="H7B">
    <w:name w:val="H7B"/>
    <w:basedOn w:val="H7"/>
    <w:rsid w:val="009D45F7"/>
    <w:pPr>
      <w:numPr>
        <w:numId w:val="4"/>
      </w:numPr>
      <w:tabs>
        <w:tab w:val="left" w:pos="144"/>
      </w:tabs>
    </w:pPr>
    <w:rPr>
      <w:b/>
      <w:sz w:val="18"/>
    </w:rPr>
  </w:style>
  <w:style w:type="paragraph" w:customStyle="1" w:styleId="NormalB">
    <w:name w:val="NormalB"/>
    <w:basedOn w:val="Normal"/>
    <w:rsid w:val="009D45F7"/>
    <w:pPr>
      <w:numPr>
        <w:numId w:val="5"/>
      </w:numPr>
      <w:tabs>
        <w:tab w:val="left" w:pos="144"/>
      </w:tabs>
    </w:pPr>
  </w:style>
  <w:style w:type="paragraph" w:customStyle="1" w:styleId="SubprogramHead0">
    <w:name w:val="SubprogramHead"/>
    <w:basedOn w:val="Heading2"/>
    <w:rsid w:val="009D45F7"/>
    <w:pPr>
      <w:spacing w:before="40"/>
    </w:pPr>
  </w:style>
  <w:style w:type="table" w:styleId="TableGrid">
    <w:name w:val="Table Grid"/>
    <w:basedOn w:val="TableNormal"/>
    <w:rsid w:val="009D45F7"/>
    <w:pPr>
      <w:spacing w:after="40"/>
      <w:jc w:val="both"/>
    </w:pPr>
    <w:rPr>
      <w:rFonts w:ascii="Trebuchet MS" w:hAnsi="Trebuchet MS"/>
      <w:sz w:val="16"/>
    </w:rPr>
    <w:tblPr>
      <w:tblInd w:w="0" w:type="dxa"/>
      <w:tblCellMar>
        <w:top w:w="0" w:type="dxa"/>
        <w:left w:w="108" w:type="dxa"/>
        <w:bottom w:w="0" w:type="dxa"/>
        <w:right w:w="108" w:type="dxa"/>
      </w:tblCellMar>
    </w:tblPr>
    <w:tcPr>
      <w:vAlign w:val="center"/>
    </w:tcPr>
  </w:style>
  <w:style w:type="paragraph" w:styleId="BodyText2">
    <w:name w:val="Body Text 2"/>
    <w:basedOn w:val="Normal"/>
    <w:rsid w:val="009D45F7"/>
    <w:rPr>
      <w:kern w:val="16"/>
      <w:sz w:val="16"/>
    </w:rPr>
  </w:style>
  <w:style w:type="paragraph" w:styleId="BodyTextIndent">
    <w:name w:val="Body Text Indent"/>
    <w:basedOn w:val="Normal"/>
    <w:link w:val="BodyTextIndentChar"/>
    <w:rsid w:val="009D45F7"/>
    <w:pPr>
      <w:ind w:left="720"/>
    </w:pPr>
  </w:style>
  <w:style w:type="paragraph" w:styleId="DocumentMap">
    <w:name w:val="Document Map"/>
    <w:basedOn w:val="Normal"/>
    <w:semiHidden/>
    <w:rsid w:val="009D45F7"/>
    <w:pPr>
      <w:shd w:val="clear" w:color="auto" w:fill="000080"/>
    </w:pPr>
    <w:rPr>
      <w:rFonts w:ascii="Tahoma" w:hAnsi="Tahoma" w:cs="Tahoma"/>
    </w:rPr>
  </w:style>
  <w:style w:type="character" w:customStyle="1" w:styleId="Heading3Char">
    <w:name w:val="Heading 3 Char"/>
    <w:link w:val="Heading3"/>
    <w:rsid w:val="00847B15"/>
    <w:rPr>
      <w:rFonts w:ascii="Calibri" w:hAnsi="Calibri"/>
      <w:b/>
      <w:sz w:val="18"/>
    </w:rPr>
  </w:style>
  <w:style w:type="character" w:customStyle="1" w:styleId="Heading4Char">
    <w:name w:val="Heading 4 Char"/>
    <w:basedOn w:val="Heading3Char"/>
    <w:link w:val="Heading4"/>
    <w:rsid w:val="00847B15"/>
  </w:style>
  <w:style w:type="paragraph" w:styleId="NormalWeb">
    <w:name w:val="Normal (Web)"/>
    <w:basedOn w:val="Normal"/>
    <w:rsid w:val="009D45F7"/>
    <w:pPr>
      <w:spacing w:before="100" w:beforeAutospacing="1" w:after="100" w:afterAutospacing="1"/>
      <w:jc w:val="left"/>
    </w:pPr>
    <w:rPr>
      <w:rFonts w:ascii="Times New Roman" w:hAnsi="Times New Roman"/>
      <w:sz w:val="24"/>
      <w:szCs w:val="24"/>
    </w:rPr>
  </w:style>
  <w:style w:type="paragraph" w:customStyle="1" w:styleId="StyleH1Left">
    <w:name w:val="Style H1 + Left"/>
    <w:basedOn w:val="H1"/>
    <w:rsid w:val="009D45F7"/>
    <w:pPr>
      <w:jc w:val="left"/>
    </w:pPr>
    <w:rPr>
      <w:color w:val="005400"/>
    </w:rPr>
  </w:style>
  <w:style w:type="paragraph" w:styleId="BalloonText">
    <w:name w:val="Balloon Text"/>
    <w:basedOn w:val="Normal"/>
    <w:semiHidden/>
    <w:rsid w:val="009D45F7"/>
    <w:rPr>
      <w:rFonts w:ascii="Tahoma" w:hAnsi="Tahoma" w:cs="Tahoma"/>
      <w:szCs w:val="16"/>
    </w:rPr>
  </w:style>
  <w:style w:type="paragraph" w:customStyle="1" w:styleId="Bullets">
    <w:name w:val="Bullets"/>
    <w:basedOn w:val="Normal"/>
    <w:rsid w:val="009D45F7"/>
    <w:pPr>
      <w:spacing w:before="40"/>
      <w:jc w:val="left"/>
    </w:pPr>
    <w:rPr>
      <w:rFonts w:ascii="Times New Roman" w:hAnsi="Times New Roman"/>
      <w:sz w:val="22"/>
    </w:rPr>
  </w:style>
  <w:style w:type="character" w:styleId="FollowedHyperlink">
    <w:name w:val="FollowedHyperlink"/>
    <w:rsid w:val="009D45F7"/>
    <w:rPr>
      <w:color w:val="800080"/>
      <w:u w:val="single"/>
    </w:rPr>
  </w:style>
  <w:style w:type="paragraph" w:styleId="BodyText3">
    <w:name w:val="Body Text 3"/>
    <w:basedOn w:val="Normal"/>
    <w:link w:val="BodyText3Char"/>
    <w:rsid w:val="009D45F7"/>
    <w:pPr>
      <w:spacing w:after="120"/>
    </w:pPr>
  </w:style>
  <w:style w:type="character" w:customStyle="1" w:styleId="BodyText3Char">
    <w:name w:val="Body Text 3 Char"/>
    <w:link w:val="BodyText3"/>
    <w:rsid w:val="009D45F7"/>
    <w:rPr>
      <w:rFonts w:ascii="Calibri" w:hAnsi="Calibri"/>
      <w:sz w:val="18"/>
    </w:rPr>
  </w:style>
  <w:style w:type="paragraph" w:customStyle="1" w:styleId="BulletsDigest">
    <w:name w:val="Bullets Digest"/>
    <w:rsid w:val="009D45F7"/>
    <w:pPr>
      <w:numPr>
        <w:numId w:val="3"/>
      </w:numPr>
    </w:pPr>
    <w:rPr>
      <w:sz w:val="24"/>
    </w:rPr>
  </w:style>
  <w:style w:type="paragraph" w:customStyle="1" w:styleId="H4Blue">
    <w:name w:val="H4Blue"/>
    <w:basedOn w:val="H4"/>
    <w:qFormat/>
    <w:rsid w:val="009D45F7"/>
    <w:rPr>
      <w:color w:val="002D86"/>
    </w:rPr>
  </w:style>
  <w:style w:type="paragraph" w:customStyle="1" w:styleId="Heading2Green">
    <w:name w:val="Heading2Green"/>
    <w:basedOn w:val="Heading2"/>
    <w:qFormat/>
    <w:rsid w:val="009D45F7"/>
    <w:rPr>
      <w:color w:val="006600"/>
    </w:rPr>
  </w:style>
  <w:style w:type="character" w:styleId="IntenseEmphasis">
    <w:name w:val="Intense Emphasis"/>
    <w:uiPriority w:val="21"/>
    <w:qFormat/>
    <w:rsid w:val="009D45F7"/>
    <w:rPr>
      <w:b/>
      <w:bCs/>
      <w:i/>
      <w:iCs/>
      <w:color w:val="4F81BD"/>
    </w:rPr>
  </w:style>
  <w:style w:type="character" w:styleId="Strong">
    <w:name w:val="Strong"/>
    <w:qFormat/>
    <w:rsid w:val="009D45F7"/>
    <w:rPr>
      <w:b/>
      <w:bCs/>
    </w:rPr>
  </w:style>
  <w:style w:type="paragraph" w:customStyle="1" w:styleId="StyleHeading4">
    <w:name w:val="Style Heading 4 +"/>
    <w:basedOn w:val="Heading4"/>
    <w:rsid w:val="009D45F7"/>
    <w:rPr>
      <w:bCs/>
    </w:rPr>
  </w:style>
  <w:style w:type="paragraph" w:styleId="TOC1">
    <w:name w:val="toc 1"/>
    <w:basedOn w:val="Normal"/>
    <w:next w:val="Normal"/>
    <w:autoRedefine/>
    <w:rsid w:val="009D45F7"/>
    <w:rPr>
      <w:rFonts w:ascii="Verdana" w:hAnsi="Verdana"/>
    </w:rPr>
  </w:style>
  <w:style w:type="numbering" w:customStyle="1" w:styleId="StyleBulletedSymbolsymbolGray-50Left0Hanging02">
    <w:name w:val="Style Bulleted Symbol (symbol) Gray-50% Left:  0&quot; Hanging:  0.2..."/>
    <w:basedOn w:val="NoList"/>
    <w:rsid w:val="009D45F7"/>
    <w:pPr>
      <w:numPr>
        <w:numId w:val="6"/>
      </w:numPr>
    </w:pPr>
  </w:style>
  <w:style w:type="character" w:customStyle="1" w:styleId="BodyTextChar">
    <w:name w:val="Body Text Char"/>
    <w:link w:val="BodyText"/>
    <w:rsid w:val="009D45F7"/>
    <w:rPr>
      <w:rFonts w:ascii="Calibri" w:hAnsi="Calibri"/>
      <w:sz w:val="18"/>
    </w:rPr>
  </w:style>
  <w:style w:type="character" w:customStyle="1" w:styleId="BodyTextIndentChar">
    <w:name w:val="Body Text Indent Char"/>
    <w:link w:val="BodyTextIndent"/>
    <w:rsid w:val="009D45F7"/>
    <w:rPr>
      <w:rFonts w:ascii="Calibri" w:hAnsi="Calibri"/>
      <w:sz w:val="18"/>
    </w:rPr>
  </w:style>
  <w:style w:type="character" w:customStyle="1" w:styleId="CommentTextChar">
    <w:name w:val="Comment Text Char"/>
    <w:link w:val="CommentText"/>
    <w:rsid w:val="009D45F7"/>
    <w:rPr>
      <w:rFonts w:ascii="Calibri" w:hAnsi="Calibri"/>
    </w:rPr>
  </w:style>
  <w:style w:type="character" w:customStyle="1" w:styleId="HeaderChar">
    <w:name w:val="Header Char"/>
    <w:link w:val="Header"/>
    <w:rsid w:val="00E53910"/>
    <w:rPr>
      <w:rFonts w:ascii="Calibri" w:hAnsi="Calibri"/>
      <w:sz w:val="18"/>
    </w:rPr>
  </w:style>
  <w:style w:type="paragraph" w:styleId="ListParagraph">
    <w:name w:val="List Paragraph"/>
    <w:basedOn w:val="Normal"/>
    <w:uiPriority w:val="34"/>
    <w:qFormat/>
    <w:rsid w:val="00721906"/>
    <w:pPr>
      <w:spacing w:after="0"/>
      <w:ind w:left="720"/>
      <w:contextualSpacing/>
      <w:jc w:val="left"/>
    </w:pPr>
    <w:rPr>
      <w:rFonts w:eastAsia="Calibri"/>
      <w:sz w:val="22"/>
      <w:szCs w:val="22"/>
    </w:rPr>
  </w:style>
  <w:style w:type="character" w:customStyle="1" w:styleId="FooterChar">
    <w:name w:val="Footer Char"/>
    <w:basedOn w:val="DefaultParagraphFont"/>
    <w:link w:val="Footer"/>
    <w:rsid w:val="00867D8F"/>
    <w:rPr>
      <w:rFonts w:ascii="Calibri" w:hAnsi="Calibri"/>
      <w:sz w:val="18"/>
    </w:rPr>
  </w:style>
</w:styles>
</file>

<file path=word/webSettings.xml><?xml version="1.0" encoding="utf-8"?>
<w:webSettings xmlns:r="http://schemas.openxmlformats.org/officeDocument/2006/relationships" xmlns:w="http://schemas.openxmlformats.org/wordprocessingml/2006/main">
  <w:divs>
    <w:div w:id="65688829">
      <w:bodyDiv w:val="1"/>
      <w:marLeft w:val="0"/>
      <w:marRight w:val="0"/>
      <w:marTop w:val="0"/>
      <w:marBottom w:val="0"/>
      <w:divBdr>
        <w:top w:val="none" w:sz="0" w:space="0" w:color="auto"/>
        <w:left w:val="none" w:sz="0" w:space="0" w:color="auto"/>
        <w:bottom w:val="none" w:sz="0" w:space="0" w:color="auto"/>
        <w:right w:val="none" w:sz="0" w:space="0" w:color="auto"/>
      </w:divBdr>
    </w:div>
    <w:div w:id="130902197">
      <w:bodyDiv w:val="1"/>
      <w:marLeft w:val="0"/>
      <w:marRight w:val="0"/>
      <w:marTop w:val="0"/>
      <w:marBottom w:val="0"/>
      <w:divBdr>
        <w:top w:val="none" w:sz="0" w:space="0" w:color="auto"/>
        <w:left w:val="none" w:sz="0" w:space="0" w:color="auto"/>
        <w:bottom w:val="none" w:sz="0" w:space="0" w:color="auto"/>
        <w:right w:val="none" w:sz="0" w:space="0" w:color="auto"/>
      </w:divBdr>
    </w:div>
    <w:div w:id="212665255">
      <w:bodyDiv w:val="1"/>
      <w:marLeft w:val="0"/>
      <w:marRight w:val="0"/>
      <w:marTop w:val="0"/>
      <w:marBottom w:val="0"/>
      <w:divBdr>
        <w:top w:val="none" w:sz="0" w:space="0" w:color="auto"/>
        <w:left w:val="none" w:sz="0" w:space="0" w:color="auto"/>
        <w:bottom w:val="none" w:sz="0" w:space="0" w:color="auto"/>
        <w:right w:val="none" w:sz="0" w:space="0" w:color="auto"/>
      </w:divBdr>
    </w:div>
    <w:div w:id="254368245">
      <w:bodyDiv w:val="1"/>
      <w:marLeft w:val="0"/>
      <w:marRight w:val="0"/>
      <w:marTop w:val="0"/>
      <w:marBottom w:val="0"/>
      <w:divBdr>
        <w:top w:val="none" w:sz="0" w:space="0" w:color="auto"/>
        <w:left w:val="none" w:sz="0" w:space="0" w:color="auto"/>
        <w:bottom w:val="none" w:sz="0" w:space="0" w:color="auto"/>
        <w:right w:val="none" w:sz="0" w:space="0" w:color="auto"/>
      </w:divBdr>
    </w:div>
    <w:div w:id="258878564">
      <w:bodyDiv w:val="1"/>
      <w:marLeft w:val="0"/>
      <w:marRight w:val="0"/>
      <w:marTop w:val="0"/>
      <w:marBottom w:val="0"/>
      <w:divBdr>
        <w:top w:val="none" w:sz="0" w:space="0" w:color="auto"/>
        <w:left w:val="none" w:sz="0" w:space="0" w:color="auto"/>
        <w:bottom w:val="none" w:sz="0" w:space="0" w:color="auto"/>
        <w:right w:val="none" w:sz="0" w:space="0" w:color="auto"/>
      </w:divBdr>
    </w:div>
    <w:div w:id="453519443">
      <w:bodyDiv w:val="1"/>
      <w:marLeft w:val="0"/>
      <w:marRight w:val="0"/>
      <w:marTop w:val="0"/>
      <w:marBottom w:val="0"/>
      <w:divBdr>
        <w:top w:val="none" w:sz="0" w:space="0" w:color="auto"/>
        <w:left w:val="none" w:sz="0" w:space="0" w:color="auto"/>
        <w:bottom w:val="none" w:sz="0" w:space="0" w:color="auto"/>
        <w:right w:val="none" w:sz="0" w:space="0" w:color="auto"/>
      </w:divBdr>
    </w:div>
    <w:div w:id="837574196">
      <w:bodyDiv w:val="1"/>
      <w:marLeft w:val="0"/>
      <w:marRight w:val="0"/>
      <w:marTop w:val="0"/>
      <w:marBottom w:val="0"/>
      <w:divBdr>
        <w:top w:val="none" w:sz="0" w:space="0" w:color="auto"/>
        <w:left w:val="none" w:sz="0" w:space="0" w:color="auto"/>
        <w:bottom w:val="none" w:sz="0" w:space="0" w:color="auto"/>
        <w:right w:val="none" w:sz="0" w:space="0" w:color="auto"/>
      </w:divBdr>
    </w:div>
    <w:div w:id="847983407">
      <w:bodyDiv w:val="1"/>
      <w:marLeft w:val="0"/>
      <w:marRight w:val="0"/>
      <w:marTop w:val="0"/>
      <w:marBottom w:val="0"/>
      <w:divBdr>
        <w:top w:val="none" w:sz="0" w:space="0" w:color="auto"/>
        <w:left w:val="none" w:sz="0" w:space="0" w:color="auto"/>
        <w:bottom w:val="none" w:sz="0" w:space="0" w:color="auto"/>
        <w:right w:val="none" w:sz="0" w:space="0" w:color="auto"/>
      </w:divBdr>
    </w:div>
    <w:div w:id="946959120">
      <w:bodyDiv w:val="1"/>
      <w:marLeft w:val="0"/>
      <w:marRight w:val="0"/>
      <w:marTop w:val="0"/>
      <w:marBottom w:val="0"/>
      <w:divBdr>
        <w:top w:val="none" w:sz="0" w:space="0" w:color="auto"/>
        <w:left w:val="none" w:sz="0" w:space="0" w:color="auto"/>
        <w:bottom w:val="none" w:sz="0" w:space="0" w:color="auto"/>
        <w:right w:val="none" w:sz="0" w:space="0" w:color="auto"/>
      </w:divBdr>
    </w:div>
    <w:div w:id="1076899574">
      <w:bodyDiv w:val="1"/>
      <w:marLeft w:val="0"/>
      <w:marRight w:val="0"/>
      <w:marTop w:val="0"/>
      <w:marBottom w:val="0"/>
      <w:divBdr>
        <w:top w:val="none" w:sz="0" w:space="0" w:color="auto"/>
        <w:left w:val="none" w:sz="0" w:space="0" w:color="auto"/>
        <w:bottom w:val="none" w:sz="0" w:space="0" w:color="auto"/>
        <w:right w:val="none" w:sz="0" w:space="0" w:color="auto"/>
      </w:divBdr>
    </w:div>
    <w:div w:id="1121849944">
      <w:bodyDiv w:val="1"/>
      <w:marLeft w:val="0"/>
      <w:marRight w:val="0"/>
      <w:marTop w:val="0"/>
      <w:marBottom w:val="0"/>
      <w:divBdr>
        <w:top w:val="none" w:sz="0" w:space="0" w:color="auto"/>
        <w:left w:val="none" w:sz="0" w:space="0" w:color="auto"/>
        <w:bottom w:val="none" w:sz="0" w:space="0" w:color="auto"/>
        <w:right w:val="none" w:sz="0" w:space="0" w:color="auto"/>
      </w:divBdr>
    </w:div>
    <w:div w:id="1180464404">
      <w:bodyDiv w:val="1"/>
      <w:marLeft w:val="0"/>
      <w:marRight w:val="0"/>
      <w:marTop w:val="0"/>
      <w:marBottom w:val="0"/>
      <w:divBdr>
        <w:top w:val="none" w:sz="0" w:space="0" w:color="auto"/>
        <w:left w:val="none" w:sz="0" w:space="0" w:color="auto"/>
        <w:bottom w:val="none" w:sz="0" w:space="0" w:color="auto"/>
        <w:right w:val="none" w:sz="0" w:space="0" w:color="auto"/>
      </w:divBdr>
    </w:div>
    <w:div w:id="13810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55" Type="http://schemas.openxmlformats.org/officeDocument/2006/relationships/footer" Target="footer23.xml"/><Relationship Id="rId63" Type="http://schemas.openxmlformats.org/officeDocument/2006/relationships/footer" Target="footer27.xml"/><Relationship Id="rId68" Type="http://schemas.openxmlformats.org/officeDocument/2006/relationships/footer" Target="footer3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header" Target="header26.xml"/><Relationship Id="rId66"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footer" Target="footer29.xml"/><Relationship Id="rId20" Type="http://schemas.openxmlformats.org/officeDocument/2006/relationships/footer" Target="footer6.xml"/><Relationship Id="rId41" Type="http://schemas.openxmlformats.org/officeDocument/2006/relationships/header" Target="head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A5A34-46BF-4464-A075-78B1686F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3375</Words>
  <Characters>21517</Characters>
  <Application>Microsoft Office Word</Application>
  <DocSecurity>0</DocSecurity>
  <Lines>179</Lines>
  <Paragraphs>49</Paragraphs>
  <ScaleCrop>false</ScaleCrop>
  <HeadingPairs>
    <vt:vector size="2" baseType="variant">
      <vt:variant>
        <vt:lpstr>Title</vt:lpstr>
      </vt:variant>
      <vt:variant>
        <vt:i4>1</vt:i4>
      </vt:variant>
    </vt:vector>
  </HeadingPairs>
  <TitlesOfParts>
    <vt:vector size="1" baseType="lpstr">
      <vt:lpstr>CONNECTICUT STATE UNIVERSITY</vt:lpstr>
    </vt:vector>
  </TitlesOfParts>
  <Company>State of Connecticut</Company>
  <LinksUpToDate>false</LinksUpToDate>
  <CharactersWithSpaces>24843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CONNECTICUT STATE UNIVERSITY</dc:title>
  <dc:subject/>
  <dc:creator>Linda Lach</dc:creator>
  <cp:keywords/>
  <cp:lastModifiedBy>Kerry Kelley</cp:lastModifiedBy>
  <cp:revision>15</cp:revision>
  <cp:lastPrinted>2013-01-21T18:54:00Z</cp:lastPrinted>
  <dcterms:created xsi:type="dcterms:W3CDTF">2013-01-21T16:30:00Z</dcterms:created>
  <dcterms:modified xsi:type="dcterms:W3CDTF">2013-01-25T13:43:00Z</dcterms:modified>
</cp:coreProperties>
</file>