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26" w:rsidRDefault="00BA3D26">
      <w:pPr>
        <w:spacing w:after="200" w:line="276" w:lineRule="auto"/>
        <w:jc w:val="left"/>
      </w:pPr>
    </w:p>
    <w:p w:rsidR="00BA3D26" w:rsidRPr="00FA6A7A" w:rsidRDefault="00BA3D26" w:rsidP="00BA3D26">
      <w:pPr>
        <w:pStyle w:val="H1"/>
      </w:pPr>
      <w:r w:rsidRPr="00C0765B">
        <w:t>Agricultural Experiment Station</w:t>
      </w:r>
    </w:p>
    <w:p w:rsidR="00BA3D26" w:rsidRPr="009F42EA" w:rsidRDefault="00BA3D26" w:rsidP="00D037AF">
      <w:pPr>
        <w:pStyle w:val="H2"/>
        <w:jc w:val="left"/>
        <w:sectPr w:rsidR="00BA3D26" w:rsidRPr="009F42EA" w:rsidSect="008E6787">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r w:rsidRPr="009F42EA">
        <w:t xml:space="preserve">Agency Description </w:t>
      </w:r>
      <w:r w:rsidR="00CD2BA1" w:rsidRPr="009F42EA">
        <w:fldChar w:fldCharType="begin"/>
      </w:r>
      <w:r w:rsidRPr="009F42EA">
        <w:instrText xml:space="preserve"> XE "Agriculture Experiment Station” </w:instrText>
      </w:r>
      <w:r w:rsidR="00CD2BA1" w:rsidRPr="009F42EA">
        <w:fldChar w:fldCharType="end"/>
      </w:r>
      <w:r w:rsidRPr="009F42EA">
        <w:tab/>
        <w:t xml:space="preserve"> </w:t>
      </w:r>
    </w:p>
    <w:p w:rsidR="00BA3D26" w:rsidRDefault="00BA3D26" w:rsidP="00BA3D26">
      <w:r>
        <w:lastRenderedPageBreak/>
        <w:t>The Connecticut Agri</w:t>
      </w:r>
      <w:r w:rsidR="00830A7E">
        <w:t xml:space="preserve">cultural Experiment Station, </w:t>
      </w:r>
      <w:r>
        <w:t>chartered in 1875,</w:t>
      </w:r>
      <w:r w:rsidR="00830A7E">
        <w:t xml:space="preserve"> is</w:t>
      </w:r>
      <w:r>
        <w:t xml:space="preserve"> the first state agricultural experiment station in America.  It began by doing chemical analyses to protect consumers.  In</w:t>
      </w:r>
      <w:r w:rsidR="00830A7E">
        <w:t xml:space="preserve"> more than</w:t>
      </w:r>
      <w:r>
        <w:t xml:space="preserve"> the century that followed, the needs of Connecticut and the opportunities of science caused the </w:t>
      </w:r>
      <w:r w:rsidR="001E01E1">
        <w:t>s</w:t>
      </w:r>
      <w:r>
        <w:t xml:space="preserve">tation to take up investigations of insects, ticks, crops and forests, plant </w:t>
      </w:r>
      <w:r w:rsidR="00830A7E">
        <w:t>diseases and breeding, and soil</w:t>
      </w:r>
      <w:r>
        <w:t xml:space="preserve"> and water. </w:t>
      </w:r>
    </w:p>
    <w:p w:rsidR="00BA3D26" w:rsidRDefault="00BA3D26" w:rsidP="00BA3D26">
      <w:r>
        <w:t xml:space="preserve">A corps of scientists investigates subjects that hold promise for benefiting </w:t>
      </w:r>
      <w:smartTag w:uri="urn:schemas-microsoft-com:office:smarttags" w:element="State">
        <w:smartTag w:uri="urn:schemas-microsoft-com:office:smarttags" w:element="place">
          <w:r>
            <w:t>Connecticut</w:t>
          </w:r>
        </w:smartTag>
      </w:smartTag>
      <w:r>
        <w:t xml:space="preserve"> and enlarging the scientific knowledge base.  Studies in the areas of analytical chemistry, biochemistry and genetics, entomology, plant path</w:t>
      </w:r>
      <w:r w:rsidR="00830A7E">
        <w:t>ology and ecology, environmental sciences</w:t>
      </w:r>
      <w:r>
        <w:t>, and forestry and horticulture are carried out in six departments.</w:t>
      </w:r>
    </w:p>
    <w:p w:rsidR="00BA3D26" w:rsidRDefault="00BA3D26" w:rsidP="00BA3D26">
      <w:r>
        <w:t xml:space="preserve">The </w:t>
      </w:r>
      <w:r w:rsidR="004F7423">
        <w:t xml:space="preserve">Experiment </w:t>
      </w:r>
      <w:r>
        <w:t xml:space="preserve">Station publishes </w:t>
      </w:r>
      <w:r>
        <w:rPr>
          <w:i/>
        </w:rPr>
        <w:t>Frontiers of Plant Science</w:t>
      </w:r>
      <w:r w:rsidR="00830A7E">
        <w:rPr>
          <w:i/>
        </w:rPr>
        <w:t xml:space="preserve">, </w:t>
      </w:r>
      <w:r w:rsidR="00830A7E" w:rsidRPr="00830A7E">
        <w:t>fact sheets</w:t>
      </w:r>
      <w:r w:rsidR="00830A7E">
        <w:rPr>
          <w:i/>
        </w:rPr>
        <w:t>,</w:t>
      </w:r>
      <w:r>
        <w:t xml:space="preserve"> and bulletins to report on investigations.  Reports are also published in scientific journals and are presented in lectures to community and scientific audiences.  Further development of the agency’s website (</w:t>
      </w:r>
      <w:hyperlink r:id="rId11" w:history="1">
        <w:r w:rsidRPr="005A301D">
          <w:rPr>
            <w:rStyle w:val="Hyperlink"/>
          </w:rPr>
          <w:t>www.ct.gov/caes</w:t>
        </w:r>
      </w:hyperlink>
      <w:r>
        <w:t xml:space="preserve">) has improved efforts to transfer </w:t>
      </w:r>
      <w:r>
        <w:lastRenderedPageBreak/>
        <w:t xml:space="preserve">new information to state residents and to encourage more direct public involvement in the agency’s programs. </w:t>
      </w:r>
    </w:p>
    <w:p w:rsidR="00BA3D26" w:rsidRDefault="00BA3D26" w:rsidP="00BA3D26"/>
    <w:tbl>
      <w:tblPr>
        <w:tblW w:w="0" w:type="auto"/>
        <w:tblInd w:w="58" w:type="dxa"/>
        <w:tblBorders>
          <w:top w:val="single" w:sz="4" w:space="0" w:color="999999"/>
          <w:left w:val="single" w:sz="4" w:space="0" w:color="999999"/>
          <w:bottom w:val="single" w:sz="4" w:space="0" w:color="999999"/>
          <w:right w:val="single" w:sz="4" w:space="0" w:color="999999"/>
        </w:tblBorders>
        <w:tblCellMar>
          <w:top w:w="29" w:type="dxa"/>
          <w:left w:w="29" w:type="dxa"/>
          <w:bottom w:w="29" w:type="dxa"/>
          <w:right w:w="29" w:type="dxa"/>
        </w:tblCellMar>
        <w:tblLook w:val="0000"/>
      </w:tblPr>
      <w:tblGrid>
        <w:gridCol w:w="1269"/>
        <w:gridCol w:w="1269"/>
        <w:gridCol w:w="1269"/>
        <w:gridCol w:w="1269"/>
      </w:tblGrid>
      <w:tr w:rsidR="00BA3D26" w:rsidRPr="002F3BFA" w:rsidTr="00830A7E">
        <w:tc>
          <w:tcPr>
            <w:tcW w:w="5076" w:type="dxa"/>
            <w:gridSpan w:val="4"/>
            <w:tcBorders>
              <w:top w:val="single" w:sz="4" w:space="0" w:color="999999"/>
              <w:bottom w:val="single" w:sz="4" w:space="0" w:color="999999"/>
            </w:tcBorders>
            <w:shd w:val="clear" w:color="auto" w:fill="EAF1DD"/>
            <w:vAlign w:val="center"/>
          </w:tcPr>
          <w:p w:rsidR="00BA3D26" w:rsidRPr="009F42EA" w:rsidRDefault="00BA3D26" w:rsidP="00830A7E">
            <w:pPr>
              <w:pStyle w:val="Heading2"/>
              <w:rPr>
                <w:szCs w:val="18"/>
              </w:rPr>
            </w:pPr>
            <w:r>
              <w:br w:type="column"/>
            </w:r>
            <w:r w:rsidRPr="00BB7748">
              <w:rPr>
                <w:rStyle w:val="IntenseEmphasis"/>
              </w:rPr>
              <w:br w:type="column"/>
            </w:r>
            <w:r w:rsidRPr="00BB7748">
              <w:rPr>
                <w:rStyle w:val="IntenseEmphasis"/>
              </w:rPr>
              <w:br w:type="column"/>
            </w:r>
            <w:r>
              <w:rPr>
                <w:rStyle w:val="IntenseEmphasis"/>
              </w:rPr>
              <w:t>Outcome Measure</w:t>
            </w:r>
          </w:p>
        </w:tc>
      </w:tr>
      <w:tr w:rsidR="00BA3D26" w:rsidRPr="002F3BFA" w:rsidTr="00830A7E">
        <w:tc>
          <w:tcPr>
            <w:tcW w:w="5076" w:type="dxa"/>
            <w:gridSpan w:val="4"/>
            <w:tcBorders>
              <w:bottom w:val="single" w:sz="4" w:space="0" w:color="999999"/>
            </w:tcBorders>
          </w:tcPr>
          <w:p w:rsidR="00BA3D26" w:rsidRPr="002F3BFA" w:rsidRDefault="00BA3D26" w:rsidP="00830A7E">
            <w:r w:rsidRPr="002F3BFA">
              <w:t xml:space="preserve">Scientific manuscripts, written by </w:t>
            </w:r>
            <w:r w:rsidR="004F7423">
              <w:t xml:space="preserve">Experiment </w:t>
            </w:r>
            <w:r w:rsidRPr="002F3BFA">
              <w:t xml:space="preserve">Station scientists, report on the discoveries of current research.  Publications increase scientific knowledge, present solutions for people in </w:t>
            </w:r>
            <w:smartTag w:uri="urn:schemas-microsoft-com:office:smarttags" w:element="State">
              <w:smartTag w:uri="urn:schemas-microsoft-com:office:smarttags" w:element="place">
                <w:r w:rsidRPr="002F3BFA">
                  <w:t>Connecticut</w:t>
                </w:r>
              </w:smartTag>
            </w:smartTag>
            <w:r w:rsidRPr="002F3BFA">
              <w:t xml:space="preserve"> and elsewhere, and appear in leading scientific journals that have worldwide distribution.</w:t>
            </w:r>
          </w:p>
        </w:tc>
      </w:tr>
      <w:tr w:rsidR="00BA3D26" w:rsidRPr="00562000" w:rsidTr="00830A7E">
        <w:tc>
          <w:tcPr>
            <w:tcW w:w="5076" w:type="dxa"/>
            <w:gridSpan w:val="4"/>
            <w:tcBorders>
              <w:top w:val="single" w:sz="4" w:space="0" w:color="999999"/>
              <w:bottom w:val="single" w:sz="6" w:space="0" w:color="999999"/>
            </w:tcBorders>
            <w:shd w:val="clear" w:color="auto" w:fill="EAF1DD"/>
          </w:tcPr>
          <w:p w:rsidR="00BA3D26" w:rsidRPr="008A3B6E" w:rsidRDefault="00BA3D26" w:rsidP="00830A7E">
            <w:r w:rsidRPr="008A3B6E">
              <w:t>Published Manuscripts</w:t>
            </w:r>
          </w:p>
        </w:tc>
      </w:tr>
      <w:tr w:rsidR="00BA3D26" w:rsidRPr="002F3BFA" w:rsidTr="00830A7E">
        <w:trPr>
          <w:trHeight w:hRule="exact" w:val="259"/>
        </w:trPr>
        <w:tc>
          <w:tcPr>
            <w:tcW w:w="1269" w:type="dxa"/>
            <w:tcBorders>
              <w:top w:val="single" w:sz="6" w:space="0" w:color="999999"/>
              <w:bottom w:val="single" w:sz="6" w:space="0" w:color="999999"/>
              <w:right w:val="single" w:sz="6" w:space="0" w:color="999999"/>
            </w:tcBorders>
            <w:shd w:val="clear" w:color="auto" w:fill="auto"/>
            <w:vAlign w:val="center"/>
          </w:tcPr>
          <w:p w:rsidR="00BA3D26" w:rsidRPr="002F3BFA" w:rsidRDefault="00BA3D26" w:rsidP="008A293A">
            <w:pPr>
              <w:jc w:val="center"/>
              <w:rPr>
                <w:i/>
                <w:iCs/>
              </w:rPr>
            </w:pPr>
            <w:r w:rsidRPr="002F3BFA">
              <w:t>FY</w:t>
            </w:r>
            <w:r>
              <w:t xml:space="preserve"> </w:t>
            </w:r>
            <w:r w:rsidR="008A293A">
              <w:t>2012</w:t>
            </w:r>
          </w:p>
        </w:tc>
        <w:tc>
          <w:tcPr>
            <w:tcW w:w="1269" w:type="dxa"/>
            <w:tcBorders>
              <w:top w:val="single" w:sz="6" w:space="0" w:color="999999"/>
              <w:left w:val="single" w:sz="6" w:space="0" w:color="999999"/>
              <w:bottom w:val="single" w:sz="6" w:space="0" w:color="999999"/>
              <w:right w:val="single" w:sz="6" w:space="0" w:color="999999"/>
            </w:tcBorders>
            <w:shd w:val="clear" w:color="auto" w:fill="auto"/>
            <w:vAlign w:val="center"/>
          </w:tcPr>
          <w:p w:rsidR="00BA3D26" w:rsidRPr="002F3BFA" w:rsidRDefault="00BA3D26" w:rsidP="008A293A">
            <w:pPr>
              <w:jc w:val="center"/>
              <w:rPr>
                <w:i/>
                <w:iCs/>
              </w:rPr>
            </w:pPr>
            <w:r w:rsidRPr="002F3BFA">
              <w:t>FY</w:t>
            </w:r>
            <w:r>
              <w:t xml:space="preserve"> </w:t>
            </w:r>
            <w:r w:rsidR="008A293A">
              <w:t>2013</w:t>
            </w:r>
          </w:p>
        </w:tc>
        <w:tc>
          <w:tcPr>
            <w:tcW w:w="1269" w:type="dxa"/>
            <w:tcBorders>
              <w:top w:val="single" w:sz="6" w:space="0" w:color="999999"/>
              <w:left w:val="single" w:sz="6" w:space="0" w:color="999999"/>
              <w:bottom w:val="single" w:sz="6" w:space="0" w:color="999999"/>
              <w:right w:val="single" w:sz="6" w:space="0" w:color="999999"/>
            </w:tcBorders>
            <w:shd w:val="clear" w:color="auto" w:fill="auto"/>
            <w:vAlign w:val="center"/>
          </w:tcPr>
          <w:p w:rsidR="00BA3D26" w:rsidRPr="002F3BFA" w:rsidRDefault="00BA3D26" w:rsidP="008A293A">
            <w:pPr>
              <w:jc w:val="center"/>
              <w:rPr>
                <w:i/>
                <w:iCs/>
              </w:rPr>
            </w:pPr>
            <w:r w:rsidRPr="002F3BFA">
              <w:t>FY</w:t>
            </w:r>
            <w:r>
              <w:t xml:space="preserve"> </w:t>
            </w:r>
            <w:r w:rsidRPr="002F3BFA">
              <w:t>20</w:t>
            </w:r>
            <w:r w:rsidR="008A293A">
              <w:t>14</w:t>
            </w:r>
          </w:p>
        </w:tc>
        <w:tc>
          <w:tcPr>
            <w:tcW w:w="1269" w:type="dxa"/>
            <w:tcBorders>
              <w:top w:val="single" w:sz="6" w:space="0" w:color="999999"/>
              <w:left w:val="single" w:sz="6" w:space="0" w:color="999999"/>
              <w:bottom w:val="single" w:sz="6" w:space="0" w:color="999999"/>
            </w:tcBorders>
            <w:shd w:val="clear" w:color="auto" w:fill="auto"/>
            <w:vAlign w:val="center"/>
          </w:tcPr>
          <w:p w:rsidR="00BA3D26" w:rsidRPr="002F3BFA" w:rsidRDefault="00BA3D26" w:rsidP="00830A7E">
            <w:pPr>
              <w:jc w:val="center"/>
              <w:rPr>
                <w:i/>
                <w:iCs/>
              </w:rPr>
            </w:pPr>
            <w:r w:rsidRPr="002F3BFA">
              <w:t>FY</w:t>
            </w:r>
            <w:r>
              <w:t xml:space="preserve"> </w:t>
            </w:r>
            <w:r w:rsidR="008A293A">
              <w:t>2015</w:t>
            </w:r>
          </w:p>
        </w:tc>
      </w:tr>
      <w:tr w:rsidR="00BA3D26" w:rsidRPr="00562000" w:rsidTr="00830A7E">
        <w:trPr>
          <w:trHeight w:val="343"/>
        </w:trPr>
        <w:tc>
          <w:tcPr>
            <w:tcW w:w="1269" w:type="dxa"/>
            <w:tcBorders>
              <w:top w:val="single" w:sz="6" w:space="0" w:color="999999"/>
              <w:bottom w:val="single" w:sz="4" w:space="0" w:color="999999"/>
              <w:right w:val="single" w:sz="6" w:space="0" w:color="999999"/>
            </w:tcBorders>
            <w:vAlign w:val="center"/>
          </w:tcPr>
          <w:p w:rsidR="00BA3D26" w:rsidRPr="00562000" w:rsidRDefault="008A293A" w:rsidP="00830A7E">
            <w:pPr>
              <w:jc w:val="center"/>
            </w:pPr>
            <w:r>
              <w:t>96</w:t>
            </w:r>
          </w:p>
        </w:tc>
        <w:tc>
          <w:tcPr>
            <w:tcW w:w="1269" w:type="dxa"/>
            <w:tcBorders>
              <w:top w:val="single" w:sz="6" w:space="0" w:color="999999"/>
              <w:left w:val="single" w:sz="6" w:space="0" w:color="999999"/>
              <w:bottom w:val="single" w:sz="4" w:space="0" w:color="999999"/>
              <w:right w:val="single" w:sz="6" w:space="0" w:color="999999"/>
            </w:tcBorders>
            <w:vAlign w:val="center"/>
          </w:tcPr>
          <w:p w:rsidR="00BA3D26" w:rsidRPr="00562000" w:rsidRDefault="008A293A" w:rsidP="00830A7E">
            <w:pPr>
              <w:jc w:val="center"/>
            </w:pPr>
            <w:r>
              <w:t>96</w:t>
            </w:r>
          </w:p>
        </w:tc>
        <w:tc>
          <w:tcPr>
            <w:tcW w:w="1269" w:type="dxa"/>
            <w:tcBorders>
              <w:top w:val="single" w:sz="6" w:space="0" w:color="999999"/>
              <w:left w:val="single" w:sz="6" w:space="0" w:color="999999"/>
              <w:bottom w:val="single" w:sz="4" w:space="0" w:color="999999"/>
              <w:right w:val="single" w:sz="6" w:space="0" w:color="999999"/>
            </w:tcBorders>
            <w:vAlign w:val="center"/>
          </w:tcPr>
          <w:p w:rsidR="00BA3D26" w:rsidRPr="00562000" w:rsidRDefault="008A293A" w:rsidP="00830A7E">
            <w:pPr>
              <w:jc w:val="center"/>
            </w:pPr>
            <w:r>
              <w:t>96</w:t>
            </w:r>
          </w:p>
        </w:tc>
        <w:tc>
          <w:tcPr>
            <w:tcW w:w="1269" w:type="dxa"/>
            <w:tcBorders>
              <w:top w:val="single" w:sz="6" w:space="0" w:color="999999"/>
              <w:left w:val="single" w:sz="6" w:space="0" w:color="999999"/>
              <w:bottom w:val="single" w:sz="4" w:space="0" w:color="999999"/>
            </w:tcBorders>
            <w:vAlign w:val="center"/>
          </w:tcPr>
          <w:p w:rsidR="00BA3D26" w:rsidRPr="00562000" w:rsidRDefault="008A293A" w:rsidP="00830A7E">
            <w:pPr>
              <w:jc w:val="center"/>
            </w:pPr>
            <w:r>
              <w:t>96</w:t>
            </w:r>
          </w:p>
        </w:tc>
      </w:tr>
    </w:tbl>
    <w:p w:rsidR="00BA3D26" w:rsidRPr="001E0150" w:rsidRDefault="00BA3D26" w:rsidP="00BA3D26"/>
    <w:p w:rsidR="00BA3D26" w:rsidRDefault="00BA3D26" w:rsidP="00BA3D26">
      <w:pPr>
        <w:sectPr w:rsidR="00BA3D26">
          <w:headerReference w:type="default" r:id="rId12"/>
          <w:footerReference w:type="default" r:id="rId13"/>
          <w:type w:val="continuous"/>
          <w:pgSz w:w="12240" w:h="15840" w:code="1"/>
          <w:pgMar w:top="864" w:right="720" w:bottom="1152" w:left="720" w:header="432" w:footer="288" w:gutter="216"/>
          <w:cols w:num="2" w:space="432"/>
        </w:sectPr>
      </w:pPr>
    </w:p>
    <w:p w:rsidR="00514193" w:rsidRDefault="00514193" w:rsidP="00514193"/>
    <w:p w:rsidR="004B6C11" w:rsidRDefault="004B6C11" w:rsidP="004B6C11"/>
    <w:p w:rsidR="00BA3D26" w:rsidRDefault="00CD2BA1" w:rsidP="008D3BBA">
      <w:pPr>
        <w:pStyle w:val="ProgramHead"/>
        <w:spacing w:before="0"/>
        <w:sectPr w:rsidR="00BA3D26">
          <w:headerReference w:type="default" r:id="rId14"/>
          <w:footerReference w:type="default" r:id="rId15"/>
          <w:type w:val="continuous"/>
          <w:pgSz w:w="12240" w:h="15840" w:code="1"/>
          <w:pgMar w:top="864" w:right="720" w:bottom="1152" w:left="720" w:header="432" w:footer="288" w:gutter="216"/>
          <w:cols w:space="432"/>
        </w:sectPr>
      </w:pPr>
      <w:r>
        <w:fldChar w:fldCharType="begin"/>
      </w:r>
      <w:r w:rsidR="00BA3D26">
        <w:instrText xml:space="preserve"> XE "AES48000 42001" </w:instrText>
      </w:r>
      <w:r>
        <w:fldChar w:fldCharType="end"/>
      </w:r>
      <w:r w:rsidR="00BA3D26">
        <w:t xml:space="preserve">Experiments with Insects of Man </w:t>
      </w:r>
    </w:p>
    <w:p w:rsidR="00BA3D26" w:rsidRPr="00BE0756" w:rsidRDefault="00BA3D26" w:rsidP="00BA3D26">
      <w:pPr>
        <w:pStyle w:val="Heading2"/>
      </w:pPr>
      <w:r w:rsidRPr="00BE0756">
        <w:lastRenderedPageBreak/>
        <w:t xml:space="preserve">Statutory Reference </w:t>
      </w:r>
    </w:p>
    <w:p w:rsidR="00BA3D26" w:rsidRDefault="00BA3D26" w:rsidP="00BA3D26">
      <w:proofErr w:type="gramStart"/>
      <w:r>
        <w:t>C.G.S. Section 22-81 and 22-81a</w:t>
      </w:r>
      <w:r w:rsidR="008D3BBA">
        <w:t>.</w:t>
      </w:r>
      <w:proofErr w:type="gramEnd"/>
      <w:r>
        <w:t xml:space="preserve"> </w:t>
      </w:r>
    </w:p>
    <w:p w:rsidR="00BA3D26" w:rsidRDefault="00BA3D26" w:rsidP="00BA3D26">
      <w:pPr>
        <w:pStyle w:val="Heading2"/>
      </w:pPr>
      <w:r>
        <w:t xml:space="preserve">Statement of Need and Program Objectives </w:t>
      </w:r>
    </w:p>
    <w:p w:rsidR="00BA3D26" w:rsidRDefault="00BA3D26" w:rsidP="00BA3D26">
      <w:r>
        <w:t xml:space="preserve">To </w:t>
      </w:r>
      <w:r w:rsidR="008A293A">
        <w:t>investigate mosquitoes</w:t>
      </w:r>
      <w:r>
        <w:t xml:space="preserve"> and ticks </w:t>
      </w:r>
      <w:proofErr w:type="gramStart"/>
      <w:r>
        <w:t>that transmit</w:t>
      </w:r>
      <w:proofErr w:type="gramEnd"/>
      <w:r>
        <w:t xml:space="preserve"> disease agents to people and animals.  </w:t>
      </w:r>
      <w:proofErr w:type="gramStart"/>
      <w:r>
        <w:t xml:space="preserve">To devise methods of </w:t>
      </w:r>
      <w:r w:rsidR="008A293A">
        <w:t>monitoring</w:t>
      </w:r>
      <w:r>
        <w:t xml:space="preserve"> and reducing these infections.</w:t>
      </w:r>
      <w:proofErr w:type="gramEnd"/>
      <w:r>
        <w:t xml:space="preserve"> </w:t>
      </w:r>
    </w:p>
    <w:p w:rsidR="00BA3D26" w:rsidRDefault="00BA3D26" w:rsidP="00BA3D26">
      <w:pPr>
        <w:pStyle w:val="Heading2"/>
      </w:pPr>
      <w:r>
        <w:t>Program Description</w:t>
      </w:r>
    </w:p>
    <w:p w:rsidR="00BA3D26" w:rsidRDefault="004F7423" w:rsidP="00BA3D26">
      <w:r>
        <w:t xml:space="preserve">Experiment </w:t>
      </w:r>
      <w:r w:rsidR="008A293A">
        <w:t>Station scientists study mosquitoes</w:t>
      </w:r>
      <w:r w:rsidR="00BA3D26">
        <w:t xml:space="preserve"> and ticks that transmit disease organisms to develop an understanding of their habits and devise methods of control.  Pathogens are cultured from </w:t>
      </w:r>
      <w:r w:rsidR="00BA3D26">
        <w:lastRenderedPageBreak/>
        <w:t xml:space="preserve">insects and their hosts and are used to develop and improve blood tests for humans and domestic and wild animals.  Scientists often initiate experiments in response to a public or government inquiry.  Results of experiments are reported orally or in written form to the general public. </w:t>
      </w:r>
    </w:p>
    <w:p w:rsidR="00BA3D26" w:rsidRDefault="00BA3D26" w:rsidP="00BA3D26">
      <w:r>
        <w:rPr>
          <w:bCs/>
          <w:iCs/>
        </w:rPr>
        <w:t>B</w:t>
      </w:r>
      <w:r>
        <w:t xml:space="preserve">lood tests developed at the </w:t>
      </w:r>
      <w:r w:rsidR="004F7423">
        <w:t xml:space="preserve">Experiment </w:t>
      </w:r>
      <w:r>
        <w:t xml:space="preserve">Station detected antibodies </w:t>
      </w:r>
      <w:proofErr w:type="gramStart"/>
      <w:r>
        <w:t>to</w:t>
      </w:r>
      <w:proofErr w:type="gramEnd"/>
      <w:r>
        <w:t xml:space="preserve"> Lyme disease spirochetes or West Nile Virus in samples from humans, dogs, horses and wild mammals.  Staff members teach others to perform these tests and provide reagents for analyses.  The staff also identifies and tests ticks taken off humans for the disease organism that causes Lyme disease. </w:t>
      </w:r>
    </w:p>
    <w:p w:rsidR="00BA3D26" w:rsidRDefault="00BA3D26" w:rsidP="00BA3D26">
      <w:pPr>
        <w:sectPr w:rsidR="00BA3D26">
          <w:type w:val="continuous"/>
          <w:pgSz w:w="12240" w:h="15840" w:code="1"/>
          <w:pgMar w:top="864" w:right="720" w:bottom="1152" w:left="720" w:header="432" w:footer="288" w:gutter="216"/>
          <w:cols w:num="2" w:space="432"/>
        </w:sectPr>
      </w:pPr>
    </w:p>
    <w:p w:rsidR="00BA3D26" w:rsidRDefault="00BA3D26" w:rsidP="00BA3D26"/>
    <w:p w:rsidR="00BA3D26" w:rsidRDefault="00CD2BA1" w:rsidP="008D3BBA">
      <w:pPr>
        <w:pStyle w:val="ProgramHead"/>
        <w:spacing w:before="0"/>
      </w:pPr>
      <w:r>
        <w:fldChar w:fldCharType="begin"/>
      </w:r>
      <w:r w:rsidR="00BA3D26">
        <w:instrText xml:space="preserve"> XE "AES48000 65001" </w:instrText>
      </w:r>
      <w:r>
        <w:fldChar w:fldCharType="end"/>
      </w:r>
      <w:r w:rsidR="00BA3D26">
        <w:t xml:space="preserve">Experiments to Protect Natural Resources </w:t>
      </w:r>
    </w:p>
    <w:p w:rsidR="00BA3D26" w:rsidRDefault="00BA3D26" w:rsidP="00BA3D26">
      <w:pPr>
        <w:pStyle w:val="ProgramHead"/>
        <w:sectPr w:rsidR="00BA3D26">
          <w:headerReference w:type="default" r:id="rId16"/>
          <w:footerReference w:type="default" r:id="rId17"/>
          <w:type w:val="continuous"/>
          <w:pgSz w:w="12240" w:h="15840" w:code="1"/>
          <w:pgMar w:top="864" w:right="720" w:bottom="1152" w:left="720" w:header="432" w:footer="288" w:gutter="216"/>
          <w:cols w:space="432"/>
        </w:sectPr>
      </w:pPr>
    </w:p>
    <w:p w:rsidR="00BA3D26" w:rsidRDefault="00BA3D26" w:rsidP="00BA3D26">
      <w:pPr>
        <w:pStyle w:val="Heading2"/>
      </w:pPr>
      <w:r>
        <w:lastRenderedPageBreak/>
        <w:t xml:space="preserve">Statutory Reference  </w:t>
      </w:r>
    </w:p>
    <w:p w:rsidR="00BA3D26" w:rsidRDefault="00BA3D26" w:rsidP="00BA3D26">
      <w:r>
        <w:t>C.G.S. Section 22-81</w:t>
      </w:r>
      <w:r w:rsidR="008D3BBA">
        <w:t>.</w:t>
      </w:r>
      <w:r>
        <w:t xml:space="preserve"> </w:t>
      </w:r>
    </w:p>
    <w:p w:rsidR="00BA3D26" w:rsidRDefault="00BA3D26" w:rsidP="00BA3D26">
      <w:pPr>
        <w:pStyle w:val="Heading2"/>
      </w:pPr>
      <w:r>
        <w:t xml:space="preserve">Statement of Need and Program Objectives </w:t>
      </w:r>
    </w:p>
    <w:p w:rsidR="00BA3D26" w:rsidRDefault="00BA3D26" w:rsidP="00BA3D26">
      <w:r>
        <w:t xml:space="preserve">To discover methods of removing toxic chemicals in soil and water that may affect the well-being of plants, domesticated animals and humans.  </w:t>
      </w:r>
      <w:proofErr w:type="gramStart"/>
      <w:r>
        <w:t>To devise ways to control pests using fewer pesticides.</w:t>
      </w:r>
      <w:proofErr w:type="gramEnd"/>
      <w:r>
        <w:t xml:space="preserve">  </w:t>
      </w:r>
      <w:proofErr w:type="gramStart"/>
      <w:r>
        <w:t>To develop economical management of forests through scientific experiments.</w:t>
      </w:r>
      <w:proofErr w:type="gramEnd"/>
    </w:p>
    <w:p w:rsidR="00BA3D26" w:rsidRDefault="00BA3D26" w:rsidP="00BA3D26">
      <w:pPr>
        <w:pStyle w:val="Heading2"/>
      </w:pPr>
      <w:r>
        <w:t xml:space="preserve">Program Description </w:t>
      </w:r>
    </w:p>
    <w:p w:rsidR="00BA3D26" w:rsidRDefault="004F7423" w:rsidP="00BA3D26">
      <w:r>
        <w:t xml:space="preserve">Experiment </w:t>
      </w:r>
      <w:r w:rsidR="00BA3D26">
        <w:t xml:space="preserve">Station scientists develop integrated pest management methods that use fewer pesticides and are economical and acceptable to control pests such as turf insect pests, hemlock woolly </w:t>
      </w:r>
      <w:proofErr w:type="spellStart"/>
      <w:r w:rsidR="00BA3D26">
        <w:t>adelgid</w:t>
      </w:r>
      <w:proofErr w:type="spellEnd"/>
      <w:r w:rsidR="00BA3D26">
        <w:t xml:space="preserve">, and plant parasitic nematodes.  This requires an understanding of the life cycle of the pests and their diseases and predators.  Scientists pursue methods that include the introduction </w:t>
      </w:r>
      <w:r w:rsidR="00BA3D26">
        <w:lastRenderedPageBreak/>
        <w:t>of microbes, parasites and predators from other countries and the discovery and use of established biological controls.</w:t>
      </w:r>
    </w:p>
    <w:p w:rsidR="00BA3D26" w:rsidRDefault="00BA3D26" w:rsidP="00BA3D26">
      <w:r>
        <w:t xml:space="preserve">Research focuses on finding alternative controls for parasitic nematodes, insects, and plant pathogens that occur in the soil.  More than half the </w:t>
      </w:r>
      <w:proofErr w:type="gramStart"/>
      <w:r>
        <w:t>quantity of hazardous pesticides are</w:t>
      </w:r>
      <w:proofErr w:type="gramEnd"/>
      <w:r>
        <w:t xml:space="preserve"> applied to control pests in the soil.</w:t>
      </w:r>
    </w:p>
    <w:p w:rsidR="00BA3D26" w:rsidRDefault="00BA3D26" w:rsidP="00BA3D26">
      <w:r>
        <w:t>Scientists are studying the persistence of toxic pollutants in soil and water and are developing new chemical methods to destroy toxic chemicals or convert them to environmentally safe by-products.</w:t>
      </w:r>
    </w:p>
    <w:p w:rsidR="00BA3D26" w:rsidRDefault="00BA3D26" w:rsidP="00BA3D26">
      <w:r>
        <w:t>The general health of the environment is measured by observing forest and soil tracts established in 1927 and 1959 and located in six different geographical areas of the state.  The impact of pollutants, deer browsing, invasive plants, insect pests, and plant pathogens is assessed and put in perspective by periodic examinations of these benchmark tracts.</w:t>
      </w:r>
    </w:p>
    <w:p w:rsidR="00BA3D26" w:rsidRDefault="00BA3D26" w:rsidP="00BA3D26">
      <w:r>
        <w:lastRenderedPageBreak/>
        <w:t xml:space="preserve">Research continues on the identification and control of invasive </w:t>
      </w:r>
      <w:r>
        <w:lastRenderedPageBreak/>
        <w:t>plants in lakes and ponds.</w:t>
      </w:r>
    </w:p>
    <w:p w:rsidR="00BA3D26" w:rsidRDefault="00BA3D26" w:rsidP="00BA3D26">
      <w:pPr>
        <w:sectPr w:rsidR="00BA3D26">
          <w:headerReference w:type="default" r:id="rId18"/>
          <w:footerReference w:type="default" r:id="rId19"/>
          <w:type w:val="continuous"/>
          <w:pgSz w:w="12240" w:h="15840" w:code="1"/>
          <w:pgMar w:top="864" w:right="720" w:bottom="1152" w:left="720" w:header="432" w:footer="288" w:gutter="216"/>
          <w:cols w:num="2" w:space="432"/>
        </w:sectPr>
      </w:pPr>
    </w:p>
    <w:p w:rsidR="00BA3D26" w:rsidRDefault="00BA3D26" w:rsidP="00BA3D26"/>
    <w:p w:rsidR="00BA3D26" w:rsidRPr="00482326" w:rsidRDefault="00CD2BA1" w:rsidP="00BA3D26">
      <w:pPr>
        <w:pStyle w:val="ProgramHead"/>
      </w:pPr>
      <w:r w:rsidRPr="00482326">
        <w:fldChar w:fldCharType="begin"/>
      </w:r>
      <w:r w:rsidR="00BA3D26" w:rsidRPr="00482326">
        <w:instrText xml:space="preserve"> XE "AES48000 65002" </w:instrText>
      </w:r>
      <w:r w:rsidRPr="00482326">
        <w:fldChar w:fldCharType="end"/>
      </w:r>
      <w:r w:rsidR="00BA3D26" w:rsidRPr="00482326">
        <w:t xml:space="preserve">Experiments to Assure Food </w:t>
      </w:r>
    </w:p>
    <w:p w:rsidR="00BA3D26" w:rsidRPr="00482326" w:rsidRDefault="00BA3D26" w:rsidP="00BA3D26">
      <w:pPr>
        <w:pStyle w:val="ProgramHead"/>
        <w:sectPr w:rsidR="00BA3D26" w:rsidRPr="00482326">
          <w:type w:val="continuous"/>
          <w:pgSz w:w="12240" w:h="15840" w:code="1"/>
          <w:pgMar w:top="864" w:right="720" w:bottom="1152" w:left="720" w:header="432" w:footer="288" w:gutter="216"/>
          <w:cols w:space="432"/>
        </w:sectPr>
      </w:pPr>
    </w:p>
    <w:p w:rsidR="00BA3D26" w:rsidRDefault="00BA3D26" w:rsidP="00BA3D26">
      <w:pPr>
        <w:pStyle w:val="Heading2"/>
      </w:pPr>
      <w:r>
        <w:lastRenderedPageBreak/>
        <w:t xml:space="preserve">Statutory Reference  </w:t>
      </w:r>
    </w:p>
    <w:p w:rsidR="00BA3D26" w:rsidRDefault="00BA3D26" w:rsidP="00BA3D26">
      <w:r>
        <w:t>C.G.S. Section 22-81</w:t>
      </w:r>
      <w:r w:rsidR="008D3BBA">
        <w:t>.</w:t>
      </w:r>
      <w:r>
        <w:t xml:space="preserve">  </w:t>
      </w:r>
    </w:p>
    <w:p w:rsidR="00BA3D26" w:rsidRDefault="00BA3D26" w:rsidP="00BA3D26">
      <w:pPr>
        <w:pStyle w:val="Heading2"/>
      </w:pPr>
      <w:r>
        <w:t xml:space="preserve">Statement of Need and Program Objectives </w:t>
      </w:r>
    </w:p>
    <w:p w:rsidR="00BA3D26" w:rsidRDefault="00BA3D26" w:rsidP="00BA3D26">
      <w:r>
        <w:t xml:space="preserve">To ensure ample and economical food supply through scientific investigations designed to increase yields.  </w:t>
      </w:r>
    </w:p>
    <w:p w:rsidR="00BA3D26" w:rsidRDefault="00BA3D26" w:rsidP="00BA3D26">
      <w:r>
        <w:t xml:space="preserve">To preserve agricultural uses of land in </w:t>
      </w:r>
      <w:smartTag w:uri="urn:schemas-microsoft-com:office:smarttags" w:element="place">
        <w:smartTag w:uri="urn:schemas-microsoft-com:office:smarttags" w:element="State">
          <w:r>
            <w:t>Connecticut</w:t>
          </w:r>
        </w:smartTag>
      </w:smartTag>
      <w:r>
        <w:t xml:space="preserve"> by introducing successful crops and controlling pests </w:t>
      </w:r>
      <w:proofErr w:type="gramStart"/>
      <w:r>
        <w:t>that destroy</w:t>
      </w:r>
      <w:proofErr w:type="gramEnd"/>
      <w:r>
        <w:t xml:space="preserve"> crops.</w:t>
      </w:r>
    </w:p>
    <w:p w:rsidR="00BA3D26" w:rsidRDefault="00BA3D26" w:rsidP="00BA3D26">
      <w:pPr>
        <w:pStyle w:val="Heading2"/>
      </w:pPr>
      <w:r>
        <w:t>Program Description</w:t>
      </w:r>
    </w:p>
    <w:p w:rsidR="00BA3D26" w:rsidRDefault="00BA3D26" w:rsidP="00BA3D26">
      <w:r>
        <w:t>By applying integrated pest management methods in orchards and fields, scientists seek cheaper and safer ways to discourage the feeding of insects.  Plant pathologists forecast plant disease epidemics, such as blue mold</w:t>
      </w:r>
      <w:r w:rsidR="008A293A">
        <w:t xml:space="preserve"> and boxwood blight</w:t>
      </w:r>
      <w:r>
        <w:t>, and seek biological controls of soil-borne disease organisms to avoid the use of pesticides. Work continues on improving organic farming practices and assisting towns and cities with the development of community gardens.</w:t>
      </w:r>
    </w:p>
    <w:p w:rsidR="00BA3D26" w:rsidRDefault="00BA3D26" w:rsidP="00BA3D26">
      <w:r>
        <w:lastRenderedPageBreak/>
        <w:t>Most crops do not efficiently use the carbon dioxide fixed by photosynthesis and much of it is released from the plant by wasteful respiration during th</w:t>
      </w:r>
      <w:r w:rsidR="008A293A">
        <w:t>e day.  Biochemists are studying</w:t>
      </w:r>
      <w:r>
        <w:t xml:space="preserve"> this wasteful process.  Geneticists are investigating cell culture mutant plants that are more efficient and breeding new cultivars</w:t>
      </w:r>
      <w:r w:rsidR="004F7423">
        <w:t>.</w:t>
      </w:r>
      <w:r>
        <w:t xml:space="preserve"> </w:t>
      </w:r>
      <w:r w:rsidR="004F7423">
        <w:t xml:space="preserve">Utilizing traditional methods of breeding, </w:t>
      </w:r>
      <w:r>
        <w:t xml:space="preserve">they are trying to incorporate efficient genetic traits into food crops, including plants that can be used to produce biodiesel fuel. </w:t>
      </w:r>
    </w:p>
    <w:p w:rsidR="00BA3D26" w:rsidRDefault="00BA3D26" w:rsidP="00BA3D26">
      <w:r>
        <w:t>At its</w:t>
      </w:r>
      <w:r w:rsidR="008A293A">
        <w:t xml:space="preserve"> Griswold Research Center,</w:t>
      </w:r>
      <w:r>
        <w:t xml:space="preserve"> Valley</w:t>
      </w:r>
      <w:r w:rsidR="008A293A">
        <w:t xml:space="preserve"> Laboratory, and Lockwood Farm</w:t>
      </w:r>
      <w:r>
        <w:t>, experiments are being conducted to identify new crops that will benefit local consumers and farmers and preserve agricultural land.</w:t>
      </w:r>
    </w:p>
    <w:p w:rsidR="00BA3D26" w:rsidRDefault="00BA3D26" w:rsidP="00BA3D26">
      <w:r>
        <w:t>Excessive fertilizer used o</w:t>
      </w:r>
      <w:r w:rsidR="008A293A">
        <w:t>n croplands wastes money and can</w:t>
      </w:r>
      <w:r>
        <w:t xml:space="preserve"> contaminate surface and groundwater.  Scientists develop more efficient fertilization methods by applying small amounts during the growing season and by testing different types of compost.  They explore movement of fertilizer </w:t>
      </w:r>
      <w:r w:rsidR="004F7423">
        <w:t>in the environment</w:t>
      </w:r>
      <w:r>
        <w:t xml:space="preserve"> to learn the effects of applying fertilizer and manure.</w:t>
      </w:r>
    </w:p>
    <w:p w:rsidR="00BA3D26" w:rsidRDefault="00BA3D26" w:rsidP="00BA3D26">
      <w:pPr>
        <w:sectPr w:rsidR="00BA3D26">
          <w:type w:val="continuous"/>
          <w:pgSz w:w="12240" w:h="15840" w:code="1"/>
          <w:pgMar w:top="864" w:right="720" w:bottom="1152" w:left="720" w:header="432" w:footer="288" w:gutter="216"/>
          <w:cols w:num="2" w:space="432"/>
        </w:sectPr>
      </w:pPr>
    </w:p>
    <w:p w:rsidR="00BA3D26" w:rsidRDefault="00BA3D26" w:rsidP="00BA3D26"/>
    <w:p w:rsidR="00BA3D26" w:rsidRDefault="00CD2BA1" w:rsidP="00BA3D26">
      <w:pPr>
        <w:pStyle w:val="ProgramHead"/>
        <w:sectPr w:rsidR="00BA3D26">
          <w:type w:val="continuous"/>
          <w:pgSz w:w="12240" w:h="15840" w:code="1"/>
          <w:pgMar w:top="864" w:right="720" w:bottom="1152" w:left="720" w:header="432" w:footer="288" w:gutter="216"/>
          <w:cols w:space="432"/>
        </w:sectPr>
      </w:pPr>
      <w:r>
        <w:fldChar w:fldCharType="begin"/>
      </w:r>
      <w:r w:rsidR="00BA3D26">
        <w:instrText xml:space="preserve"> XE "AES48000 29136" </w:instrText>
      </w:r>
      <w:r>
        <w:fldChar w:fldCharType="end"/>
      </w:r>
      <w:r w:rsidR="00BA3D26">
        <w:t xml:space="preserve">Technical Examination of Consumables </w:t>
      </w:r>
    </w:p>
    <w:p w:rsidR="00BA3D26" w:rsidRDefault="00BA3D26" w:rsidP="00BA3D26">
      <w:pPr>
        <w:pStyle w:val="Heading2"/>
      </w:pPr>
      <w:r>
        <w:lastRenderedPageBreak/>
        <w:t xml:space="preserve">Statutory Reference  </w:t>
      </w:r>
    </w:p>
    <w:p w:rsidR="00BA3D26" w:rsidRDefault="00BA3D26" w:rsidP="00BA3D26">
      <w:r>
        <w:t>C.G.S. Section 22-81</w:t>
      </w:r>
      <w:r w:rsidR="008D3BBA">
        <w:t>.</w:t>
      </w:r>
      <w:r>
        <w:t xml:space="preserve"> </w:t>
      </w:r>
    </w:p>
    <w:p w:rsidR="00BA3D26" w:rsidRDefault="00BA3D26" w:rsidP="00BA3D26">
      <w:pPr>
        <w:pStyle w:val="Heading2"/>
      </w:pPr>
      <w:r>
        <w:t xml:space="preserve">Statement of Need and Program Objectives </w:t>
      </w:r>
    </w:p>
    <w:p w:rsidR="00BA3D26" w:rsidRDefault="00BA3D26" w:rsidP="00BA3D26">
      <w:r>
        <w:t xml:space="preserve">To </w:t>
      </w:r>
      <w:r w:rsidR="008A293A">
        <w:t xml:space="preserve">protect people from </w:t>
      </w:r>
      <w:r>
        <w:t xml:space="preserve">toxic substances in food and water and from deficient food, drugs and agricultural </w:t>
      </w:r>
      <w:r w:rsidR="004F7423">
        <w:t>products</w:t>
      </w:r>
      <w:r>
        <w:t xml:space="preserve"> by means of scientific analyses.</w:t>
      </w:r>
    </w:p>
    <w:p w:rsidR="00BA3D26" w:rsidRDefault="00BA3D26" w:rsidP="00BA3D26">
      <w:pPr>
        <w:pStyle w:val="Heading2"/>
      </w:pPr>
      <w:r>
        <w:t xml:space="preserve">Program Description </w:t>
      </w:r>
    </w:p>
    <w:p w:rsidR="00BA3D26" w:rsidRDefault="004F7423" w:rsidP="00BA3D26">
      <w:r>
        <w:t xml:space="preserve">Experiment </w:t>
      </w:r>
      <w:r w:rsidR="00BA3D26">
        <w:t xml:space="preserve">Station chemists analyze samples collected by state regulatory agencies.  Food, beverages, drugs, cosmetics, and other products are analyzed in cooperation with the Department of </w:t>
      </w:r>
      <w:r w:rsidR="00BA3D26">
        <w:lastRenderedPageBreak/>
        <w:t>Consumer Protection.  Milk, fresh produce, feed, fertilizer and seed are analyzed at the request of the Department of Agriculture.  Pesticides are analyzed in cooperation with the Department of</w:t>
      </w:r>
      <w:r w:rsidR="008A293A">
        <w:t xml:space="preserve"> Energy and</w:t>
      </w:r>
      <w:r w:rsidR="00BA3D26">
        <w:t xml:space="preserve"> Environmental Protection.  Municipalities are assisted as needed.  In addition to reporting the results of analyses to the appropriate regulatory agency, </w:t>
      </w:r>
      <w:r w:rsidR="001E01E1">
        <w:t>s</w:t>
      </w:r>
      <w:r w:rsidR="00BA3D26">
        <w:t>tation bulletins</w:t>
      </w:r>
      <w:r w:rsidR="008C72BD">
        <w:t xml:space="preserve"> and fact sheets inform</w:t>
      </w:r>
      <w:r w:rsidR="00BA3D26">
        <w:t xml:space="preserve"> the public of the results.</w:t>
      </w:r>
    </w:p>
    <w:p w:rsidR="00BA3D26" w:rsidRDefault="004F7423" w:rsidP="00BA3D26">
      <w:r>
        <w:t xml:space="preserve">Experiment </w:t>
      </w:r>
      <w:r w:rsidR="00BA3D26">
        <w:t xml:space="preserve">Station </w:t>
      </w:r>
      <w:r>
        <w:t xml:space="preserve">scientists are </w:t>
      </w:r>
      <w:r w:rsidR="00BA3D26">
        <w:t xml:space="preserve">developing more timely and relevant analyses for traces of a spectrum of pesticides in food.  Staff members also inspect nurseries in order to </w:t>
      </w:r>
      <w:r>
        <w:t>certify</w:t>
      </w:r>
      <w:r w:rsidR="00BA3D26">
        <w:t xml:space="preserve"> shipment</w:t>
      </w:r>
      <w:r>
        <w:t>s</w:t>
      </w:r>
      <w:r w:rsidR="00BA3D26">
        <w:t xml:space="preserve"> of plants and plant products to other states or countries.</w:t>
      </w:r>
    </w:p>
    <w:p w:rsidR="00BA3D26" w:rsidRDefault="00BA3D26" w:rsidP="00BA3D26">
      <w:pPr>
        <w:sectPr w:rsidR="00BA3D26">
          <w:type w:val="continuous"/>
          <w:pgSz w:w="12240" w:h="15840" w:code="1"/>
          <w:pgMar w:top="864" w:right="720" w:bottom="1152" w:left="720" w:header="432" w:footer="288" w:gutter="216"/>
          <w:cols w:num="2" w:space="432"/>
        </w:sectPr>
      </w:pPr>
    </w:p>
    <w:p w:rsidR="00BA3D26" w:rsidRDefault="00BA3D26" w:rsidP="00BA3D26"/>
    <w:p w:rsidR="00BA3D26" w:rsidRDefault="00CD2BA1" w:rsidP="00BA3D26">
      <w:pPr>
        <w:pStyle w:val="ProgramHead"/>
      </w:pPr>
      <w:r>
        <w:fldChar w:fldCharType="begin"/>
      </w:r>
      <w:r w:rsidR="00BA3D26">
        <w:instrText xml:space="preserve"> XE "AES48000 14000" </w:instrText>
      </w:r>
      <w:r>
        <w:fldChar w:fldCharType="end"/>
      </w:r>
      <w:r w:rsidR="00BA3D26">
        <w:t xml:space="preserve">Management and Support Services </w:t>
      </w:r>
    </w:p>
    <w:p w:rsidR="00BA3D26" w:rsidRDefault="00BA3D26" w:rsidP="00BA3D26">
      <w:pPr>
        <w:pStyle w:val="ProgramHead"/>
        <w:sectPr w:rsidR="00BA3D26">
          <w:headerReference w:type="default" r:id="rId20"/>
          <w:footerReference w:type="default" r:id="rId21"/>
          <w:type w:val="continuous"/>
          <w:pgSz w:w="12240" w:h="15840" w:code="1"/>
          <w:pgMar w:top="864" w:right="720" w:bottom="1152" w:left="720" w:header="432" w:footer="288" w:gutter="216"/>
          <w:cols w:space="720"/>
        </w:sectPr>
      </w:pPr>
    </w:p>
    <w:p w:rsidR="00BA3D26" w:rsidRDefault="00BA3D26" w:rsidP="00BA3D26">
      <w:pPr>
        <w:pStyle w:val="Heading2"/>
      </w:pPr>
      <w:r>
        <w:lastRenderedPageBreak/>
        <w:t xml:space="preserve">Statutory Reference  </w:t>
      </w:r>
    </w:p>
    <w:p w:rsidR="00BA3D26" w:rsidRDefault="00BA3D26" w:rsidP="00BA3D26">
      <w:r>
        <w:t>C.G.S. Section 22-79</w:t>
      </w:r>
      <w:r w:rsidR="008D3BBA">
        <w:t>.</w:t>
      </w:r>
      <w:r>
        <w:t xml:space="preserve"> </w:t>
      </w:r>
    </w:p>
    <w:p w:rsidR="00BA3D26" w:rsidRDefault="00BA3D26" w:rsidP="00BA3D26">
      <w:pPr>
        <w:pStyle w:val="Heading2"/>
      </w:pPr>
      <w:r>
        <w:t>Statement of Need and Program Objectives</w:t>
      </w:r>
    </w:p>
    <w:p w:rsidR="00BA3D26" w:rsidRDefault="00BA3D26" w:rsidP="00BA3D26">
      <w:r>
        <w:t xml:space="preserve">To ensure that the scientific work of the </w:t>
      </w:r>
      <w:r w:rsidR="00B7581A">
        <w:t xml:space="preserve">Experiment </w:t>
      </w:r>
      <w:r>
        <w:t>Station is maintained through the efficient operation of the laboratories and farms.  To ensure that citizens are well served by having queries answered promptly, accurately and professionally.</w:t>
      </w:r>
    </w:p>
    <w:p w:rsidR="00BA3D26" w:rsidRDefault="00BA3D26" w:rsidP="00BA3D26">
      <w:pPr>
        <w:pStyle w:val="Heading2"/>
      </w:pPr>
      <w:r>
        <w:lastRenderedPageBreak/>
        <w:t>Program Description</w:t>
      </w:r>
    </w:p>
    <w:p w:rsidR="00BA3D26" w:rsidRDefault="00BA3D26" w:rsidP="00BA3D26">
      <w:r>
        <w:t xml:space="preserve">This program supports the scientific work of the </w:t>
      </w:r>
      <w:r w:rsidR="00B7581A">
        <w:t xml:space="preserve">Experiment </w:t>
      </w:r>
      <w:bookmarkStart w:id="0" w:name="_GoBack"/>
      <w:bookmarkEnd w:id="0"/>
      <w:r>
        <w:t xml:space="preserve">Station in areas such as payroll, personnel administration, purchasing of supplies and equipment, accounting and budgeting. </w:t>
      </w:r>
    </w:p>
    <w:p w:rsidR="00BA3D26" w:rsidRDefault="00BA3D26" w:rsidP="00BA3D26">
      <w:r>
        <w:t xml:space="preserve">The maintenance staff renovates, operates and maintains the laboratories, greenhouses, and other properties in New Haven; Lockwood Farm in Mt. Carmel; the farm, laboratory and greenhouses at the Valley Laboratory in Windsor; and the research center in Griswold.  Clean, well-kept and well-equipped laboratories and farms contribute to scientific productivity and safety of </w:t>
      </w:r>
      <w:r w:rsidR="004F7423">
        <w:t xml:space="preserve">Experiment </w:t>
      </w:r>
      <w:r>
        <w:t xml:space="preserve">Station employees and state residents who visit these facilities. </w:t>
      </w:r>
    </w:p>
    <w:p w:rsidR="00BA3D26" w:rsidRDefault="00BA3D26" w:rsidP="00BA3D26">
      <w:pPr>
        <w:sectPr w:rsidR="00BA3D26">
          <w:type w:val="continuous"/>
          <w:pgSz w:w="12240" w:h="15840" w:code="1"/>
          <w:pgMar w:top="864" w:right="720" w:bottom="1152" w:left="720" w:header="432" w:footer="288" w:gutter="216"/>
          <w:cols w:num="2" w:space="432"/>
        </w:sectPr>
      </w:pPr>
    </w:p>
    <w:p w:rsidR="00BA3D26" w:rsidRDefault="00BA3D26" w:rsidP="00BA3D26"/>
    <w:p w:rsidR="00A34DBE" w:rsidRDefault="00A34DBE"/>
    <w:sectPr w:rsidR="00A34DBE" w:rsidSect="00830A7E">
      <w:type w:val="continuous"/>
      <w:pgSz w:w="12240" w:h="15840" w:code="1"/>
      <w:pgMar w:top="864" w:right="720" w:bottom="864" w:left="720" w:header="432" w:footer="288" w:gutter="216"/>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7AF" w:rsidRDefault="00D037AF">
      <w:pPr>
        <w:spacing w:after="0"/>
      </w:pPr>
      <w:r>
        <w:separator/>
      </w:r>
    </w:p>
  </w:endnote>
  <w:endnote w:type="continuationSeparator" w:id="0">
    <w:p w:rsidR="00D037AF" w:rsidRDefault="00D037A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CD2BA1">
    <w:pPr>
      <w:pStyle w:val="Footer"/>
      <w:framePr w:wrap="around" w:vAnchor="text" w:hAnchor="margin" w:xAlign="center" w:y="1"/>
      <w:rPr>
        <w:rStyle w:val="PageNumber"/>
      </w:rPr>
    </w:pPr>
    <w:r>
      <w:rPr>
        <w:rStyle w:val="PageNumber"/>
      </w:rPr>
      <w:fldChar w:fldCharType="begin"/>
    </w:r>
    <w:r w:rsidR="00D037AF">
      <w:rPr>
        <w:rStyle w:val="PageNumber"/>
      </w:rPr>
      <w:instrText xml:space="preserve">PAGE  </w:instrText>
    </w:r>
    <w:r>
      <w:rPr>
        <w:rStyle w:val="PageNumber"/>
      </w:rPr>
      <w:fldChar w:fldCharType="separate"/>
    </w:r>
    <w:r w:rsidR="001E01E1">
      <w:rPr>
        <w:rStyle w:val="PageNumber"/>
        <w:noProof/>
      </w:rPr>
      <w:t>2</w:t>
    </w:r>
    <w:r>
      <w:rPr>
        <w:rStyle w:val="PageNumber"/>
      </w:rPr>
      <w:fldChar w:fldCharType="end"/>
    </w:r>
  </w:p>
  <w:p w:rsidR="00D037AF" w:rsidRDefault="00D037AF">
    <w:pPr>
      <w:pStyle w:val="Footer"/>
      <w:tabs>
        <w:tab w:val="right" w:pos="10530"/>
      </w:tabs>
      <w:jc w:val="left"/>
    </w:pPr>
    <w:r>
      <w:t>Agricultural Experiment Station</w:t>
    </w:r>
    <w:r>
      <w:tab/>
      <w:t>Conservation and Development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CD2BA1">
    <w:pPr>
      <w:pStyle w:val="Footer"/>
      <w:framePr w:wrap="around" w:vAnchor="text" w:hAnchor="margin" w:xAlign="center" w:y="1"/>
      <w:rPr>
        <w:rStyle w:val="PageNumber"/>
      </w:rPr>
    </w:pPr>
    <w:r>
      <w:rPr>
        <w:rStyle w:val="PageNumber"/>
      </w:rPr>
      <w:fldChar w:fldCharType="begin"/>
    </w:r>
    <w:r w:rsidR="00D037AF">
      <w:rPr>
        <w:rStyle w:val="PageNumber"/>
      </w:rPr>
      <w:instrText xml:space="preserve">PAGE  </w:instrText>
    </w:r>
    <w:r>
      <w:rPr>
        <w:rStyle w:val="PageNumber"/>
      </w:rPr>
      <w:fldChar w:fldCharType="separate"/>
    </w:r>
    <w:r w:rsidR="001E01E1">
      <w:rPr>
        <w:rStyle w:val="PageNumber"/>
        <w:noProof/>
      </w:rPr>
      <w:t>1</w:t>
    </w:r>
    <w:r>
      <w:rPr>
        <w:rStyle w:val="PageNumber"/>
      </w:rPr>
      <w:fldChar w:fldCharType="end"/>
    </w:r>
  </w:p>
  <w:p w:rsidR="00D037AF" w:rsidRDefault="00D037AF">
    <w:pPr>
      <w:pStyle w:val="Footer"/>
      <w:tabs>
        <w:tab w:val="right" w:pos="10530"/>
      </w:tabs>
      <w:jc w:val="both"/>
    </w:pPr>
    <w:r>
      <w:t>Conservation and Development</w:t>
    </w:r>
    <w:r>
      <w:tab/>
      <w:t>Agricultural Experiment Station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CD2BA1">
    <w:pPr>
      <w:pStyle w:val="Footer"/>
      <w:framePr w:wrap="around" w:vAnchor="text" w:hAnchor="margin" w:xAlign="center" w:y="1"/>
      <w:rPr>
        <w:rStyle w:val="PageNumber"/>
      </w:rPr>
    </w:pPr>
    <w:r>
      <w:rPr>
        <w:rStyle w:val="PageNumber"/>
      </w:rPr>
      <w:fldChar w:fldCharType="begin"/>
    </w:r>
    <w:r w:rsidR="00D037AF">
      <w:rPr>
        <w:rStyle w:val="PageNumber"/>
      </w:rPr>
      <w:instrText xml:space="preserve">PAGE  </w:instrText>
    </w:r>
    <w:r>
      <w:rPr>
        <w:rStyle w:val="PageNumber"/>
      </w:rPr>
      <w:fldChar w:fldCharType="separate"/>
    </w:r>
    <w:r w:rsidR="00D037AF">
      <w:rPr>
        <w:rStyle w:val="PageNumber"/>
        <w:noProof/>
      </w:rPr>
      <w:t>2</w:t>
    </w:r>
    <w:r>
      <w:rPr>
        <w:rStyle w:val="PageNumber"/>
      </w:rPr>
      <w:fldChar w:fldCharType="end"/>
    </w:r>
  </w:p>
  <w:p w:rsidR="00D037AF" w:rsidRDefault="00D037AF">
    <w:pPr>
      <w:pStyle w:val="Footer"/>
      <w:tabs>
        <w:tab w:val="right" w:pos="10530"/>
      </w:tabs>
      <w:jc w:val="left"/>
    </w:pPr>
    <w:r>
      <w:t>Conservation and Development</w:t>
    </w:r>
    <w:r>
      <w:tab/>
      <w:t>Agricultural Experiment Station</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7AF" w:rsidRDefault="00D037AF">
      <w:pPr>
        <w:spacing w:after="0"/>
      </w:pPr>
      <w:r>
        <w:separator/>
      </w:r>
    </w:p>
  </w:footnote>
  <w:footnote w:type="continuationSeparator" w:id="0">
    <w:p w:rsidR="00D037AF" w:rsidRDefault="00D037A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Header"/>
      <w:jc w:val="right"/>
    </w:pPr>
    <w:smartTag w:uri="urn:schemas-microsoft-com:office:smarttags" w:element="PersonName">
      <w:r>
        <w:t>Budget</w:t>
      </w:r>
    </w:smartTag>
    <w:r>
      <w: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Header"/>
    </w:pPr>
    <w:r>
      <w:t>Agricultural Experiment Station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Header"/>
    </w:pPr>
    <w:r>
      <w:t>Agricultural Experiment Station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Header"/>
      <w:jc w:val="right"/>
    </w:pPr>
    <w:r>
      <w:t>Budget-in-Detail</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pPr>
      <w:pStyle w:val="Header"/>
    </w:pPr>
    <w:r>
      <w:t>Agricultural Experiment Station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45081"/>
    <w:multiLevelType w:val="hybridMultilevel"/>
    <w:tmpl w:val="74B6F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CA60A9"/>
    <w:multiLevelType w:val="hybridMultilevel"/>
    <w:tmpl w:val="E7461984"/>
    <w:lvl w:ilvl="0" w:tplc="5D24B510">
      <w:start w:val="1"/>
      <w:numFmt w:val="bullet"/>
      <w:lvlText w:val=""/>
      <w:lvlJc w:val="left"/>
      <w:pPr>
        <w:tabs>
          <w:tab w:val="num" w:pos="288"/>
        </w:tabs>
        <w:ind w:left="288" w:hanging="288"/>
      </w:pPr>
      <w:rPr>
        <w:rFonts w:ascii="Symbol" w:hAnsi="Symbol" w:hint="default"/>
        <w:color w:val="008000"/>
        <w:sz w:val="16"/>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rsids>
    <w:rsidRoot w:val="00BA3D26"/>
    <w:rsid w:val="000659FA"/>
    <w:rsid w:val="000762A3"/>
    <w:rsid w:val="001E01E1"/>
    <w:rsid w:val="001F3EA9"/>
    <w:rsid w:val="00207DA2"/>
    <w:rsid w:val="00217D47"/>
    <w:rsid w:val="00351319"/>
    <w:rsid w:val="004B6C11"/>
    <w:rsid w:val="004F7423"/>
    <w:rsid w:val="00514193"/>
    <w:rsid w:val="005862E7"/>
    <w:rsid w:val="005E66A2"/>
    <w:rsid w:val="00601BA3"/>
    <w:rsid w:val="00703D15"/>
    <w:rsid w:val="007A06E9"/>
    <w:rsid w:val="007F289E"/>
    <w:rsid w:val="00823F73"/>
    <w:rsid w:val="00830A7E"/>
    <w:rsid w:val="008A293A"/>
    <w:rsid w:val="008C72BD"/>
    <w:rsid w:val="008D3BBA"/>
    <w:rsid w:val="008E6787"/>
    <w:rsid w:val="00912F6C"/>
    <w:rsid w:val="00982522"/>
    <w:rsid w:val="00A2603C"/>
    <w:rsid w:val="00A34DBE"/>
    <w:rsid w:val="00A60E12"/>
    <w:rsid w:val="00A93BC5"/>
    <w:rsid w:val="00B332B6"/>
    <w:rsid w:val="00B7581A"/>
    <w:rsid w:val="00BA3D26"/>
    <w:rsid w:val="00BC7D80"/>
    <w:rsid w:val="00BF6304"/>
    <w:rsid w:val="00CD2BA1"/>
    <w:rsid w:val="00D037AF"/>
    <w:rsid w:val="00DC1470"/>
    <w:rsid w:val="00DD3345"/>
    <w:rsid w:val="00F0797E"/>
    <w:rsid w:val="00F84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D26"/>
    <w:pPr>
      <w:spacing w:after="80" w:line="240" w:lineRule="auto"/>
      <w:jc w:val="both"/>
    </w:pPr>
    <w:rPr>
      <w:rFonts w:ascii="Calibri" w:eastAsia="Times New Roman" w:hAnsi="Calibri" w:cs="Times New Roman"/>
      <w:sz w:val="18"/>
      <w:szCs w:val="20"/>
    </w:rPr>
  </w:style>
  <w:style w:type="paragraph" w:styleId="Heading2">
    <w:name w:val="heading 2"/>
    <w:basedOn w:val="Normal"/>
    <w:next w:val="Normal"/>
    <w:link w:val="Heading2Char"/>
    <w:qFormat/>
    <w:rsid w:val="00BA3D26"/>
    <w:pPr>
      <w:keepNext/>
      <w:spacing w:before="120"/>
      <w:outlineLvl w:val="1"/>
    </w:pPr>
    <w:rPr>
      <w:b/>
      <w:i/>
    </w:rPr>
  </w:style>
  <w:style w:type="paragraph" w:styleId="Heading4">
    <w:name w:val="heading 4"/>
    <w:basedOn w:val="Normal"/>
    <w:next w:val="Normal"/>
    <w:link w:val="Heading4Char"/>
    <w:uiPriority w:val="9"/>
    <w:semiHidden/>
    <w:unhideWhenUsed/>
    <w:qFormat/>
    <w:rsid w:val="00BA3D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3D26"/>
    <w:rPr>
      <w:rFonts w:ascii="Calibri" w:eastAsia="Times New Roman" w:hAnsi="Calibri" w:cs="Times New Roman"/>
      <w:b/>
      <w:i/>
      <w:sz w:val="18"/>
      <w:szCs w:val="20"/>
    </w:rPr>
  </w:style>
  <w:style w:type="paragraph" w:customStyle="1" w:styleId="H1">
    <w:name w:val="H1"/>
    <w:next w:val="Normal"/>
    <w:link w:val="H1Char"/>
    <w:rsid w:val="00BA3D26"/>
    <w:pPr>
      <w:spacing w:after="0" w:line="240" w:lineRule="auto"/>
      <w:jc w:val="center"/>
    </w:pPr>
    <w:rPr>
      <w:rFonts w:ascii="Calibri" w:eastAsia="Times New Roman" w:hAnsi="Calibri" w:cs="Times New Roman"/>
      <w:caps/>
      <w:noProof/>
      <w:sz w:val="40"/>
      <w:szCs w:val="20"/>
    </w:rPr>
  </w:style>
  <w:style w:type="character" w:styleId="Hyperlink">
    <w:name w:val="Hyperlink"/>
    <w:basedOn w:val="DefaultParagraphFont"/>
    <w:rsid w:val="00BA3D26"/>
    <w:rPr>
      <w:rFonts w:ascii="Calibri" w:hAnsi="Calibri"/>
      <w:color w:val="0000FF"/>
      <w:sz w:val="16"/>
      <w:u w:val="single"/>
    </w:rPr>
  </w:style>
  <w:style w:type="character" w:customStyle="1" w:styleId="H2Char">
    <w:name w:val="H2 Char"/>
    <w:basedOn w:val="H1Char"/>
    <w:link w:val="H2"/>
    <w:locked/>
    <w:rsid w:val="00BA3D26"/>
    <w:rPr>
      <w:rFonts w:ascii="Calibri" w:eastAsia="Times New Roman" w:hAnsi="Calibri" w:cs="Times New Roman"/>
      <w:caps/>
      <w:noProof/>
      <w:sz w:val="24"/>
      <w:szCs w:val="20"/>
    </w:rPr>
  </w:style>
  <w:style w:type="paragraph" w:customStyle="1" w:styleId="H2">
    <w:name w:val="H2"/>
    <w:basedOn w:val="Normal"/>
    <w:link w:val="H2Char"/>
    <w:rsid w:val="00BA3D26"/>
    <w:pPr>
      <w:pBdr>
        <w:bottom w:val="single" w:sz="4" w:space="1" w:color="808080"/>
      </w:pBdr>
      <w:spacing w:before="120"/>
      <w:jc w:val="center"/>
    </w:pPr>
    <w:rPr>
      <w:caps/>
      <w:noProof/>
      <w:sz w:val="24"/>
    </w:rPr>
  </w:style>
  <w:style w:type="paragraph" w:styleId="Header">
    <w:name w:val="header"/>
    <w:basedOn w:val="Normal"/>
    <w:link w:val="HeaderChar"/>
    <w:rsid w:val="00BA3D26"/>
    <w:pPr>
      <w:jc w:val="center"/>
    </w:pPr>
  </w:style>
  <w:style w:type="character" w:customStyle="1" w:styleId="HeaderChar">
    <w:name w:val="Header Char"/>
    <w:basedOn w:val="DefaultParagraphFont"/>
    <w:link w:val="Header"/>
    <w:rsid w:val="00BA3D26"/>
    <w:rPr>
      <w:rFonts w:ascii="Calibri" w:eastAsia="Times New Roman" w:hAnsi="Calibri" w:cs="Times New Roman"/>
      <w:sz w:val="18"/>
      <w:szCs w:val="20"/>
    </w:rPr>
  </w:style>
  <w:style w:type="paragraph" w:styleId="Footer">
    <w:name w:val="footer"/>
    <w:basedOn w:val="Header"/>
    <w:link w:val="FooterChar"/>
    <w:rsid w:val="00BA3D26"/>
  </w:style>
  <w:style w:type="character" w:customStyle="1" w:styleId="FooterChar">
    <w:name w:val="Footer Char"/>
    <w:basedOn w:val="DefaultParagraphFont"/>
    <w:link w:val="Footer"/>
    <w:rsid w:val="00BA3D26"/>
    <w:rPr>
      <w:rFonts w:ascii="Calibri" w:eastAsia="Times New Roman" w:hAnsi="Calibri" w:cs="Times New Roman"/>
      <w:sz w:val="18"/>
      <w:szCs w:val="20"/>
    </w:rPr>
  </w:style>
  <w:style w:type="character" w:customStyle="1" w:styleId="H1Char">
    <w:name w:val="H1 Char"/>
    <w:basedOn w:val="DefaultParagraphFont"/>
    <w:link w:val="H1"/>
    <w:rsid w:val="00BA3D26"/>
    <w:rPr>
      <w:rFonts w:ascii="Calibri" w:eastAsia="Times New Roman" w:hAnsi="Calibri" w:cs="Times New Roman"/>
      <w:caps/>
      <w:noProof/>
      <w:sz w:val="40"/>
      <w:szCs w:val="20"/>
    </w:rPr>
  </w:style>
  <w:style w:type="paragraph" w:customStyle="1" w:styleId="H4">
    <w:name w:val="H4"/>
    <w:basedOn w:val="Heading4"/>
    <w:next w:val="Normal"/>
    <w:link w:val="H4Char"/>
    <w:rsid w:val="00BA3D26"/>
    <w:pPr>
      <w:keepLines w:val="0"/>
      <w:spacing w:before="120" w:after="40"/>
      <w:jc w:val="left"/>
    </w:pPr>
    <w:rPr>
      <w:rFonts w:ascii="Calibri" w:eastAsia="Times New Roman" w:hAnsi="Calibri" w:cs="Times New Roman"/>
      <w:bCs w:val="0"/>
      <w:i w:val="0"/>
      <w:iCs w:val="0"/>
      <w:caps/>
      <w:color w:val="005000"/>
      <w:sz w:val="20"/>
    </w:rPr>
  </w:style>
  <w:style w:type="character" w:styleId="PageNumber">
    <w:name w:val="page number"/>
    <w:basedOn w:val="DefaultParagraphFont"/>
    <w:rsid w:val="00BA3D26"/>
    <w:rPr>
      <w:rFonts w:ascii="Trebuchet MS" w:hAnsi="Trebuchet MS"/>
      <w:sz w:val="16"/>
    </w:rPr>
  </w:style>
  <w:style w:type="character" w:customStyle="1" w:styleId="H4Char">
    <w:name w:val="H4 Char"/>
    <w:basedOn w:val="DefaultParagraphFont"/>
    <w:link w:val="H4"/>
    <w:rsid w:val="00BA3D26"/>
    <w:rPr>
      <w:rFonts w:ascii="Calibri" w:eastAsia="Times New Roman" w:hAnsi="Calibri" w:cs="Times New Roman"/>
      <w:b/>
      <w:caps/>
      <w:color w:val="005000"/>
      <w:sz w:val="20"/>
      <w:szCs w:val="20"/>
    </w:rPr>
  </w:style>
  <w:style w:type="character" w:customStyle="1" w:styleId="Heading4Char">
    <w:name w:val="Heading 4 Char"/>
    <w:basedOn w:val="DefaultParagraphFont"/>
    <w:link w:val="Heading4"/>
    <w:uiPriority w:val="9"/>
    <w:semiHidden/>
    <w:rsid w:val="00BA3D26"/>
    <w:rPr>
      <w:rFonts w:asciiTheme="majorHAnsi" w:eastAsiaTheme="majorEastAsia" w:hAnsiTheme="majorHAnsi" w:cstheme="majorBidi"/>
      <w:b/>
      <w:bCs/>
      <w:i/>
      <w:iCs/>
      <w:color w:val="4F81BD" w:themeColor="accent1"/>
      <w:sz w:val="18"/>
      <w:szCs w:val="20"/>
    </w:rPr>
  </w:style>
  <w:style w:type="paragraph" w:customStyle="1" w:styleId="ProgramHead">
    <w:name w:val="ProgramHead"/>
    <w:basedOn w:val="H2"/>
    <w:rsid w:val="00BA3D26"/>
    <w:pPr>
      <w:pBdr>
        <w:bottom w:val="single" w:sz="2" w:space="1" w:color="BFBFBF"/>
      </w:pBdr>
      <w:spacing w:before="240" w:after="0"/>
      <w:jc w:val="left"/>
    </w:pPr>
    <w:rPr>
      <w:b/>
      <w:color w:val="006600"/>
    </w:rPr>
  </w:style>
  <w:style w:type="character" w:styleId="IntenseEmphasis">
    <w:name w:val="Intense Emphasis"/>
    <w:basedOn w:val="DefaultParagraphFont"/>
    <w:uiPriority w:val="21"/>
    <w:qFormat/>
    <w:rsid w:val="00BA3D26"/>
    <w:rPr>
      <w:b/>
      <w:bCs/>
      <w:i/>
      <w:iCs/>
      <w:color w:val="4F81BD"/>
    </w:rPr>
  </w:style>
  <w:style w:type="paragraph" w:styleId="ListParagraph">
    <w:name w:val="List Paragraph"/>
    <w:basedOn w:val="Normal"/>
    <w:uiPriority w:val="34"/>
    <w:qFormat/>
    <w:rsid w:val="00823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D26"/>
    <w:pPr>
      <w:spacing w:after="80" w:line="240" w:lineRule="auto"/>
      <w:jc w:val="both"/>
    </w:pPr>
    <w:rPr>
      <w:rFonts w:ascii="Calibri" w:eastAsia="Times New Roman" w:hAnsi="Calibri" w:cs="Times New Roman"/>
      <w:sz w:val="18"/>
      <w:szCs w:val="20"/>
    </w:rPr>
  </w:style>
  <w:style w:type="paragraph" w:styleId="Heading2">
    <w:name w:val="heading 2"/>
    <w:basedOn w:val="Normal"/>
    <w:next w:val="Normal"/>
    <w:link w:val="Heading2Char"/>
    <w:qFormat/>
    <w:rsid w:val="00BA3D26"/>
    <w:pPr>
      <w:keepNext/>
      <w:spacing w:before="120"/>
      <w:outlineLvl w:val="1"/>
    </w:pPr>
    <w:rPr>
      <w:b/>
      <w:i/>
    </w:rPr>
  </w:style>
  <w:style w:type="paragraph" w:styleId="Heading4">
    <w:name w:val="heading 4"/>
    <w:basedOn w:val="Normal"/>
    <w:next w:val="Normal"/>
    <w:link w:val="Heading4Char"/>
    <w:uiPriority w:val="9"/>
    <w:semiHidden/>
    <w:unhideWhenUsed/>
    <w:qFormat/>
    <w:rsid w:val="00BA3D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3D26"/>
    <w:rPr>
      <w:rFonts w:ascii="Calibri" w:eastAsia="Times New Roman" w:hAnsi="Calibri" w:cs="Times New Roman"/>
      <w:b/>
      <w:i/>
      <w:sz w:val="18"/>
      <w:szCs w:val="20"/>
    </w:rPr>
  </w:style>
  <w:style w:type="paragraph" w:customStyle="1" w:styleId="H1">
    <w:name w:val="H1"/>
    <w:next w:val="Normal"/>
    <w:link w:val="H1Char"/>
    <w:rsid w:val="00BA3D26"/>
    <w:pPr>
      <w:spacing w:after="0" w:line="240" w:lineRule="auto"/>
      <w:jc w:val="center"/>
    </w:pPr>
    <w:rPr>
      <w:rFonts w:ascii="Calibri" w:eastAsia="Times New Roman" w:hAnsi="Calibri" w:cs="Times New Roman"/>
      <w:caps/>
      <w:noProof/>
      <w:sz w:val="40"/>
      <w:szCs w:val="20"/>
    </w:rPr>
  </w:style>
  <w:style w:type="character" w:styleId="Hyperlink">
    <w:name w:val="Hyperlink"/>
    <w:basedOn w:val="DefaultParagraphFont"/>
    <w:rsid w:val="00BA3D26"/>
    <w:rPr>
      <w:rFonts w:ascii="Calibri" w:hAnsi="Calibri"/>
      <w:color w:val="0000FF"/>
      <w:sz w:val="16"/>
      <w:u w:val="single"/>
    </w:rPr>
  </w:style>
  <w:style w:type="character" w:customStyle="1" w:styleId="H2Char">
    <w:name w:val="H2 Char"/>
    <w:basedOn w:val="H1Char"/>
    <w:link w:val="H2"/>
    <w:locked/>
    <w:rsid w:val="00BA3D26"/>
    <w:rPr>
      <w:rFonts w:ascii="Calibri" w:eastAsia="Times New Roman" w:hAnsi="Calibri" w:cs="Times New Roman"/>
      <w:caps/>
      <w:noProof/>
      <w:sz w:val="24"/>
      <w:szCs w:val="20"/>
    </w:rPr>
  </w:style>
  <w:style w:type="paragraph" w:customStyle="1" w:styleId="H2">
    <w:name w:val="H2"/>
    <w:basedOn w:val="Normal"/>
    <w:link w:val="H2Char"/>
    <w:rsid w:val="00BA3D26"/>
    <w:pPr>
      <w:pBdr>
        <w:bottom w:val="single" w:sz="4" w:space="1" w:color="808080"/>
      </w:pBdr>
      <w:spacing w:before="120"/>
      <w:jc w:val="center"/>
    </w:pPr>
    <w:rPr>
      <w:caps/>
      <w:noProof/>
      <w:sz w:val="24"/>
    </w:rPr>
  </w:style>
  <w:style w:type="paragraph" w:styleId="Header">
    <w:name w:val="header"/>
    <w:basedOn w:val="Normal"/>
    <w:link w:val="HeaderChar"/>
    <w:rsid w:val="00BA3D26"/>
    <w:pPr>
      <w:jc w:val="center"/>
    </w:pPr>
  </w:style>
  <w:style w:type="character" w:customStyle="1" w:styleId="HeaderChar">
    <w:name w:val="Header Char"/>
    <w:basedOn w:val="DefaultParagraphFont"/>
    <w:link w:val="Header"/>
    <w:rsid w:val="00BA3D26"/>
    <w:rPr>
      <w:rFonts w:ascii="Calibri" w:eastAsia="Times New Roman" w:hAnsi="Calibri" w:cs="Times New Roman"/>
      <w:sz w:val="18"/>
      <w:szCs w:val="20"/>
    </w:rPr>
  </w:style>
  <w:style w:type="paragraph" w:styleId="Footer">
    <w:name w:val="footer"/>
    <w:basedOn w:val="Header"/>
    <w:link w:val="FooterChar"/>
    <w:rsid w:val="00BA3D26"/>
  </w:style>
  <w:style w:type="character" w:customStyle="1" w:styleId="FooterChar">
    <w:name w:val="Footer Char"/>
    <w:basedOn w:val="DefaultParagraphFont"/>
    <w:link w:val="Footer"/>
    <w:rsid w:val="00BA3D26"/>
    <w:rPr>
      <w:rFonts w:ascii="Calibri" w:eastAsia="Times New Roman" w:hAnsi="Calibri" w:cs="Times New Roman"/>
      <w:sz w:val="18"/>
      <w:szCs w:val="20"/>
    </w:rPr>
  </w:style>
  <w:style w:type="character" w:customStyle="1" w:styleId="H1Char">
    <w:name w:val="H1 Char"/>
    <w:basedOn w:val="DefaultParagraphFont"/>
    <w:link w:val="H1"/>
    <w:rsid w:val="00BA3D26"/>
    <w:rPr>
      <w:rFonts w:ascii="Calibri" w:eastAsia="Times New Roman" w:hAnsi="Calibri" w:cs="Times New Roman"/>
      <w:caps/>
      <w:noProof/>
      <w:sz w:val="40"/>
      <w:szCs w:val="20"/>
    </w:rPr>
  </w:style>
  <w:style w:type="paragraph" w:customStyle="1" w:styleId="H4">
    <w:name w:val="H4"/>
    <w:basedOn w:val="Heading4"/>
    <w:next w:val="Normal"/>
    <w:link w:val="H4Char"/>
    <w:rsid w:val="00BA3D26"/>
    <w:pPr>
      <w:keepLines w:val="0"/>
      <w:spacing w:before="120" w:after="40"/>
      <w:jc w:val="left"/>
    </w:pPr>
    <w:rPr>
      <w:rFonts w:ascii="Calibri" w:eastAsia="Times New Roman" w:hAnsi="Calibri" w:cs="Times New Roman"/>
      <w:bCs w:val="0"/>
      <w:i w:val="0"/>
      <w:iCs w:val="0"/>
      <w:caps/>
      <w:color w:val="005000"/>
      <w:sz w:val="20"/>
    </w:rPr>
  </w:style>
  <w:style w:type="character" w:styleId="PageNumber">
    <w:name w:val="page number"/>
    <w:basedOn w:val="DefaultParagraphFont"/>
    <w:rsid w:val="00BA3D26"/>
    <w:rPr>
      <w:rFonts w:ascii="Trebuchet MS" w:hAnsi="Trebuchet MS"/>
      <w:sz w:val="16"/>
    </w:rPr>
  </w:style>
  <w:style w:type="character" w:customStyle="1" w:styleId="H4Char">
    <w:name w:val="H4 Char"/>
    <w:basedOn w:val="DefaultParagraphFont"/>
    <w:link w:val="H4"/>
    <w:rsid w:val="00BA3D26"/>
    <w:rPr>
      <w:rFonts w:ascii="Calibri" w:eastAsia="Times New Roman" w:hAnsi="Calibri" w:cs="Times New Roman"/>
      <w:b/>
      <w:caps/>
      <w:color w:val="005000"/>
      <w:sz w:val="20"/>
      <w:szCs w:val="20"/>
    </w:rPr>
  </w:style>
  <w:style w:type="character" w:customStyle="1" w:styleId="Heading4Char">
    <w:name w:val="Heading 4 Char"/>
    <w:basedOn w:val="DefaultParagraphFont"/>
    <w:link w:val="Heading4"/>
    <w:uiPriority w:val="9"/>
    <w:semiHidden/>
    <w:rsid w:val="00BA3D26"/>
    <w:rPr>
      <w:rFonts w:asciiTheme="majorHAnsi" w:eastAsiaTheme="majorEastAsia" w:hAnsiTheme="majorHAnsi" w:cstheme="majorBidi"/>
      <w:b/>
      <w:bCs/>
      <w:i/>
      <w:iCs/>
      <w:color w:val="4F81BD" w:themeColor="accent1"/>
      <w:sz w:val="18"/>
      <w:szCs w:val="20"/>
    </w:rPr>
  </w:style>
  <w:style w:type="paragraph" w:customStyle="1" w:styleId="ProgramHead">
    <w:name w:val="ProgramHead"/>
    <w:basedOn w:val="H2"/>
    <w:rsid w:val="00BA3D26"/>
    <w:pPr>
      <w:pBdr>
        <w:bottom w:val="single" w:sz="2" w:space="1" w:color="BFBFBF"/>
      </w:pBdr>
      <w:spacing w:before="240" w:after="0"/>
      <w:jc w:val="left"/>
    </w:pPr>
    <w:rPr>
      <w:b/>
      <w:color w:val="006600"/>
    </w:rPr>
  </w:style>
  <w:style w:type="character" w:styleId="IntenseEmphasis">
    <w:name w:val="Intense Emphasis"/>
    <w:basedOn w:val="DefaultParagraphFont"/>
    <w:uiPriority w:val="21"/>
    <w:qFormat/>
    <w:rsid w:val="00BA3D26"/>
    <w:rPr>
      <w:b/>
      <w:bCs/>
      <w:i/>
      <w:iCs/>
      <w:color w:val="4F81BD"/>
    </w:rPr>
  </w:style>
  <w:style w:type="paragraph" w:styleId="ListParagraph">
    <w:name w:val="List Paragraph"/>
    <w:basedOn w:val="Normal"/>
    <w:uiPriority w:val="34"/>
    <w:qFormat/>
    <w:rsid w:val="00823F7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gov/caes"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Ottenbreit</dc:creator>
  <cp:lastModifiedBy>Christopher LeMay</cp:lastModifiedBy>
  <cp:revision>5</cp:revision>
  <cp:lastPrinted>2013-01-18T18:51:00Z</cp:lastPrinted>
  <dcterms:created xsi:type="dcterms:W3CDTF">2013-01-11T20:23:00Z</dcterms:created>
  <dcterms:modified xsi:type="dcterms:W3CDTF">2013-01-23T20:17:00Z</dcterms:modified>
</cp:coreProperties>
</file>