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004615" w14:textId="77777777" w:rsidR="005F1C3B" w:rsidRPr="005F1C3B" w:rsidRDefault="005F1C3B" w:rsidP="005F1C3B">
      <w:pPr>
        <w:pStyle w:val="Default"/>
        <w:rPr>
          <w:color w:val="auto"/>
        </w:rPr>
      </w:pPr>
      <w:bookmarkStart w:id="0" w:name="_GoBack"/>
      <w:bookmarkEnd w:id="0"/>
    </w:p>
    <w:p w14:paraId="248D551E" w14:textId="066E5C61" w:rsidR="005F1C3B" w:rsidRPr="005F1C3B" w:rsidRDefault="005F1C3B" w:rsidP="005F1C3B">
      <w:pPr>
        <w:pStyle w:val="Default"/>
        <w:jc w:val="center"/>
        <w:rPr>
          <w:color w:val="auto"/>
          <w:sz w:val="28"/>
          <w:szCs w:val="28"/>
        </w:rPr>
      </w:pPr>
      <w:r w:rsidRPr="005F1C3B">
        <w:rPr>
          <w:b/>
          <w:bCs/>
          <w:color w:val="auto"/>
          <w:sz w:val="28"/>
          <w:szCs w:val="28"/>
        </w:rPr>
        <w:t>Responsible Growth and Transit-Oriented Development (TOD)</w:t>
      </w:r>
    </w:p>
    <w:p w14:paraId="5D07304C" w14:textId="52DAB0A8" w:rsidR="005F1C3B" w:rsidRPr="005F1C3B" w:rsidRDefault="005F1C3B" w:rsidP="005F1C3B">
      <w:pPr>
        <w:pStyle w:val="Default"/>
        <w:jc w:val="center"/>
        <w:rPr>
          <w:color w:val="auto"/>
          <w:sz w:val="28"/>
          <w:szCs w:val="28"/>
        </w:rPr>
      </w:pPr>
      <w:r w:rsidRPr="005F1C3B">
        <w:rPr>
          <w:b/>
          <w:bCs/>
          <w:color w:val="auto"/>
          <w:sz w:val="28"/>
          <w:szCs w:val="28"/>
        </w:rPr>
        <w:t>Grant Program</w:t>
      </w:r>
    </w:p>
    <w:p w14:paraId="77D4A9A0" w14:textId="2AB7F872" w:rsidR="005F1C3B" w:rsidRPr="005F1C3B" w:rsidRDefault="005F1C3B" w:rsidP="005F1C3B">
      <w:pPr>
        <w:pStyle w:val="Default"/>
        <w:jc w:val="center"/>
        <w:rPr>
          <w:color w:val="auto"/>
          <w:sz w:val="28"/>
          <w:szCs w:val="28"/>
        </w:rPr>
      </w:pPr>
      <w:r w:rsidRPr="005F1C3B">
        <w:rPr>
          <w:b/>
          <w:bCs/>
          <w:color w:val="auto"/>
          <w:sz w:val="28"/>
          <w:szCs w:val="28"/>
        </w:rPr>
        <w:t>RFA# OPM-IGP-20151209-RG-TOD</w:t>
      </w:r>
    </w:p>
    <w:p w14:paraId="3F5B60BE" w14:textId="347C4D0C" w:rsidR="005F1C3B" w:rsidRPr="005F1C3B" w:rsidRDefault="005F1C3B" w:rsidP="005F1C3B">
      <w:pPr>
        <w:jc w:val="center"/>
        <w:rPr>
          <w:b/>
          <w:u w:val="single"/>
        </w:rPr>
      </w:pPr>
      <w:r w:rsidRPr="005F1C3B">
        <w:rPr>
          <w:b/>
          <w:bCs/>
          <w:i/>
          <w:iCs/>
        </w:rPr>
        <w:t>RFA Release Date: 12/09/15</w:t>
      </w:r>
    </w:p>
    <w:p w14:paraId="3A799645" w14:textId="77777777" w:rsidR="005F1C3B" w:rsidRDefault="005F1C3B" w:rsidP="005F1C3B">
      <w:pPr>
        <w:pStyle w:val="Default"/>
      </w:pPr>
    </w:p>
    <w:p w14:paraId="6586B7AC" w14:textId="305DB82B" w:rsidR="005F1C3B" w:rsidRDefault="005F1C3B" w:rsidP="005F1C3B">
      <w:pPr>
        <w:pStyle w:val="Default"/>
        <w:rPr>
          <w:sz w:val="28"/>
          <w:szCs w:val="28"/>
        </w:rPr>
      </w:pPr>
      <w:r>
        <w:rPr>
          <w:b/>
          <w:bCs/>
          <w:sz w:val="28"/>
          <w:szCs w:val="28"/>
        </w:rPr>
        <w:t xml:space="preserve">ADDENDUM #2 </w:t>
      </w:r>
    </w:p>
    <w:p w14:paraId="6EC2F7F7" w14:textId="0E09FDE3" w:rsidR="005F1C3B" w:rsidRDefault="005F1C3B" w:rsidP="005F1C3B">
      <w:pPr>
        <w:rPr>
          <w:b/>
          <w:u w:val="single"/>
        </w:rPr>
      </w:pPr>
      <w:r>
        <w:rPr>
          <w:b/>
          <w:bCs/>
          <w:i/>
          <w:iCs/>
          <w:sz w:val="20"/>
          <w:szCs w:val="20"/>
        </w:rPr>
        <w:t>Addendum Date: 1/7/2016</w:t>
      </w:r>
    </w:p>
    <w:p w14:paraId="369284C2" w14:textId="2C113FAA" w:rsidR="00C259DB" w:rsidRDefault="005F1C3B" w:rsidP="00675B49">
      <w:pPr>
        <w:rPr>
          <w:b/>
          <w:u w:val="single"/>
        </w:rPr>
      </w:pPr>
      <w:r>
        <w:rPr>
          <w:b/>
          <w:u w:val="single"/>
        </w:rPr>
        <w:t>Response to RFA Questions</w:t>
      </w:r>
    </w:p>
    <w:p w14:paraId="3B1CC16A" w14:textId="29EFD064" w:rsidR="00937C83" w:rsidRDefault="00937C83" w:rsidP="00177DFA">
      <w:pPr>
        <w:spacing w:after="0"/>
        <w:rPr>
          <w:b/>
          <w:u w:val="single"/>
        </w:rPr>
      </w:pPr>
      <w:r>
        <w:rPr>
          <w:b/>
          <w:u w:val="single"/>
        </w:rPr>
        <w:t>Q</w:t>
      </w:r>
      <w:r w:rsidR="004B2824">
        <w:rPr>
          <w:b/>
          <w:u w:val="single"/>
        </w:rPr>
        <w:t>1:</w:t>
      </w:r>
      <w:r>
        <w:rPr>
          <w:b/>
          <w:u w:val="single"/>
        </w:rPr>
        <w:t xml:space="preserve"> </w:t>
      </w:r>
      <w:r w:rsidR="00216C75" w:rsidRPr="00675B49">
        <w:t>What is the dollar amount available per application?</w:t>
      </w:r>
    </w:p>
    <w:p w14:paraId="5934C544" w14:textId="55CE61B5" w:rsidR="00216C75" w:rsidRPr="00216C75" w:rsidRDefault="00216C75" w:rsidP="00177DFA">
      <w:pPr>
        <w:spacing w:after="0"/>
      </w:pPr>
      <w:r>
        <w:rPr>
          <w:b/>
          <w:u w:val="single"/>
        </w:rPr>
        <w:t>A</w:t>
      </w:r>
      <w:r w:rsidR="004B2824">
        <w:rPr>
          <w:b/>
          <w:u w:val="single"/>
        </w:rPr>
        <w:t>1</w:t>
      </w:r>
      <w:r>
        <w:rPr>
          <w:b/>
          <w:u w:val="single"/>
        </w:rPr>
        <w:t xml:space="preserve">:  </w:t>
      </w:r>
      <w:r w:rsidR="006622E0">
        <w:t>Refer to Section D of the RFA.</w:t>
      </w:r>
    </w:p>
    <w:p w14:paraId="597A0E0E" w14:textId="77777777" w:rsidR="00937C83" w:rsidRDefault="00937C83" w:rsidP="00177DFA">
      <w:pPr>
        <w:spacing w:after="0"/>
        <w:rPr>
          <w:b/>
          <w:u w:val="single"/>
        </w:rPr>
      </w:pPr>
    </w:p>
    <w:p w14:paraId="3A7A0BFF" w14:textId="44F0887E" w:rsidR="00937C83" w:rsidRDefault="00216C75" w:rsidP="00177DFA">
      <w:pPr>
        <w:spacing w:after="0"/>
      </w:pPr>
      <w:r>
        <w:rPr>
          <w:b/>
          <w:u w:val="single"/>
        </w:rPr>
        <w:t>Q</w:t>
      </w:r>
      <w:r w:rsidR="004B2824">
        <w:rPr>
          <w:b/>
          <w:u w:val="single"/>
        </w:rPr>
        <w:t>2</w:t>
      </w:r>
      <w:r>
        <w:rPr>
          <w:b/>
          <w:u w:val="single"/>
        </w:rPr>
        <w:t xml:space="preserve">: </w:t>
      </w:r>
      <w:r w:rsidR="006622E0">
        <w:rPr>
          <w:b/>
          <w:u w:val="single"/>
        </w:rPr>
        <w:t xml:space="preserve"> </w:t>
      </w:r>
      <w:r w:rsidR="006622E0" w:rsidRPr="00675B49">
        <w:t>What is the total amount of state funding available for this program?</w:t>
      </w:r>
    </w:p>
    <w:p w14:paraId="5375310E" w14:textId="5675348F" w:rsidR="006622E0" w:rsidRDefault="006622E0" w:rsidP="00177DFA">
      <w:pPr>
        <w:spacing w:after="0"/>
      </w:pPr>
      <w:r>
        <w:rPr>
          <w:b/>
          <w:u w:val="single"/>
        </w:rPr>
        <w:t>A</w:t>
      </w:r>
      <w:r w:rsidR="004B2824">
        <w:rPr>
          <w:b/>
          <w:u w:val="single"/>
        </w:rPr>
        <w:t>2</w:t>
      </w:r>
      <w:r w:rsidRPr="006622E0">
        <w:rPr>
          <w:b/>
          <w:u w:val="single"/>
        </w:rPr>
        <w:t>:</w:t>
      </w:r>
      <w:r w:rsidRPr="006622E0">
        <w:t xml:space="preserve">  </w:t>
      </w:r>
      <w:r w:rsidR="00B4175B" w:rsidRPr="00B4175B">
        <w:t xml:space="preserve"> </w:t>
      </w:r>
      <w:r w:rsidR="00B4175B">
        <w:t xml:space="preserve">This grant program is being funded through </w:t>
      </w:r>
      <w:r w:rsidR="004B2824">
        <w:t>existing</w:t>
      </w:r>
      <w:r w:rsidR="00E270AC">
        <w:t xml:space="preserve"> </w:t>
      </w:r>
      <w:r w:rsidR="00B4175B">
        <w:t>bond authorizations as described in Section E of the RFA.  The total amount this program</w:t>
      </w:r>
      <w:r w:rsidR="00E27B16">
        <w:t xml:space="preserve"> </w:t>
      </w:r>
      <w:r w:rsidR="00B4175B">
        <w:t>will be determined based on the quality and quantity of applications received, and will not exceed current authorizations.</w:t>
      </w:r>
      <w:r w:rsidR="009F7A35" w:rsidRPr="009F7A35">
        <w:t xml:space="preserve"> </w:t>
      </w:r>
    </w:p>
    <w:p w14:paraId="696E275E" w14:textId="77777777" w:rsidR="004B2824" w:rsidRPr="004B2824" w:rsidRDefault="004B2824" w:rsidP="00177DFA">
      <w:pPr>
        <w:spacing w:after="0"/>
      </w:pPr>
    </w:p>
    <w:p w14:paraId="51E7CF5C" w14:textId="4317C864" w:rsidR="00216C75" w:rsidRPr="00231425" w:rsidRDefault="00216C75" w:rsidP="00177DFA">
      <w:pPr>
        <w:spacing w:after="0"/>
      </w:pPr>
      <w:r>
        <w:rPr>
          <w:b/>
          <w:u w:val="single"/>
        </w:rPr>
        <w:t>Q</w:t>
      </w:r>
      <w:r w:rsidR="004B2824">
        <w:rPr>
          <w:b/>
          <w:u w:val="single"/>
        </w:rPr>
        <w:t>3</w:t>
      </w:r>
      <w:r>
        <w:rPr>
          <w:b/>
          <w:u w:val="single"/>
        </w:rPr>
        <w:t>:</w:t>
      </w:r>
      <w:r w:rsidR="006622E0">
        <w:rPr>
          <w:b/>
          <w:u w:val="single"/>
        </w:rPr>
        <w:t xml:space="preserve">  </w:t>
      </w:r>
      <w:r w:rsidR="00231425" w:rsidRPr="00231425">
        <w:t>Is this a reimbursement grant?</w:t>
      </w:r>
    </w:p>
    <w:p w14:paraId="450ADE21" w14:textId="67421BED" w:rsidR="00216C75" w:rsidRPr="00231425" w:rsidRDefault="00216C75" w:rsidP="00177DFA">
      <w:pPr>
        <w:spacing w:after="0"/>
      </w:pPr>
      <w:r>
        <w:rPr>
          <w:b/>
          <w:u w:val="single"/>
        </w:rPr>
        <w:t>A</w:t>
      </w:r>
      <w:r w:rsidR="004B2824">
        <w:rPr>
          <w:b/>
          <w:u w:val="single"/>
        </w:rPr>
        <w:t>3</w:t>
      </w:r>
      <w:r>
        <w:rPr>
          <w:b/>
          <w:u w:val="single"/>
        </w:rPr>
        <w:t>:</w:t>
      </w:r>
      <w:r w:rsidR="00231425">
        <w:t xml:space="preserve">  Yes.  Recipients will be expected to submit requests for payment using an approved OPM request form.</w:t>
      </w:r>
    </w:p>
    <w:p w14:paraId="7164ACFF" w14:textId="77777777" w:rsidR="00FC1E34" w:rsidRDefault="00FC1E34" w:rsidP="00177DFA">
      <w:pPr>
        <w:spacing w:after="0"/>
        <w:rPr>
          <w:b/>
          <w:u w:val="single"/>
        </w:rPr>
      </w:pPr>
    </w:p>
    <w:p w14:paraId="3E4DA833" w14:textId="11C8F2EB" w:rsidR="00216C75" w:rsidRDefault="00216C75" w:rsidP="00177DFA">
      <w:pPr>
        <w:spacing w:after="0"/>
        <w:rPr>
          <w:b/>
          <w:u w:val="single"/>
        </w:rPr>
      </w:pPr>
      <w:r>
        <w:rPr>
          <w:b/>
          <w:u w:val="single"/>
        </w:rPr>
        <w:t>Q</w:t>
      </w:r>
      <w:r w:rsidR="004B2824">
        <w:rPr>
          <w:b/>
          <w:u w:val="single"/>
        </w:rPr>
        <w:t>4</w:t>
      </w:r>
      <w:r>
        <w:rPr>
          <w:b/>
          <w:u w:val="single"/>
        </w:rPr>
        <w:t>:</w:t>
      </w:r>
      <w:r w:rsidR="00231425">
        <w:rPr>
          <w:b/>
          <w:u w:val="single"/>
        </w:rPr>
        <w:t xml:space="preserve">  </w:t>
      </w:r>
      <w:r w:rsidR="00231425" w:rsidRPr="00675B49">
        <w:t>Is there a cost share?</w:t>
      </w:r>
      <w:r w:rsidR="00231425">
        <w:t xml:space="preserve">  </w:t>
      </w:r>
    </w:p>
    <w:p w14:paraId="443A8637" w14:textId="304768F6" w:rsidR="00216C75" w:rsidRPr="00231425" w:rsidRDefault="00216C75" w:rsidP="00177DFA">
      <w:pPr>
        <w:spacing w:after="0"/>
      </w:pPr>
      <w:r>
        <w:rPr>
          <w:b/>
          <w:u w:val="single"/>
        </w:rPr>
        <w:t>A</w:t>
      </w:r>
      <w:r w:rsidR="004B2824">
        <w:rPr>
          <w:b/>
          <w:u w:val="single"/>
        </w:rPr>
        <w:t>4</w:t>
      </w:r>
      <w:r>
        <w:rPr>
          <w:b/>
          <w:u w:val="single"/>
        </w:rPr>
        <w:t>:</w:t>
      </w:r>
      <w:r w:rsidR="00231425">
        <w:rPr>
          <w:b/>
          <w:u w:val="single"/>
        </w:rPr>
        <w:t xml:space="preserve">  </w:t>
      </w:r>
      <w:r w:rsidR="00231425">
        <w:t>As outlined in Attachment A, Section IIB of the RFA, there is no required local match, however applicants that identify local funding sources of 10% or greater will receive an enhanced rating in this category.</w:t>
      </w:r>
    </w:p>
    <w:p w14:paraId="56909EE5" w14:textId="77777777" w:rsidR="00216C75" w:rsidRPr="00216C75" w:rsidRDefault="00216C75" w:rsidP="00177DFA">
      <w:pPr>
        <w:spacing w:after="0"/>
      </w:pPr>
    </w:p>
    <w:p w14:paraId="052CAB09" w14:textId="497C8EAC" w:rsidR="00216C75" w:rsidRPr="00FC1E34" w:rsidRDefault="00216C75" w:rsidP="00177DFA">
      <w:pPr>
        <w:spacing w:after="0"/>
      </w:pPr>
      <w:r>
        <w:rPr>
          <w:b/>
          <w:u w:val="single"/>
        </w:rPr>
        <w:t>Q</w:t>
      </w:r>
      <w:r w:rsidR="004B2824">
        <w:rPr>
          <w:b/>
          <w:u w:val="single"/>
        </w:rPr>
        <w:t>5</w:t>
      </w:r>
      <w:r>
        <w:rPr>
          <w:b/>
          <w:u w:val="single"/>
        </w:rPr>
        <w:t>:</w:t>
      </w:r>
      <w:r w:rsidR="00FC1E34">
        <w:rPr>
          <w:b/>
          <w:u w:val="single"/>
        </w:rPr>
        <w:t xml:space="preserve">  </w:t>
      </w:r>
      <w:r w:rsidR="00FC1E34">
        <w:t>What is the deadline for expenditure of funds?</w:t>
      </w:r>
    </w:p>
    <w:p w14:paraId="1DAA24B4" w14:textId="141DFED9" w:rsidR="00216C75" w:rsidRPr="00FC1E34" w:rsidRDefault="00216C75" w:rsidP="00177DFA">
      <w:pPr>
        <w:spacing w:after="0"/>
      </w:pPr>
      <w:r>
        <w:rPr>
          <w:b/>
          <w:u w:val="single"/>
        </w:rPr>
        <w:t>A</w:t>
      </w:r>
      <w:r w:rsidR="004B2824">
        <w:rPr>
          <w:b/>
          <w:u w:val="single"/>
        </w:rPr>
        <w:t>5</w:t>
      </w:r>
      <w:r w:rsidRPr="003072FE">
        <w:t>:</w:t>
      </w:r>
      <w:r w:rsidR="00FC1E34" w:rsidRPr="003072FE">
        <w:t xml:space="preserve">  </w:t>
      </w:r>
      <w:r w:rsidR="00FC1E34">
        <w:t xml:space="preserve">As </w:t>
      </w:r>
      <w:r w:rsidR="0091146D">
        <w:t>per</w:t>
      </w:r>
      <w:r w:rsidR="00FC1E34">
        <w:t xml:space="preserve"> Section</w:t>
      </w:r>
      <w:r w:rsidR="00FC1E34" w:rsidRPr="00FC1E34">
        <w:t xml:space="preserve"> </w:t>
      </w:r>
      <w:r w:rsidR="00FC1E34">
        <w:t xml:space="preserve">H(3) of the RFA, the </w:t>
      </w:r>
      <w:r w:rsidR="0091146D">
        <w:t xml:space="preserve">applicant shall </w:t>
      </w:r>
      <w:r w:rsidR="00FC1E34">
        <w:t xml:space="preserve">include a project schedule as part of the detailed project description. This schedule will be used </w:t>
      </w:r>
      <w:r w:rsidR="0091146D">
        <w:t xml:space="preserve">as a baseline for OPM </w:t>
      </w:r>
      <w:r w:rsidR="00FC1E34">
        <w:t xml:space="preserve">to </w:t>
      </w:r>
      <w:r w:rsidR="00C259DB">
        <w:t>establish</w:t>
      </w:r>
      <w:r w:rsidR="00FC1E34">
        <w:t xml:space="preserve"> </w:t>
      </w:r>
      <w:r w:rsidR="0091146D">
        <w:t>a</w:t>
      </w:r>
      <w:r w:rsidR="00FC1E34">
        <w:t xml:space="preserve"> </w:t>
      </w:r>
      <w:r w:rsidR="0091146D">
        <w:t xml:space="preserve">formal project </w:t>
      </w:r>
      <w:r w:rsidR="00FC1E34">
        <w:t>deadline</w:t>
      </w:r>
      <w:r w:rsidR="0091146D">
        <w:t>,</w:t>
      </w:r>
      <w:r w:rsidR="0091146D" w:rsidRPr="0091146D">
        <w:t xml:space="preserve"> </w:t>
      </w:r>
      <w:r w:rsidR="0091146D">
        <w:t>on a project-by-project basis, and included in the contract agreement with the applicant</w:t>
      </w:r>
      <w:r w:rsidR="00FC1E34">
        <w:t>.</w:t>
      </w:r>
    </w:p>
    <w:p w14:paraId="2914DB46" w14:textId="77777777" w:rsidR="00937C83" w:rsidRDefault="00937C83" w:rsidP="00177DFA">
      <w:pPr>
        <w:spacing w:after="0"/>
        <w:rPr>
          <w:b/>
          <w:u w:val="single"/>
        </w:rPr>
      </w:pPr>
    </w:p>
    <w:p w14:paraId="202CC9F3" w14:textId="0150110D" w:rsidR="00216C75" w:rsidRPr="003072FE" w:rsidRDefault="00216C75" w:rsidP="00177DFA">
      <w:pPr>
        <w:spacing w:after="0"/>
      </w:pPr>
      <w:r>
        <w:rPr>
          <w:b/>
          <w:u w:val="single"/>
        </w:rPr>
        <w:t>Q</w:t>
      </w:r>
      <w:r w:rsidR="004B2824">
        <w:rPr>
          <w:b/>
          <w:u w:val="single"/>
        </w:rPr>
        <w:t>6</w:t>
      </w:r>
      <w:r>
        <w:rPr>
          <w:b/>
          <w:u w:val="single"/>
        </w:rPr>
        <w:t>:</w:t>
      </w:r>
      <w:r w:rsidR="003072FE">
        <w:rPr>
          <w:b/>
          <w:u w:val="single"/>
        </w:rPr>
        <w:t xml:space="preserve">  </w:t>
      </w:r>
      <w:r w:rsidR="003072FE" w:rsidRPr="00675B49">
        <w:t>What is the anticipated time-frame for when the funds would be awarded?</w:t>
      </w:r>
    </w:p>
    <w:p w14:paraId="714C279F" w14:textId="6F8B2A3D" w:rsidR="00216C75" w:rsidRPr="003072FE" w:rsidRDefault="00216C75" w:rsidP="00177DFA">
      <w:pPr>
        <w:spacing w:after="0"/>
      </w:pPr>
      <w:r>
        <w:rPr>
          <w:b/>
          <w:u w:val="single"/>
        </w:rPr>
        <w:t>A</w:t>
      </w:r>
      <w:r w:rsidR="004B2824">
        <w:rPr>
          <w:b/>
          <w:u w:val="single"/>
        </w:rPr>
        <w:t>6</w:t>
      </w:r>
      <w:r>
        <w:rPr>
          <w:b/>
          <w:u w:val="single"/>
        </w:rPr>
        <w:t>:</w:t>
      </w:r>
      <w:r w:rsidR="003072FE">
        <w:rPr>
          <w:b/>
          <w:u w:val="single"/>
        </w:rPr>
        <w:t xml:space="preserve">  </w:t>
      </w:r>
      <w:r w:rsidR="00CC2438">
        <w:t>Timing of the selection of projects to be funded is anticipated to coincide with a Bond Commission meeting, either in late winter or early spring of 2016.  Once the Bond Commission has allocated the funds, OPM will work with each grant recipient to finalize the terms and conditions of their grant award(s) for approval</w:t>
      </w:r>
      <w:r w:rsidR="003072FE">
        <w:t>.</w:t>
      </w:r>
    </w:p>
    <w:p w14:paraId="33243661" w14:textId="77777777" w:rsidR="00216C75" w:rsidRDefault="00216C75" w:rsidP="00177DFA">
      <w:pPr>
        <w:spacing w:after="0"/>
        <w:rPr>
          <w:b/>
          <w:u w:val="single"/>
        </w:rPr>
      </w:pPr>
    </w:p>
    <w:p w14:paraId="0F46EE6C" w14:textId="53B90ECB" w:rsidR="00216C75" w:rsidRDefault="00216C75" w:rsidP="00177DFA">
      <w:pPr>
        <w:spacing w:after="0"/>
        <w:rPr>
          <w:b/>
          <w:u w:val="single"/>
        </w:rPr>
      </w:pPr>
      <w:r>
        <w:rPr>
          <w:b/>
          <w:u w:val="single"/>
        </w:rPr>
        <w:t>Q</w:t>
      </w:r>
      <w:r w:rsidR="004B2824">
        <w:rPr>
          <w:b/>
          <w:u w:val="single"/>
        </w:rPr>
        <w:t>7</w:t>
      </w:r>
      <w:r>
        <w:rPr>
          <w:b/>
          <w:u w:val="single"/>
        </w:rPr>
        <w:t>:</w:t>
      </w:r>
      <w:r w:rsidR="003072FE">
        <w:rPr>
          <w:b/>
          <w:u w:val="single"/>
        </w:rPr>
        <w:t xml:space="preserve">  </w:t>
      </w:r>
      <w:r w:rsidR="003072FE" w:rsidRPr="003072FE">
        <w:t xml:space="preserve">Is this an annual grant, or </w:t>
      </w:r>
      <w:r w:rsidR="003072FE">
        <w:t>are</w:t>
      </w:r>
      <w:r w:rsidR="003072FE" w:rsidRPr="003072FE">
        <w:t xml:space="preserve"> similar grant programs </w:t>
      </w:r>
      <w:r w:rsidR="003072FE">
        <w:t xml:space="preserve">expected </w:t>
      </w:r>
      <w:r w:rsidR="003072FE" w:rsidRPr="003072FE">
        <w:t>in the future?</w:t>
      </w:r>
    </w:p>
    <w:p w14:paraId="44C9C125" w14:textId="475A50F1" w:rsidR="00216C75" w:rsidRDefault="00216C75" w:rsidP="00177DFA">
      <w:pPr>
        <w:spacing w:after="0"/>
      </w:pPr>
      <w:r>
        <w:rPr>
          <w:b/>
          <w:u w:val="single"/>
        </w:rPr>
        <w:t>A</w:t>
      </w:r>
      <w:r w:rsidR="004B2824">
        <w:rPr>
          <w:b/>
          <w:u w:val="single"/>
        </w:rPr>
        <w:t>7</w:t>
      </w:r>
      <w:r>
        <w:rPr>
          <w:b/>
          <w:u w:val="single"/>
        </w:rPr>
        <w:t>:</w:t>
      </w:r>
      <w:r w:rsidR="003072FE">
        <w:rPr>
          <w:b/>
          <w:u w:val="single"/>
        </w:rPr>
        <w:t xml:space="preserve">  </w:t>
      </w:r>
      <w:r w:rsidR="004B2824" w:rsidRPr="004B2824">
        <w:t>This is not necessarily intended to be an annual grant program.  However,</w:t>
      </w:r>
      <w:r w:rsidR="004B2824">
        <w:t xml:space="preserve"> </w:t>
      </w:r>
      <w:r w:rsidR="00896B49" w:rsidRPr="004B2824">
        <w:t>OPM anticipates that there will be</w:t>
      </w:r>
      <w:r w:rsidR="00896B49" w:rsidRPr="00532E35">
        <w:t xml:space="preserve"> </w:t>
      </w:r>
      <w:r w:rsidR="00896B49">
        <w:t xml:space="preserve">opportunities for similar types of grant programs in the future, based on the availability of unallocated funds from </w:t>
      </w:r>
      <w:r w:rsidR="004B2824">
        <w:t>existing</w:t>
      </w:r>
      <w:r w:rsidR="00896B49">
        <w:t xml:space="preserve"> bond authorizations and/or new bond authorizations in future fiscal years. </w:t>
      </w:r>
    </w:p>
    <w:p w14:paraId="6EE003B7" w14:textId="77777777" w:rsidR="004B2824" w:rsidRPr="004B2824" w:rsidRDefault="004B2824" w:rsidP="00177DFA">
      <w:pPr>
        <w:spacing w:after="0"/>
      </w:pPr>
    </w:p>
    <w:p w14:paraId="0B0390D2" w14:textId="0AC96229" w:rsidR="00216C75" w:rsidRPr="003072FE" w:rsidRDefault="00216C75" w:rsidP="00177DFA">
      <w:pPr>
        <w:spacing w:after="0"/>
      </w:pPr>
      <w:r>
        <w:rPr>
          <w:b/>
          <w:u w:val="single"/>
        </w:rPr>
        <w:t>Q</w:t>
      </w:r>
      <w:r w:rsidR="004B2824">
        <w:rPr>
          <w:b/>
          <w:u w:val="single"/>
        </w:rPr>
        <w:t>8</w:t>
      </w:r>
      <w:r>
        <w:rPr>
          <w:b/>
          <w:u w:val="single"/>
        </w:rPr>
        <w:t>:</w:t>
      </w:r>
      <w:r w:rsidR="003072FE" w:rsidRPr="0062058F">
        <w:rPr>
          <w:b/>
        </w:rPr>
        <w:t xml:space="preserve">  </w:t>
      </w:r>
      <w:r w:rsidR="0062058F" w:rsidRPr="0062058F">
        <w:rPr>
          <w:b/>
        </w:rPr>
        <w:t xml:space="preserve"> </w:t>
      </w:r>
      <w:r w:rsidR="003072FE" w:rsidRPr="00675B49">
        <w:t>In determining the budget, are there any additional fees incurred by the State of CT that must be included as part of the project budget?</w:t>
      </w:r>
    </w:p>
    <w:p w14:paraId="0C33CE59" w14:textId="727D0829" w:rsidR="00216C75" w:rsidRDefault="00216C75" w:rsidP="00177DFA">
      <w:pPr>
        <w:spacing w:after="0"/>
      </w:pPr>
      <w:r>
        <w:rPr>
          <w:b/>
          <w:u w:val="single"/>
        </w:rPr>
        <w:t>A</w:t>
      </w:r>
      <w:r w:rsidR="004B2824">
        <w:rPr>
          <w:b/>
          <w:u w:val="single"/>
        </w:rPr>
        <w:t>8</w:t>
      </w:r>
      <w:r>
        <w:rPr>
          <w:b/>
          <w:u w:val="single"/>
        </w:rPr>
        <w:t>:</w:t>
      </w:r>
      <w:r w:rsidR="0062058F">
        <w:t xml:space="preserve">  No</w:t>
      </w:r>
      <w:r w:rsidR="00C75BB7">
        <w:t>, there are no additional fees involved in negotiating or entering into a contract with the State under this grant program</w:t>
      </w:r>
      <w:r w:rsidR="00CD2DA1">
        <w:t>.  However,</w:t>
      </w:r>
      <w:r w:rsidR="0062058F">
        <w:t xml:space="preserve"> please note the </w:t>
      </w:r>
      <w:r w:rsidR="00CD2DA1">
        <w:t xml:space="preserve">new </w:t>
      </w:r>
      <w:r w:rsidR="00CD2DA1" w:rsidRPr="00CD2DA1">
        <w:t>statutory requirements relating to nondiscrimination, affirmative action, and the set-aside program for small contractors and minority business enterprises</w:t>
      </w:r>
      <w:r w:rsidR="00CD2DA1">
        <w:t xml:space="preserve"> for municipal public works contracts as </w:t>
      </w:r>
      <w:r w:rsidR="00CD2DA1" w:rsidRPr="00CD2DA1">
        <w:t>amended by</w:t>
      </w:r>
      <w:r w:rsidR="00CD2DA1">
        <w:t xml:space="preserve"> the</w:t>
      </w:r>
      <w:r w:rsidR="00CD2DA1" w:rsidRPr="00CD2DA1">
        <w:t xml:space="preserve"> </w:t>
      </w:r>
      <w:hyperlink r:id="rId7" w:history="1">
        <w:r w:rsidR="00CD2DA1" w:rsidRPr="00CD2DA1">
          <w:rPr>
            <w:rStyle w:val="Hyperlink"/>
          </w:rPr>
          <w:t>June 2015 Special Session Public Act 15-5</w:t>
        </w:r>
      </w:hyperlink>
      <w:r w:rsidR="00CD2DA1" w:rsidRPr="00CD2DA1">
        <w:t>.</w:t>
      </w:r>
      <w:r w:rsidR="00CD2DA1">
        <w:t xml:space="preserve">  </w:t>
      </w:r>
      <w:r w:rsidR="00C75BB7">
        <w:t xml:space="preserve">These new requirements may create additional costs for certain construction projects. </w:t>
      </w:r>
      <w:r w:rsidR="00CD2DA1">
        <w:t xml:space="preserve">Additional information can be found at the </w:t>
      </w:r>
      <w:hyperlink r:id="rId8" w:history="1">
        <w:r w:rsidR="00CD2DA1" w:rsidRPr="00CD2DA1">
          <w:rPr>
            <w:rStyle w:val="Hyperlink"/>
          </w:rPr>
          <w:t>CHRO website</w:t>
        </w:r>
      </w:hyperlink>
      <w:r w:rsidR="00CD2DA1">
        <w:t>.</w:t>
      </w:r>
    </w:p>
    <w:p w14:paraId="41AEF1F9" w14:textId="77777777" w:rsidR="004B2824" w:rsidRPr="004B2824" w:rsidRDefault="004B2824" w:rsidP="00177DFA">
      <w:pPr>
        <w:spacing w:after="0"/>
      </w:pPr>
    </w:p>
    <w:p w14:paraId="3A7FD911" w14:textId="4C5A7271" w:rsidR="00CD2DA1" w:rsidRDefault="00216C75" w:rsidP="00177DFA">
      <w:pPr>
        <w:spacing w:after="0"/>
      </w:pPr>
      <w:r>
        <w:rPr>
          <w:b/>
          <w:u w:val="single"/>
        </w:rPr>
        <w:t>Q</w:t>
      </w:r>
      <w:r w:rsidR="004B2824">
        <w:rPr>
          <w:b/>
          <w:u w:val="single"/>
        </w:rPr>
        <w:t>9</w:t>
      </w:r>
      <w:r w:rsidRPr="00177DFA">
        <w:rPr>
          <w:b/>
        </w:rPr>
        <w:t>:</w:t>
      </w:r>
      <w:r w:rsidR="00177DFA">
        <w:rPr>
          <w:b/>
        </w:rPr>
        <w:t xml:space="preserve">  </w:t>
      </w:r>
      <w:r w:rsidR="00CD2DA1" w:rsidRPr="00675B49">
        <w:t>Our City is partnering with our economic development agency in the application.  Are administrative fees allowed</w:t>
      </w:r>
      <w:r w:rsidR="00CD2DA1">
        <w:t>, and i</w:t>
      </w:r>
      <w:r w:rsidR="00CD2DA1" w:rsidRPr="00675B49">
        <w:t>f s</w:t>
      </w:r>
      <w:r w:rsidR="00CD2DA1">
        <w:t>o what is the maximum percentage</w:t>
      </w:r>
      <w:r w:rsidR="00CD2DA1" w:rsidRPr="00675B49">
        <w:t>?</w:t>
      </w:r>
    </w:p>
    <w:p w14:paraId="6E26DF3D" w14:textId="5710A15A" w:rsidR="00216C75" w:rsidRPr="00216C75" w:rsidRDefault="00216C75" w:rsidP="00177DFA">
      <w:pPr>
        <w:spacing w:after="0"/>
        <w:rPr>
          <w:i/>
        </w:rPr>
      </w:pPr>
      <w:r>
        <w:rPr>
          <w:b/>
          <w:u w:val="single"/>
        </w:rPr>
        <w:t>A</w:t>
      </w:r>
      <w:r w:rsidR="004B2824">
        <w:rPr>
          <w:b/>
          <w:u w:val="single"/>
        </w:rPr>
        <w:t>9</w:t>
      </w:r>
      <w:r w:rsidRPr="009D372C">
        <w:t>:</w:t>
      </w:r>
      <w:r w:rsidR="009D372C" w:rsidRPr="009D372C">
        <w:rPr>
          <w:i/>
        </w:rPr>
        <w:t xml:space="preserve">  </w:t>
      </w:r>
      <w:r w:rsidR="004B2824" w:rsidRPr="00177DFA">
        <w:t>Allowance for administrative fees will be considered on a case by case basis, relative to the nature of the proposal.  Any such allowance must be in conformity with th</w:t>
      </w:r>
      <w:r w:rsidR="00177DFA">
        <w:t>e Non-Supplanting provision of Section 16 of the G</w:t>
      </w:r>
      <w:r w:rsidR="004B2824" w:rsidRPr="00177DFA">
        <w:t xml:space="preserve">eneral Grant Conditions </w:t>
      </w:r>
      <w:r w:rsidR="00177DFA" w:rsidRPr="00177DFA">
        <w:t>in Attachment D of the RFA.  This provision applies to both municipalities and COGs.</w:t>
      </w:r>
    </w:p>
    <w:p w14:paraId="644F2064" w14:textId="77777777" w:rsidR="00216C75" w:rsidRDefault="00216C75" w:rsidP="00177DFA">
      <w:pPr>
        <w:spacing w:after="0"/>
        <w:rPr>
          <w:i/>
        </w:rPr>
      </w:pPr>
    </w:p>
    <w:p w14:paraId="4A9A98A2" w14:textId="6DE449B9" w:rsidR="00216C75" w:rsidRPr="00E7592C" w:rsidRDefault="00216C75" w:rsidP="00177DFA">
      <w:pPr>
        <w:spacing w:after="0"/>
      </w:pPr>
      <w:r>
        <w:rPr>
          <w:b/>
          <w:u w:val="single"/>
        </w:rPr>
        <w:t>Q</w:t>
      </w:r>
      <w:r w:rsidR="00177DFA">
        <w:rPr>
          <w:b/>
          <w:u w:val="single"/>
        </w:rPr>
        <w:t>10</w:t>
      </w:r>
      <w:r>
        <w:rPr>
          <w:b/>
          <w:u w:val="single"/>
        </w:rPr>
        <w:t>:</w:t>
      </w:r>
      <w:r w:rsidR="00E7592C">
        <w:rPr>
          <w:b/>
          <w:u w:val="single"/>
        </w:rPr>
        <w:t xml:space="preserve">  </w:t>
      </w:r>
      <w:r w:rsidR="00C75BB7" w:rsidRPr="00C75BB7">
        <w:t xml:space="preserve">OPM received several questions regarding the eligibility of various local projects and OPM’s interest in funding those projects. </w:t>
      </w:r>
    </w:p>
    <w:p w14:paraId="7BC39C4C" w14:textId="05373923" w:rsidR="00C259DB" w:rsidRPr="00216C75" w:rsidRDefault="00216C75" w:rsidP="00177DFA">
      <w:pPr>
        <w:spacing w:after="0"/>
        <w:rPr>
          <w:i/>
        </w:rPr>
      </w:pPr>
      <w:r>
        <w:rPr>
          <w:b/>
          <w:u w:val="single"/>
        </w:rPr>
        <w:t>A</w:t>
      </w:r>
      <w:r w:rsidR="00177DFA">
        <w:rPr>
          <w:b/>
          <w:u w:val="single"/>
        </w:rPr>
        <w:t>10</w:t>
      </w:r>
      <w:r w:rsidRPr="009D372C">
        <w:t>:</w:t>
      </w:r>
      <w:r w:rsidR="009D372C">
        <w:t xml:space="preserve">  </w:t>
      </w:r>
      <w:r w:rsidR="00C75BB7">
        <w:t xml:space="preserve">It is not permissible for OPM to discuss specific project details at this time, however, all projects that meet the broad eligibility requirements in Section B of the RFA will be evaluated based on the </w:t>
      </w:r>
      <w:r w:rsidR="00177DFA">
        <w:t xml:space="preserve">Screening and </w:t>
      </w:r>
      <w:r w:rsidR="00C75BB7">
        <w:t xml:space="preserve">Rating Criteria in Attachment A of the RFA. </w:t>
      </w:r>
    </w:p>
    <w:p w14:paraId="1A501C41" w14:textId="77777777" w:rsidR="00216C75" w:rsidRPr="00216C75" w:rsidRDefault="00216C75" w:rsidP="00177DFA">
      <w:pPr>
        <w:spacing w:after="0"/>
        <w:rPr>
          <w:i/>
        </w:rPr>
      </w:pPr>
    </w:p>
    <w:p w14:paraId="0E589AD8" w14:textId="185A2657" w:rsidR="00216C75" w:rsidRPr="0036729B" w:rsidRDefault="00177DFA" w:rsidP="00177DFA">
      <w:pPr>
        <w:spacing w:after="0"/>
      </w:pPr>
      <w:r>
        <w:rPr>
          <w:b/>
          <w:u w:val="single"/>
        </w:rPr>
        <w:t>Q11</w:t>
      </w:r>
      <w:r w:rsidR="00216C75" w:rsidRPr="0036729B">
        <w:rPr>
          <w:b/>
        </w:rPr>
        <w:t>:</w:t>
      </w:r>
      <w:r w:rsidR="0036729B" w:rsidRPr="0036729B">
        <w:t xml:space="preserve">  Do construction projects expanding on previous state investments in TOD have priority over planning and construction projects demonstrating responsible growt</w:t>
      </w:r>
      <w:r>
        <w:t>h through consistency with the S</w:t>
      </w:r>
      <w:r w:rsidR="0036729B" w:rsidRPr="0036729B">
        <w:t>tate C &amp; D Plan?</w:t>
      </w:r>
      <w:r>
        <w:t xml:space="preserve">  </w:t>
      </w:r>
      <w:r w:rsidRPr="0036729B">
        <w:t xml:space="preserve">Do construction projects </w:t>
      </w:r>
      <w:r>
        <w:t xml:space="preserve">have priority over planning projects?  </w:t>
      </w:r>
    </w:p>
    <w:p w14:paraId="0BD34CDD" w14:textId="069CC650" w:rsidR="00216C75" w:rsidRDefault="00216C75" w:rsidP="00177DFA">
      <w:pPr>
        <w:spacing w:after="0"/>
      </w:pPr>
      <w:r>
        <w:rPr>
          <w:b/>
          <w:u w:val="single"/>
        </w:rPr>
        <w:t>A</w:t>
      </w:r>
      <w:r w:rsidR="00177DFA">
        <w:rPr>
          <w:b/>
          <w:u w:val="single"/>
        </w:rPr>
        <w:t>11</w:t>
      </w:r>
      <w:r>
        <w:rPr>
          <w:b/>
          <w:u w:val="single"/>
        </w:rPr>
        <w:t>:</w:t>
      </w:r>
      <w:r w:rsidR="0036729B">
        <w:rPr>
          <w:b/>
          <w:u w:val="single"/>
        </w:rPr>
        <w:t xml:space="preserve">  </w:t>
      </w:r>
      <w:r w:rsidR="00177DFA">
        <w:t xml:space="preserve">Priority will be given to construction projects that </w:t>
      </w:r>
      <w:r w:rsidR="00177DFA" w:rsidRPr="00C75BB7">
        <w:t>leverage past state investments in planning, site preparation and/or infrastructure improvements</w:t>
      </w:r>
      <w:r w:rsidR="00177DFA">
        <w:t xml:space="preserve"> for the purposes of (1) advancing transit-oriented development, </w:t>
      </w:r>
      <w:r w:rsidR="00177DFA" w:rsidRPr="00177DFA">
        <w:t>or</w:t>
      </w:r>
      <w:r w:rsidR="00177DFA">
        <w:t xml:space="preserve"> (2) demonstrating responsible growth.  </w:t>
      </w:r>
      <w:r w:rsidR="0036729B">
        <w:t>The separate distinction refers to the difference in funding sources available to each type of project as identified in Section E of the RFA.  At the time of award, OPM will match the project to the most appropriate funding source as reflected by the scope of work.</w:t>
      </w:r>
      <w:r w:rsidR="00F7254F">
        <w:t xml:space="preserve">  </w:t>
      </w:r>
      <w:r w:rsidR="00F7254F" w:rsidRPr="00F7254F">
        <w:t>Please note, projects intended to demonstrate responsible growth do not have to include a TOD component.</w:t>
      </w:r>
    </w:p>
    <w:p w14:paraId="47709672" w14:textId="77777777" w:rsidR="00177DFA" w:rsidRPr="00177DFA" w:rsidRDefault="00177DFA" w:rsidP="00177DFA">
      <w:pPr>
        <w:spacing w:after="0"/>
      </w:pPr>
    </w:p>
    <w:p w14:paraId="44387ACC" w14:textId="60019103" w:rsidR="00216C75" w:rsidRPr="002C6146" w:rsidRDefault="00216C75" w:rsidP="00177DFA">
      <w:pPr>
        <w:spacing w:after="0"/>
      </w:pPr>
      <w:r>
        <w:rPr>
          <w:b/>
          <w:u w:val="single"/>
        </w:rPr>
        <w:t>Q</w:t>
      </w:r>
      <w:r w:rsidR="00177DFA">
        <w:rPr>
          <w:b/>
          <w:u w:val="single"/>
        </w:rPr>
        <w:t>12</w:t>
      </w:r>
      <w:r>
        <w:rPr>
          <w:b/>
          <w:u w:val="single"/>
        </w:rPr>
        <w:t>:</w:t>
      </w:r>
      <w:r w:rsidR="002C6146">
        <w:rPr>
          <w:b/>
          <w:u w:val="single"/>
        </w:rPr>
        <w:t xml:space="preserve">  </w:t>
      </w:r>
      <w:r w:rsidR="009D372C">
        <w:t xml:space="preserve">Can these funds be used for CEDS planning?  Can they be used as match funds for obtaining a grant from the </w:t>
      </w:r>
      <w:r w:rsidR="009D372C" w:rsidRPr="009D372C">
        <w:t>Economic Development Administration</w:t>
      </w:r>
      <w:r w:rsidR="009D372C">
        <w:t>?</w:t>
      </w:r>
    </w:p>
    <w:p w14:paraId="1A9F3BB1" w14:textId="0890BEE2" w:rsidR="000803CD" w:rsidRPr="000803CD" w:rsidRDefault="00216C75" w:rsidP="00177DFA">
      <w:pPr>
        <w:spacing w:after="0"/>
      </w:pPr>
      <w:r>
        <w:rPr>
          <w:b/>
          <w:u w:val="single"/>
        </w:rPr>
        <w:t>A</w:t>
      </w:r>
      <w:r w:rsidR="00177DFA">
        <w:rPr>
          <w:b/>
          <w:u w:val="single"/>
        </w:rPr>
        <w:t>12</w:t>
      </w:r>
      <w:r>
        <w:rPr>
          <w:b/>
          <w:u w:val="single"/>
        </w:rPr>
        <w:t>:</w:t>
      </w:r>
      <w:r w:rsidR="009D372C">
        <w:rPr>
          <w:b/>
          <w:u w:val="single"/>
        </w:rPr>
        <w:t xml:space="preserve">  </w:t>
      </w:r>
      <w:r w:rsidR="009D372C">
        <w:t xml:space="preserve"> Although preference will be given to construction projects, the eligibility criteria of this program is broad enough that CEDS planning could be considered an eligible activity.  However, please note</w:t>
      </w:r>
      <w:r w:rsidR="009D372C" w:rsidRPr="009D372C">
        <w:t xml:space="preserve"> that only municipalities and COGs can apply under this grant program, so any CEDS/EDD proposal would have to be in partnership with a municipality or COG</w:t>
      </w:r>
      <w:r w:rsidR="009D372C">
        <w:t>.</w:t>
      </w:r>
    </w:p>
    <w:p w14:paraId="52DDAFB0" w14:textId="77777777" w:rsidR="00675B49" w:rsidRPr="00675B49" w:rsidRDefault="00675B49" w:rsidP="00675B49"/>
    <w:p w14:paraId="1DA9C7C2" w14:textId="77777777" w:rsidR="00675B49" w:rsidRPr="00675B49" w:rsidRDefault="00675B49" w:rsidP="00675B49"/>
    <w:sectPr w:rsidR="00675B49" w:rsidRPr="00675B4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93F36F" w14:textId="77777777" w:rsidR="00A657BC" w:rsidRDefault="00A657BC" w:rsidP="00E12418">
      <w:pPr>
        <w:spacing w:after="0" w:line="240" w:lineRule="auto"/>
      </w:pPr>
      <w:r>
        <w:separator/>
      </w:r>
    </w:p>
  </w:endnote>
  <w:endnote w:type="continuationSeparator" w:id="0">
    <w:p w14:paraId="27243210" w14:textId="77777777" w:rsidR="00A657BC" w:rsidRDefault="00A657BC" w:rsidP="00E12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01F32" w14:textId="007609B9" w:rsidR="00E12418" w:rsidRDefault="00E12418">
    <w:pPr>
      <w:pStyle w:val="Footer"/>
    </w:pPr>
    <w:r>
      <w:tab/>
    </w:r>
    <w:r>
      <w:tab/>
      <w:t xml:space="preserve">Page | </w:t>
    </w:r>
    <w:r>
      <w:fldChar w:fldCharType="begin"/>
    </w:r>
    <w:r>
      <w:instrText xml:space="preserve"> PAGE   \* MERGEFORMAT </w:instrText>
    </w:r>
    <w:r>
      <w:fldChar w:fldCharType="separate"/>
    </w:r>
    <w:r w:rsidR="00B13F42">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FC36F" w14:textId="77777777" w:rsidR="00A657BC" w:rsidRDefault="00A657BC" w:rsidP="00E12418">
      <w:pPr>
        <w:spacing w:after="0" w:line="240" w:lineRule="auto"/>
      </w:pPr>
      <w:r>
        <w:separator/>
      </w:r>
    </w:p>
  </w:footnote>
  <w:footnote w:type="continuationSeparator" w:id="0">
    <w:p w14:paraId="55343390" w14:textId="77777777" w:rsidR="00A657BC" w:rsidRDefault="00A657BC" w:rsidP="00E124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A45FB"/>
    <w:multiLevelType w:val="hybridMultilevel"/>
    <w:tmpl w:val="FF1EA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D175B8"/>
    <w:multiLevelType w:val="hybridMultilevel"/>
    <w:tmpl w:val="DAF80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575AB7"/>
    <w:multiLevelType w:val="hybridMultilevel"/>
    <w:tmpl w:val="2C66B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DF37743"/>
    <w:multiLevelType w:val="hybridMultilevel"/>
    <w:tmpl w:val="1398E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C61376"/>
    <w:multiLevelType w:val="hybridMultilevel"/>
    <w:tmpl w:val="809C5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A95062"/>
    <w:multiLevelType w:val="hybridMultilevel"/>
    <w:tmpl w:val="C7FA73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6917DD4"/>
    <w:multiLevelType w:val="hybridMultilevel"/>
    <w:tmpl w:val="F5B2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750FD3"/>
    <w:multiLevelType w:val="hybridMultilevel"/>
    <w:tmpl w:val="A9849D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92B35AD"/>
    <w:multiLevelType w:val="hybridMultilevel"/>
    <w:tmpl w:val="BFE2CE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9947467"/>
    <w:multiLevelType w:val="hybridMultilevel"/>
    <w:tmpl w:val="D2DCD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AD6E91"/>
    <w:multiLevelType w:val="hybridMultilevel"/>
    <w:tmpl w:val="F8707C54"/>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11">
    <w:nsid w:val="522778AB"/>
    <w:multiLevelType w:val="hybridMultilevel"/>
    <w:tmpl w:val="FFF606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CD818FE"/>
    <w:multiLevelType w:val="hybridMultilevel"/>
    <w:tmpl w:val="05A85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9A193A"/>
    <w:multiLevelType w:val="hybridMultilevel"/>
    <w:tmpl w:val="0F707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66293E"/>
    <w:multiLevelType w:val="hybridMultilevel"/>
    <w:tmpl w:val="CCEC3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F95DA0"/>
    <w:multiLevelType w:val="hybridMultilevel"/>
    <w:tmpl w:val="389E8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365C42"/>
    <w:multiLevelType w:val="hybridMultilevel"/>
    <w:tmpl w:val="3AD2F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BE4542"/>
    <w:multiLevelType w:val="hybridMultilevel"/>
    <w:tmpl w:val="675CB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315C75"/>
    <w:multiLevelType w:val="hybridMultilevel"/>
    <w:tmpl w:val="76983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5"/>
  </w:num>
  <w:num w:numId="6">
    <w:abstractNumId w:val="13"/>
  </w:num>
  <w:num w:numId="7">
    <w:abstractNumId w:val="11"/>
  </w:num>
  <w:num w:numId="8">
    <w:abstractNumId w:val="0"/>
  </w:num>
  <w:num w:numId="9">
    <w:abstractNumId w:val="14"/>
  </w:num>
  <w:num w:numId="10">
    <w:abstractNumId w:val="17"/>
  </w:num>
  <w:num w:numId="11">
    <w:abstractNumId w:val="12"/>
  </w:num>
  <w:num w:numId="12">
    <w:abstractNumId w:val="6"/>
  </w:num>
  <w:num w:numId="13">
    <w:abstractNumId w:val="16"/>
  </w:num>
  <w:num w:numId="14">
    <w:abstractNumId w:val="9"/>
  </w:num>
  <w:num w:numId="15">
    <w:abstractNumId w:val="4"/>
  </w:num>
  <w:num w:numId="16">
    <w:abstractNumId w:val="18"/>
  </w:num>
  <w:num w:numId="17">
    <w:abstractNumId w:val="3"/>
  </w:num>
  <w:num w:numId="18">
    <w:abstractNumId w:val="1"/>
  </w:num>
  <w:num w:numId="19">
    <w:abstractNumId w:val="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34CAzk0S/Z5XF/qcHdFRPauoelpqGT6T5/GCqk40ATsYsRBleg8nhcO5ReGPJf7kinuWRyXeeQkU7y6BpsDxAw==" w:salt="k3sgC/tgMEDO05xcKll/s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B49"/>
    <w:rsid w:val="0007290B"/>
    <w:rsid w:val="000803CD"/>
    <w:rsid w:val="00177DFA"/>
    <w:rsid w:val="001A7CF2"/>
    <w:rsid w:val="001E5C1F"/>
    <w:rsid w:val="00216C75"/>
    <w:rsid w:val="00231425"/>
    <w:rsid w:val="002B5FF1"/>
    <w:rsid w:val="002C6146"/>
    <w:rsid w:val="003072FE"/>
    <w:rsid w:val="0036729B"/>
    <w:rsid w:val="004B2824"/>
    <w:rsid w:val="00517573"/>
    <w:rsid w:val="00532E35"/>
    <w:rsid w:val="00594B07"/>
    <w:rsid w:val="005B20A1"/>
    <w:rsid w:val="005E334C"/>
    <w:rsid w:val="005F1C3B"/>
    <w:rsid w:val="0062058F"/>
    <w:rsid w:val="006622E0"/>
    <w:rsid w:val="00675B49"/>
    <w:rsid w:val="006B75B6"/>
    <w:rsid w:val="00896B49"/>
    <w:rsid w:val="0091146D"/>
    <w:rsid w:val="00937C83"/>
    <w:rsid w:val="009D372C"/>
    <w:rsid w:val="009F7A35"/>
    <w:rsid w:val="00A657BC"/>
    <w:rsid w:val="00A90247"/>
    <w:rsid w:val="00AA0249"/>
    <w:rsid w:val="00AC444E"/>
    <w:rsid w:val="00B13F42"/>
    <w:rsid w:val="00B253BA"/>
    <w:rsid w:val="00B4175B"/>
    <w:rsid w:val="00C259DB"/>
    <w:rsid w:val="00C75BB7"/>
    <w:rsid w:val="00CC2438"/>
    <w:rsid w:val="00CD2DA1"/>
    <w:rsid w:val="00D212AB"/>
    <w:rsid w:val="00E12418"/>
    <w:rsid w:val="00E270AC"/>
    <w:rsid w:val="00E27B16"/>
    <w:rsid w:val="00E7592C"/>
    <w:rsid w:val="00F52CBA"/>
    <w:rsid w:val="00F7254F"/>
    <w:rsid w:val="00F864FB"/>
    <w:rsid w:val="00FC1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E1534"/>
  <w15:chartTrackingRefBased/>
  <w15:docId w15:val="{422A0570-EB63-4FFB-B877-0C58FB6B2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675B49"/>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675B49"/>
    <w:rPr>
      <w:rFonts w:ascii="Calibri" w:hAnsi="Calibri" w:cs="Consolas"/>
      <w:szCs w:val="21"/>
    </w:rPr>
  </w:style>
  <w:style w:type="paragraph" w:styleId="ListParagraph">
    <w:name w:val="List Paragraph"/>
    <w:basedOn w:val="Normal"/>
    <w:uiPriority w:val="34"/>
    <w:qFormat/>
    <w:rsid w:val="00216C75"/>
    <w:pPr>
      <w:ind w:left="720"/>
      <w:contextualSpacing/>
    </w:pPr>
  </w:style>
  <w:style w:type="character" w:styleId="Hyperlink">
    <w:name w:val="Hyperlink"/>
    <w:basedOn w:val="DefaultParagraphFont"/>
    <w:uiPriority w:val="99"/>
    <w:unhideWhenUsed/>
    <w:rsid w:val="00CD2DA1"/>
    <w:rPr>
      <w:color w:val="0563C1" w:themeColor="hyperlink"/>
      <w:u w:val="single"/>
    </w:rPr>
  </w:style>
  <w:style w:type="paragraph" w:styleId="Header">
    <w:name w:val="header"/>
    <w:basedOn w:val="Normal"/>
    <w:link w:val="HeaderChar"/>
    <w:uiPriority w:val="99"/>
    <w:unhideWhenUsed/>
    <w:rsid w:val="00E12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418"/>
  </w:style>
  <w:style w:type="paragraph" w:styleId="Footer">
    <w:name w:val="footer"/>
    <w:basedOn w:val="Normal"/>
    <w:link w:val="FooterChar"/>
    <w:uiPriority w:val="99"/>
    <w:unhideWhenUsed/>
    <w:rsid w:val="00E12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418"/>
  </w:style>
  <w:style w:type="character" w:styleId="CommentReference">
    <w:name w:val="annotation reference"/>
    <w:basedOn w:val="DefaultParagraphFont"/>
    <w:uiPriority w:val="99"/>
    <w:semiHidden/>
    <w:unhideWhenUsed/>
    <w:rsid w:val="00AC444E"/>
    <w:rPr>
      <w:sz w:val="16"/>
      <w:szCs w:val="16"/>
    </w:rPr>
  </w:style>
  <w:style w:type="paragraph" w:styleId="CommentText">
    <w:name w:val="annotation text"/>
    <w:basedOn w:val="Normal"/>
    <w:link w:val="CommentTextChar"/>
    <w:uiPriority w:val="99"/>
    <w:semiHidden/>
    <w:unhideWhenUsed/>
    <w:rsid w:val="00AC444E"/>
    <w:pPr>
      <w:spacing w:line="240" w:lineRule="auto"/>
    </w:pPr>
    <w:rPr>
      <w:sz w:val="20"/>
      <w:szCs w:val="20"/>
    </w:rPr>
  </w:style>
  <w:style w:type="character" w:customStyle="1" w:styleId="CommentTextChar">
    <w:name w:val="Comment Text Char"/>
    <w:basedOn w:val="DefaultParagraphFont"/>
    <w:link w:val="CommentText"/>
    <w:uiPriority w:val="99"/>
    <w:semiHidden/>
    <w:rsid w:val="00AC444E"/>
    <w:rPr>
      <w:sz w:val="20"/>
      <w:szCs w:val="20"/>
    </w:rPr>
  </w:style>
  <w:style w:type="paragraph" w:styleId="CommentSubject">
    <w:name w:val="annotation subject"/>
    <w:basedOn w:val="CommentText"/>
    <w:next w:val="CommentText"/>
    <w:link w:val="CommentSubjectChar"/>
    <w:uiPriority w:val="99"/>
    <w:semiHidden/>
    <w:unhideWhenUsed/>
    <w:rsid w:val="00AC444E"/>
    <w:rPr>
      <w:b/>
      <w:bCs/>
    </w:rPr>
  </w:style>
  <w:style w:type="character" w:customStyle="1" w:styleId="CommentSubjectChar">
    <w:name w:val="Comment Subject Char"/>
    <w:basedOn w:val="CommentTextChar"/>
    <w:link w:val="CommentSubject"/>
    <w:uiPriority w:val="99"/>
    <w:semiHidden/>
    <w:rsid w:val="00AC444E"/>
    <w:rPr>
      <w:b/>
      <w:bCs/>
      <w:sz w:val="20"/>
      <w:szCs w:val="20"/>
    </w:rPr>
  </w:style>
  <w:style w:type="paragraph" w:styleId="BalloonText">
    <w:name w:val="Balloon Text"/>
    <w:basedOn w:val="Normal"/>
    <w:link w:val="BalloonTextChar"/>
    <w:uiPriority w:val="99"/>
    <w:semiHidden/>
    <w:unhideWhenUsed/>
    <w:rsid w:val="00AC44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44E"/>
    <w:rPr>
      <w:rFonts w:ascii="Segoe UI" w:hAnsi="Segoe UI" w:cs="Segoe UI"/>
      <w:sz w:val="18"/>
      <w:szCs w:val="18"/>
    </w:rPr>
  </w:style>
  <w:style w:type="paragraph" w:customStyle="1" w:styleId="Default">
    <w:name w:val="Default"/>
    <w:rsid w:val="005F1C3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479244">
      <w:bodyDiv w:val="1"/>
      <w:marLeft w:val="0"/>
      <w:marRight w:val="0"/>
      <w:marTop w:val="0"/>
      <w:marBottom w:val="0"/>
      <w:divBdr>
        <w:top w:val="none" w:sz="0" w:space="0" w:color="auto"/>
        <w:left w:val="none" w:sz="0" w:space="0" w:color="auto"/>
        <w:bottom w:val="none" w:sz="0" w:space="0" w:color="auto"/>
        <w:right w:val="none" w:sz="0" w:space="0" w:color="auto"/>
      </w:divBdr>
    </w:div>
    <w:div w:id="258803605">
      <w:bodyDiv w:val="1"/>
      <w:marLeft w:val="0"/>
      <w:marRight w:val="0"/>
      <w:marTop w:val="0"/>
      <w:marBottom w:val="0"/>
      <w:divBdr>
        <w:top w:val="none" w:sz="0" w:space="0" w:color="auto"/>
        <w:left w:val="none" w:sz="0" w:space="0" w:color="auto"/>
        <w:bottom w:val="none" w:sz="0" w:space="0" w:color="auto"/>
        <w:right w:val="none" w:sz="0" w:space="0" w:color="auto"/>
      </w:divBdr>
    </w:div>
    <w:div w:id="267009457">
      <w:bodyDiv w:val="1"/>
      <w:marLeft w:val="0"/>
      <w:marRight w:val="0"/>
      <w:marTop w:val="0"/>
      <w:marBottom w:val="0"/>
      <w:divBdr>
        <w:top w:val="none" w:sz="0" w:space="0" w:color="auto"/>
        <w:left w:val="none" w:sz="0" w:space="0" w:color="auto"/>
        <w:bottom w:val="none" w:sz="0" w:space="0" w:color="auto"/>
        <w:right w:val="none" w:sz="0" w:space="0" w:color="auto"/>
      </w:divBdr>
    </w:div>
    <w:div w:id="508256483">
      <w:bodyDiv w:val="1"/>
      <w:marLeft w:val="0"/>
      <w:marRight w:val="0"/>
      <w:marTop w:val="0"/>
      <w:marBottom w:val="0"/>
      <w:divBdr>
        <w:top w:val="none" w:sz="0" w:space="0" w:color="auto"/>
        <w:left w:val="none" w:sz="0" w:space="0" w:color="auto"/>
        <w:bottom w:val="none" w:sz="0" w:space="0" w:color="auto"/>
        <w:right w:val="none" w:sz="0" w:space="0" w:color="auto"/>
      </w:divBdr>
    </w:div>
    <w:div w:id="609315416">
      <w:bodyDiv w:val="1"/>
      <w:marLeft w:val="0"/>
      <w:marRight w:val="0"/>
      <w:marTop w:val="0"/>
      <w:marBottom w:val="0"/>
      <w:divBdr>
        <w:top w:val="none" w:sz="0" w:space="0" w:color="auto"/>
        <w:left w:val="none" w:sz="0" w:space="0" w:color="auto"/>
        <w:bottom w:val="none" w:sz="0" w:space="0" w:color="auto"/>
        <w:right w:val="none" w:sz="0" w:space="0" w:color="auto"/>
      </w:divBdr>
    </w:div>
    <w:div w:id="772435144">
      <w:bodyDiv w:val="1"/>
      <w:marLeft w:val="0"/>
      <w:marRight w:val="0"/>
      <w:marTop w:val="0"/>
      <w:marBottom w:val="0"/>
      <w:divBdr>
        <w:top w:val="none" w:sz="0" w:space="0" w:color="auto"/>
        <w:left w:val="none" w:sz="0" w:space="0" w:color="auto"/>
        <w:bottom w:val="none" w:sz="0" w:space="0" w:color="auto"/>
        <w:right w:val="none" w:sz="0" w:space="0" w:color="auto"/>
      </w:divBdr>
    </w:div>
    <w:div w:id="812870289">
      <w:bodyDiv w:val="1"/>
      <w:marLeft w:val="0"/>
      <w:marRight w:val="0"/>
      <w:marTop w:val="0"/>
      <w:marBottom w:val="0"/>
      <w:divBdr>
        <w:top w:val="none" w:sz="0" w:space="0" w:color="auto"/>
        <w:left w:val="none" w:sz="0" w:space="0" w:color="auto"/>
        <w:bottom w:val="none" w:sz="0" w:space="0" w:color="auto"/>
        <w:right w:val="none" w:sz="0" w:space="0" w:color="auto"/>
      </w:divBdr>
    </w:div>
    <w:div w:id="878131678">
      <w:bodyDiv w:val="1"/>
      <w:marLeft w:val="0"/>
      <w:marRight w:val="0"/>
      <w:marTop w:val="0"/>
      <w:marBottom w:val="0"/>
      <w:divBdr>
        <w:top w:val="none" w:sz="0" w:space="0" w:color="auto"/>
        <w:left w:val="none" w:sz="0" w:space="0" w:color="auto"/>
        <w:bottom w:val="none" w:sz="0" w:space="0" w:color="auto"/>
        <w:right w:val="none" w:sz="0" w:space="0" w:color="auto"/>
      </w:divBdr>
    </w:div>
    <w:div w:id="1216309124">
      <w:bodyDiv w:val="1"/>
      <w:marLeft w:val="0"/>
      <w:marRight w:val="0"/>
      <w:marTop w:val="0"/>
      <w:marBottom w:val="0"/>
      <w:divBdr>
        <w:top w:val="none" w:sz="0" w:space="0" w:color="auto"/>
        <w:left w:val="none" w:sz="0" w:space="0" w:color="auto"/>
        <w:bottom w:val="none" w:sz="0" w:space="0" w:color="auto"/>
        <w:right w:val="none" w:sz="0" w:space="0" w:color="auto"/>
      </w:divBdr>
    </w:div>
    <w:div w:id="1273248653">
      <w:bodyDiv w:val="1"/>
      <w:marLeft w:val="0"/>
      <w:marRight w:val="0"/>
      <w:marTop w:val="0"/>
      <w:marBottom w:val="0"/>
      <w:divBdr>
        <w:top w:val="none" w:sz="0" w:space="0" w:color="auto"/>
        <w:left w:val="none" w:sz="0" w:space="0" w:color="auto"/>
        <w:bottom w:val="none" w:sz="0" w:space="0" w:color="auto"/>
        <w:right w:val="none" w:sz="0" w:space="0" w:color="auto"/>
      </w:divBdr>
    </w:div>
    <w:div w:id="1313366682">
      <w:bodyDiv w:val="1"/>
      <w:marLeft w:val="0"/>
      <w:marRight w:val="0"/>
      <w:marTop w:val="0"/>
      <w:marBottom w:val="0"/>
      <w:divBdr>
        <w:top w:val="none" w:sz="0" w:space="0" w:color="auto"/>
        <w:left w:val="none" w:sz="0" w:space="0" w:color="auto"/>
        <w:bottom w:val="none" w:sz="0" w:space="0" w:color="auto"/>
        <w:right w:val="none" w:sz="0" w:space="0" w:color="auto"/>
      </w:divBdr>
    </w:div>
    <w:div w:id="1516849744">
      <w:bodyDiv w:val="1"/>
      <w:marLeft w:val="0"/>
      <w:marRight w:val="0"/>
      <w:marTop w:val="0"/>
      <w:marBottom w:val="0"/>
      <w:divBdr>
        <w:top w:val="none" w:sz="0" w:space="0" w:color="auto"/>
        <w:left w:val="none" w:sz="0" w:space="0" w:color="auto"/>
        <w:bottom w:val="none" w:sz="0" w:space="0" w:color="auto"/>
        <w:right w:val="none" w:sz="0" w:space="0" w:color="auto"/>
      </w:divBdr>
    </w:div>
    <w:div w:id="186308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t.gov/chro/site/default.asp" TargetMode="External"/><Relationship Id="rId3" Type="http://schemas.openxmlformats.org/officeDocument/2006/relationships/settings" Target="settings.xml"/><Relationship Id="rId7" Type="http://schemas.openxmlformats.org/officeDocument/2006/relationships/hyperlink" Target="https://www.cga.ct.gov/2015/ACT/pa/pdf/2015PA-00005-R00SB-01502SS1-P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800</Words>
  <Characters>4563</Characters>
  <Application>Microsoft Office Word</Application>
  <DocSecurity>8</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Pafford, Matthew</dc:creator>
  <cp:keywords/>
  <dc:description/>
  <cp:lastModifiedBy>Taylor, Kathleen</cp:lastModifiedBy>
  <cp:revision>2</cp:revision>
  <cp:lastPrinted>2016-01-05T20:06:00Z</cp:lastPrinted>
  <dcterms:created xsi:type="dcterms:W3CDTF">2016-01-07T20:06:00Z</dcterms:created>
  <dcterms:modified xsi:type="dcterms:W3CDTF">2016-01-07T20:06:00Z</dcterms:modified>
</cp:coreProperties>
</file>