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ED34" w14:textId="77777777" w:rsidR="00D0447B" w:rsidRDefault="00D0447B">
      <w:pPr>
        <w:pStyle w:val="SpecHead1"/>
      </w:pPr>
      <w:r>
        <w:t xml:space="preserve">ITEM #1118101A – </w:t>
      </w:r>
      <w:commentRangeStart w:id="0"/>
      <w:r>
        <w:t>TEMPORARY SIGNALIZATION</w:t>
      </w:r>
      <w:commentRangeEnd w:id="0"/>
      <w:r w:rsidR="00C651E0">
        <w:rPr>
          <w:rStyle w:val="CommentReference"/>
          <w:b w:val="0"/>
          <w:caps w:val="0"/>
          <w:u w:val="none"/>
        </w:rPr>
        <w:commentReference w:id="0"/>
      </w:r>
    </w:p>
    <w:p w14:paraId="1AA5C693" w14:textId="77777777" w:rsidR="00D0447B" w:rsidRDefault="00D0447B">
      <w:pPr>
        <w:rPr>
          <w:u w:val="single"/>
        </w:rPr>
      </w:pPr>
    </w:p>
    <w:p w14:paraId="64BFB158" w14:textId="77777777" w:rsidR="00D0447B" w:rsidRDefault="00D0447B">
      <w:pPr>
        <w:rPr>
          <w:u w:val="single"/>
        </w:rPr>
      </w:pPr>
    </w:p>
    <w:p w14:paraId="290362CC" w14:textId="77777777" w:rsidR="00D0447B" w:rsidRDefault="00D0447B">
      <w:pPr>
        <w:pStyle w:val="SpecHead2"/>
      </w:pPr>
      <w:r>
        <w:t>Description:</w:t>
      </w:r>
    </w:p>
    <w:p w14:paraId="01F2002F" w14:textId="77777777" w:rsidR="00D0447B" w:rsidRDefault="00D0447B">
      <w:pPr>
        <w:pStyle w:val="BodyText"/>
        <w:jc w:val="both"/>
      </w:pPr>
      <w:r>
        <w:t>This item shall consist of furnishing, installing, maintaining, relocating and removing temporary traffic signal equipment and all necessary hardware as ordered and in conformance with the plans and applicable specifications.</w:t>
      </w:r>
    </w:p>
    <w:p w14:paraId="3BFDB6E8" w14:textId="77777777" w:rsidR="00D0447B" w:rsidRDefault="00D0447B">
      <w:pPr>
        <w:pStyle w:val="BodyText"/>
        <w:jc w:val="both"/>
      </w:pPr>
    </w:p>
    <w:p w14:paraId="0F5EC617" w14:textId="77777777" w:rsidR="00D0447B" w:rsidRDefault="00D0447B">
      <w:pPr>
        <w:pStyle w:val="SpecHead2"/>
      </w:pPr>
      <w:r>
        <w:t>Materials:</w:t>
      </w:r>
    </w:p>
    <w:p w14:paraId="41E228BD" w14:textId="77777777" w:rsidR="00D0447B" w:rsidRDefault="00D0447B">
      <w:pPr>
        <w:pStyle w:val="BodyText"/>
        <w:jc w:val="both"/>
      </w:pPr>
      <w:r>
        <w:t>All materials used for Temporary Signalization shall conform to the plans and pertinent articles of the Standard Specifications, the Supplemental Specifications, and the Special Provisions contained in this contract, or as approved by the Engineer.  The materials can be new or used.  Used material must not be damaged and its operation must be reliable.  The Contractor must replace damaged or faulty material immediately.  A Materials Certificate will be required.</w:t>
      </w:r>
    </w:p>
    <w:p w14:paraId="1C419FF9" w14:textId="77777777" w:rsidR="00D0447B" w:rsidRDefault="00D0447B">
      <w:pPr>
        <w:pStyle w:val="BodyText"/>
        <w:jc w:val="both"/>
      </w:pPr>
    </w:p>
    <w:p w14:paraId="1CA2C79C" w14:textId="77777777" w:rsidR="00D0447B" w:rsidRDefault="00D0447B">
      <w:pPr>
        <w:pStyle w:val="SpecHead2"/>
      </w:pPr>
      <w:r>
        <w:t>Construction Methods:</w:t>
      </w:r>
    </w:p>
    <w:p w14:paraId="2BD06F55" w14:textId="77777777" w:rsidR="00D0447B" w:rsidRDefault="00D0447B">
      <w:pPr>
        <w:pStyle w:val="BodyText"/>
        <w:jc w:val="both"/>
      </w:pPr>
      <w:r>
        <w:t xml:space="preserve">The Contractor shall review the traffic signal plan, contained in the contract plans, and, if any changes are necessary, the Contractor shall submit a revised plan to the Engineer for approval.  In no case will the Contractor be allowed to revise an installation without prior knowledge and approval by the </w:t>
      </w:r>
      <w:r w:rsidR="00457297">
        <w:t>Engineer.  The Engineer will send to the Division of Traffic Engineering and/or the Design Engineer for review as applicable.</w:t>
      </w:r>
    </w:p>
    <w:p w14:paraId="764BEA8A" w14:textId="77777777" w:rsidR="00D0447B" w:rsidRDefault="00D0447B"/>
    <w:p w14:paraId="5971A817" w14:textId="77777777" w:rsidR="004F5527" w:rsidRDefault="004F5527">
      <w:r>
        <w:t>Prior to the beginning of Temporary Signalization, the Contractor and the Engineer are required to meet with any property owners that have driveways that will be signalized and explain how the temporary signalization will operate.</w:t>
      </w:r>
    </w:p>
    <w:p w14:paraId="784A7336" w14:textId="77777777" w:rsidR="004F5527" w:rsidRDefault="004F5527"/>
    <w:p w14:paraId="5B32DE4B" w14:textId="77777777" w:rsidR="00D0447B" w:rsidRDefault="00D0447B">
      <w:r>
        <w:t>Temporary Signalization shall begin when the Contractor installs the temporary traffic signal equipment.</w:t>
      </w:r>
    </w:p>
    <w:p w14:paraId="4986D0DE" w14:textId="77777777" w:rsidR="00D0447B" w:rsidRDefault="00D0447B">
      <w:pPr>
        <w:pStyle w:val="BodyText2"/>
      </w:pPr>
    </w:p>
    <w:p w14:paraId="5407A485" w14:textId="77777777" w:rsidR="00D0447B" w:rsidRDefault="00D0447B">
      <w:pPr>
        <w:pStyle w:val="BodyText"/>
        <w:jc w:val="both"/>
      </w:pPr>
      <w:r>
        <w:t xml:space="preserve">The Contractor shall provide and maintain a temporary traffic signal capable of providing the approved phasing as shown on the plans or as directed by the Engineer.  The Contractor shall relocate temporary signal equipment, including signal heads, vehicle detectors, etc., as many times as deemed necessary during construction to maintain and protect traffic </w:t>
      </w:r>
      <w:proofErr w:type="gramStart"/>
      <w:r>
        <w:t>where</w:t>
      </w:r>
      <w:proofErr w:type="gramEnd"/>
      <w:r>
        <w:t xml:space="preserve"> shown on the plans or as directed by the Engineer.  The Contractor shall make modifications to the signal controller as necessary to maintain temporary signalization during each phase/stage of construction and shall </w:t>
      </w:r>
      <w:proofErr w:type="gramStart"/>
      <w:r>
        <w:t>make adjustments to</w:t>
      </w:r>
      <w:proofErr w:type="gramEnd"/>
      <w:r>
        <w:t xml:space="preserve"> the timing of the controller as necessary based on field conditions and as directed by the Engineer.</w:t>
      </w:r>
    </w:p>
    <w:p w14:paraId="443F7448" w14:textId="77777777" w:rsidR="00D0447B" w:rsidRDefault="00D0447B"/>
    <w:p w14:paraId="515CD28F" w14:textId="77777777" w:rsidR="00D0447B" w:rsidRDefault="00D0447B">
      <w:pPr>
        <w:pStyle w:val="BodyText"/>
        <w:jc w:val="both"/>
      </w:pPr>
      <w:r>
        <w:t>All equipment shall be relocated and/or removed in such a manner as to cause no hazard to pedestrians, traffic or property.  When the Contractor is performing signal work, the Contractor shall maintain traffic as specified in the Special Provisions “Prosecution and Progress” and “Maintenance and Protection of Traffic.”</w:t>
      </w:r>
    </w:p>
    <w:p w14:paraId="7106A112" w14:textId="77777777" w:rsidR="00D0447B" w:rsidRDefault="00D0447B"/>
    <w:p w14:paraId="265E29AD" w14:textId="77777777" w:rsidR="00D0447B" w:rsidRDefault="0036658B">
      <w:r>
        <w:lastRenderedPageBreak/>
        <w:t xml:space="preserve">The Contractor shall be responsible for providing power to the temporary traffic signal via solar panels or by obtaining secondary service. </w:t>
      </w:r>
      <w:r w:rsidR="00D0447B">
        <w:t xml:space="preserve">The Contractor shall be responsible for the cost of the electricity to operate the temporary traffic </w:t>
      </w:r>
      <w:proofErr w:type="gramStart"/>
      <w:r w:rsidR="00D0447B">
        <w:t>signal</w:t>
      </w:r>
      <w:proofErr w:type="gramEnd"/>
      <w:r w:rsidR="00D0447B">
        <w:t xml:space="preserve"> and the intersection shall have a metered service.</w:t>
      </w:r>
    </w:p>
    <w:p w14:paraId="05718853" w14:textId="77777777" w:rsidR="00D0447B" w:rsidRDefault="00D0447B"/>
    <w:p w14:paraId="6F878DA6" w14:textId="77777777" w:rsidR="00D0447B" w:rsidRDefault="00D0447B">
      <w:pPr>
        <w:pStyle w:val="BodyText"/>
        <w:jc w:val="both"/>
      </w:pPr>
      <w:r>
        <w:t>The Contractor shall be responsible for maintenance of the temporary traffic signal during Temporary Signalization.  The Contractor shall provide to the Engineer and the local Police Department a list of telephone numbers of personnel who will be responsible for the maintenance of the temporary traffic signal on a 24-hour basis.  The Contractor shall respond to traffic signal malfunctions by having a representative at the site within three hours and the temporary traffic signal back in operation within 24 hours.</w:t>
      </w:r>
    </w:p>
    <w:p w14:paraId="3E520DAB" w14:textId="77777777" w:rsidR="00D0447B" w:rsidRDefault="00D0447B"/>
    <w:p w14:paraId="6CE33668" w14:textId="77777777" w:rsidR="00D0447B" w:rsidRDefault="00D0447B">
      <w:r>
        <w:t xml:space="preserve">Temporary </w:t>
      </w:r>
      <w:r w:rsidR="001C1B23">
        <w:t xml:space="preserve">signal </w:t>
      </w:r>
      <w:r>
        <w:t>equipment supplied by the Contractor will remain the Contractor’s property at the completion of the project unless otherwise noted.</w:t>
      </w:r>
    </w:p>
    <w:p w14:paraId="63AB1317" w14:textId="77777777" w:rsidR="00D0447B" w:rsidRDefault="00D0447B"/>
    <w:p w14:paraId="350834FE" w14:textId="77777777" w:rsidR="00D0447B" w:rsidRDefault="00D0447B">
      <w:r>
        <w:t xml:space="preserve">Temporary Signalization shall terminate when construction is </w:t>
      </w:r>
      <w:proofErr w:type="gramStart"/>
      <w:r>
        <w:t>complete</w:t>
      </w:r>
      <w:proofErr w:type="gramEnd"/>
      <w:r>
        <w:t xml:space="preserve"> and the temporary signal equipment is removed from the project as approved by the Engineer.</w:t>
      </w:r>
    </w:p>
    <w:p w14:paraId="16E5D3BC" w14:textId="77777777" w:rsidR="00D0447B" w:rsidRDefault="00D0447B"/>
    <w:p w14:paraId="09F89683" w14:textId="77777777" w:rsidR="00D0447B" w:rsidRDefault="00D0447B">
      <w:pPr>
        <w:pStyle w:val="SpecHead2"/>
      </w:pPr>
      <w:r>
        <w:t>Method of Measurement:</w:t>
      </w:r>
    </w:p>
    <w:p w14:paraId="20B2D072" w14:textId="77777777" w:rsidR="00457297" w:rsidRDefault="00457297">
      <w:r>
        <w:t>Temporary Signalization shall be measured for payment as follows:</w:t>
      </w:r>
    </w:p>
    <w:p w14:paraId="06F36961" w14:textId="77777777" w:rsidR="00457297" w:rsidRDefault="00D0447B" w:rsidP="00457297">
      <w:pPr>
        <w:ind w:left="720"/>
      </w:pPr>
      <w:r>
        <w:t xml:space="preserve">Fifty percent (50%) shall be paid when Temporary Signalization </w:t>
      </w:r>
      <w:r w:rsidR="00457297">
        <w:t>is operational as shown on the plan and to the satisfaction of the Engineer.</w:t>
      </w:r>
    </w:p>
    <w:p w14:paraId="431E580C" w14:textId="77777777" w:rsidR="00D0447B" w:rsidRDefault="00457297" w:rsidP="000D359A">
      <w:pPr>
        <w:ind w:left="720"/>
      </w:pPr>
      <w:r>
        <w:t xml:space="preserve"> F</w:t>
      </w:r>
      <w:r w:rsidR="00D0447B">
        <w:t>ifty percent (50%) shall be paid when Temporary Signalization terminates.</w:t>
      </w:r>
    </w:p>
    <w:p w14:paraId="7E24ABD5" w14:textId="77777777" w:rsidR="00D0447B" w:rsidRDefault="00D0447B">
      <w:pPr>
        <w:rPr>
          <w:u w:val="single"/>
        </w:rPr>
      </w:pPr>
    </w:p>
    <w:p w14:paraId="5FE104A9" w14:textId="77777777" w:rsidR="00D0447B" w:rsidRDefault="00D0447B">
      <w:pPr>
        <w:pStyle w:val="SpecHead2"/>
      </w:pPr>
      <w:r>
        <w:t>Basis of Payment:</w:t>
      </w:r>
    </w:p>
    <w:p w14:paraId="567CB204" w14:textId="77777777" w:rsidR="00D0447B" w:rsidRDefault="00D0447B">
      <w:pPr>
        <w:pStyle w:val="BodyText"/>
        <w:jc w:val="both"/>
      </w:pPr>
      <w:r>
        <w:t xml:space="preserve">This work shall be paid at the contract Lump Sum price for “Temporary Signalization.”  </w:t>
      </w:r>
    </w:p>
    <w:p w14:paraId="08C62F81" w14:textId="77777777" w:rsidR="00D0447B" w:rsidRDefault="00D0447B">
      <w:r>
        <w:t>This item shall consist of furnishing, installing, maintaining, relocating and removing temporary traffic signal equipment and all necessary hardware, materials, labor and work incidental thereto.  This item shall also include supplying the electricity to operate the temporary traffic signal.  All Contractor supplied items that will remain the Contractor’s property shall be included in the contract Lump Sum price for “Temporary Signalization.”</w:t>
      </w:r>
    </w:p>
    <w:p w14:paraId="3619187E" w14:textId="77777777" w:rsidR="00D0447B" w:rsidRDefault="00D0447B"/>
    <w:p w14:paraId="7BCD6F30" w14:textId="77777777" w:rsidR="00D0447B" w:rsidRDefault="00D0447B">
      <w:pPr>
        <w:pStyle w:val="BodyText"/>
        <w:tabs>
          <w:tab w:val="left" w:pos="540"/>
        </w:tabs>
        <w:jc w:val="both"/>
      </w:pPr>
      <w:r>
        <w:tab/>
      </w:r>
      <w:r>
        <w:tab/>
      </w:r>
      <w:r>
        <w:tab/>
      </w:r>
      <w:r>
        <w:rPr>
          <w:u w:val="single"/>
        </w:rPr>
        <w:t>Pay Item</w:t>
      </w:r>
      <w:r>
        <w:tab/>
      </w:r>
      <w:r>
        <w:tab/>
      </w:r>
      <w:r>
        <w:tab/>
      </w:r>
      <w:r>
        <w:tab/>
      </w:r>
      <w:r>
        <w:tab/>
      </w:r>
      <w:r>
        <w:rPr>
          <w:u w:val="single"/>
        </w:rPr>
        <w:t>Pay Unit</w:t>
      </w:r>
    </w:p>
    <w:p w14:paraId="132F8757" w14:textId="77777777" w:rsidR="00D0447B" w:rsidRDefault="00D0447B">
      <w:pPr>
        <w:pStyle w:val="BodyText"/>
        <w:ind w:left="720" w:firstLine="720"/>
        <w:jc w:val="both"/>
      </w:pPr>
      <w:r>
        <w:t>Temporary Signalization</w:t>
      </w:r>
      <w:r>
        <w:tab/>
      </w:r>
      <w:r>
        <w:tab/>
      </w:r>
      <w:r>
        <w:tab/>
        <w:t xml:space="preserve">    L.S.</w:t>
      </w:r>
    </w:p>
    <w:p w14:paraId="2167D4AC" w14:textId="77777777" w:rsidR="00D0447B" w:rsidRDefault="00D0447B">
      <w:pPr>
        <w:pStyle w:val="BodyText"/>
        <w:jc w:val="both"/>
      </w:pPr>
    </w:p>
    <w:p w14:paraId="27568993" w14:textId="77777777" w:rsidR="00D0447B" w:rsidRDefault="00D0447B">
      <w:pPr>
        <w:pStyle w:val="BodyText"/>
        <w:jc w:val="both"/>
        <w:rPr>
          <w:u w:val="single"/>
        </w:rPr>
      </w:pPr>
    </w:p>
    <w:p w14:paraId="3DE8A3FE" w14:textId="77777777" w:rsidR="00D0447B" w:rsidRDefault="00D0447B"/>
    <w:sectPr w:rsidR="00D0447B">
      <w:headerReference w:type="default" r:id="rId10"/>
      <w:footerReference w:type="default" r:id="rId11"/>
      <w:pgSz w:w="12240" w:h="15840"/>
      <w:pgMar w:top="2160" w:right="1440" w:bottom="1080" w:left="1440" w:header="1800"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melstein, Anna S." w:date="2020-02-06T14:22:00Z" w:initials="MAS">
    <w:p w14:paraId="18651FAB" w14:textId="77777777" w:rsidR="004B3AD4" w:rsidRDefault="00C651E0">
      <w:pPr>
        <w:pStyle w:val="CommentText"/>
      </w:pPr>
      <w:r>
        <w:rPr>
          <w:rStyle w:val="CommentReference"/>
        </w:rPr>
        <w:annotationRef/>
      </w:r>
      <w:r w:rsidR="004B3AD4" w:rsidRPr="00C652E0">
        <w:t xml:space="preserve">This is a sample special provision that will need to be modified for each project.  </w:t>
      </w:r>
    </w:p>
    <w:p w14:paraId="7A7CAECC" w14:textId="77777777" w:rsidR="00C651E0" w:rsidRDefault="00C651E0">
      <w:pPr>
        <w:pStyle w:val="CommentText"/>
      </w:pPr>
      <w:r>
        <w:t>Th</w:t>
      </w:r>
      <w:r w:rsidR="004B3AD4">
        <w:t>e</w:t>
      </w:r>
      <w:r>
        <w:t xml:space="preserve"> item may be used to provide temporary signalization at unsignalized locations only</w:t>
      </w:r>
      <w:r w:rsidR="000D359A">
        <w:t xml:space="preserve"> such as for alternating one-way traffic operations</w:t>
      </w:r>
      <w:r>
        <w:t xml:space="preserve">. </w:t>
      </w:r>
      <w:r>
        <w:rPr>
          <w:sz w:val="24"/>
          <w:szCs w:val="24"/>
        </w:rPr>
        <w:t>Refer to Item No. 11180XXA for temporary signalization at an intersection with an existing or proposed permanent traffic control signal.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7CAE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7CAECC" w16cid:durableId="21E69F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1981" w14:textId="77777777" w:rsidR="00EE109F" w:rsidRDefault="00EE109F">
      <w:r>
        <w:separator/>
      </w:r>
    </w:p>
  </w:endnote>
  <w:endnote w:type="continuationSeparator" w:id="0">
    <w:p w14:paraId="46F3454E" w14:textId="77777777" w:rsidR="00EE109F" w:rsidRDefault="00EE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7332" w14:textId="77777777" w:rsidR="00D0447B" w:rsidRDefault="00D0447B">
    <w:pPr>
      <w:pStyle w:val="Footer"/>
    </w:pPr>
    <w:r>
      <w:fldChar w:fldCharType="begin"/>
    </w:r>
    <w:r>
      <w:instrText xml:space="preserve"> COMMENTS  \* MERGEFORMAT </w:instrText>
    </w:r>
    <w:r>
      <w:fldChar w:fldCharType="end"/>
    </w:r>
    <w:r>
      <w:tab/>
    </w:r>
    <w:r>
      <w:tab/>
      <w:t>ITEM #1118101A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BD60" w14:textId="77777777" w:rsidR="00EE109F" w:rsidRDefault="00EE109F">
      <w:r>
        <w:separator/>
      </w:r>
    </w:p>
  </w:footnote>
  <w:footnote w:type="continuationSeparator" w:id="0">
    <w:p w14:paraId="0182A935" w14:textId="77777777" w:rsidR="00EE109F" w:rsidRDefault="00EE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7D60" w14:textId="77777777" w:rsidR="00D0447B" w:rsidRDefault="00D0447B">
    <w:pPr>
      <w:pStyle w:val="Header"/>
      <w:jc w:val="right"/>
    </w:pPr>
    <w:r>
      <w:t xml:space="preserve">Rev. Date </w:t>
    </w:r>
    <w:r w:rsidR="003B4D6E">
      <w:t>0</w:t>
    </w:r>
    <w:r w:rsidR="00457297">
      <w:t>6</w:t>
    </w:r>
    <w:r w:rsidR="003B4D6E">
      <w:t>/</w:t>
    </w:r>
    <w:r w:rsidR="000D359A">
      <w:t>25</w:t>
    </w:r>
    <w:r w:rsidR="003B4D6E">
      <w:t>/2020</w:t>
    </w:r>
  </w:p>
  <w:p w14:paraId="250C887E" w14:textId="77777777" w:rsidR="00D0447B" w:rsidRDefault="00D04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8"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285087469">
    <w:abstractNumId w:val="1"/>
  </w:num>
  <w:num w:numId="2" w16cid:durableId="944581962">
    <w:abstractNumId w:val="6"/>
  </w:num>
  <w:num w:numId="3" w16cid:durableId="455567359">
    <w:abstractNumId w:val="4"/>
  </w:num>
  <w:num w:numId="4" w16cid:durableId="2115711648">
    <w:abstractNumId w:val="8"/>
  </w:num>
  <w:num w:numId="5" w16cid:durableId="1771273797">
    <w:abstractNumId w:val="3"/>
  </w:num>
  <w:num w:numId="6" w16cid:durableId="2031183360">
    <w:abstractNumId w:val="7"/>
  </w:num>
  <w:num w:numId="7" w16cid:durableId="1602444542">
    <w:abstractNumId w:val="2"/>
  </w:num>
  <w:num w:numId="8" w16cid:durableId="1495298385">
    <w:abstractNumId w:val="0"/>
  </w:num>
  <w:num w:numId="9" w16cid:durableId="282542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E0"/>
    <w:rsid w:val="000D359A"/>
    <w:rsid w:val="00125258"/>
    <w:rsid w:val="001C1B23"/>
    <w:rsid w:val="0033757F"/>
    <w:rsid w:val="0036658B"/>
    <w:rsid w:val="003A6815"/>
    <w:rsid w:val="003B4D6E"/>
    <w:rsid w:val="003C1BC1"/>
    <w:rsid w:val="00457297"/>
    <w:rsid w:val="004B3AD4"/>
    <w:rsid w:val="004F5527"/>
    <w:rsid w:val="005E03CC"/>
    <w:rsid w:val="00645FB9"/>
    <w:rsid w:val="00770EF9"/>
    <w:rsid w:val="007743F4"/>
    <w:rsid w:val="008D0C7A"/>
    <w:rsid w:val="00AB2672"/>
    <w:rsid w:val="00AE1E58"/>
    <w:rsid w:val="00B3447F"/>
    <w:rsid w:val="00BE3AB1"/>
    <w:rsid w:val="00C651E0"/>
    <w:rsid w:val="00D0447B"/>
    <w:rsid w:val="00D57624"/>
    <w:rsid w:val="00DE5DB8"/>
    <w:rsid w:val="00E42662"/>
    <w:rsid w:val="00EC36F7"/>
    <w:rsid w:val="00EE109F"/>
    <w:rsid w:val="00F2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8F5FB"/>
  <w15:chartTrackingRefBased/>
  <w15:docId w15:val="{DC1205F2-85C6-4108-9CD1-5181A148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left"/>
    </w:pPr>
  </w:style>
  <w:style w:type="paragraph" w:styleId="Footer">
    <w:name w:val="footer"/>
    <w:basedOn w:val="Normal"/>
    <w:semiHidden/>
    <w:pPr>
      <w:tabs>
        <w:tab w:val="center" w:pos="4320"/>
        <w:tab w:val="right" w:pos="9360"/>
      </w:tabs>
    </w:pPr>
    <w:rPr>
      <w:caps/>
      <w:sz w:val="20"/>
    </w:rPr>
  </w:style>
  <w:style w:type="paragraph" w:styleId="BodyText2">
    <w:name w:val="Body Text 2"/>
    <w:basedOn w:val="Normal"/>
    <w:semiHidden/>
  </w:style>
  <w:style w:type="paragraph" w:customStyle="1" w:styleId="SpecHead2">
    <w:name w:val="SpecHead2"/>
    <w:basedOn w:val="Normal"/>
    <w:next w:val="Normal"/>
    <w:rPr>
      <w:b/>
    </w:rPr>
  </w:style>
  <w:style w:type="paragraph" w:styleId="Header">
    <w:name w:val="header"/>
    <w:basedOn w:val="Normal"/>
    <w:semiHidden/>
    <w:pPr>
      <w:tabs>
        <w:tab w:val="center" w:pos="4320"/>
        <w:tab w:val="center" w:pos="9360"/>
      </w:tabs>
    </w:pPr>
    <w:rPr>
      <w:sz w:val="20"/>
    </w:rPr>
  </w:style>
  <w:style w:type="character" w:styleId="CommentReference">
    <w:name w:val="annotation reference"/>
    <w:uiPriority w:val="99"/>
    <w:semiHidden/>
    <w:unhideWhenUsed/>
    <w:rsid w:val="00C651E0"/>
    <w:rPr>
      <w:sz w:val="16"/>
      <w:szCs w:val="16"/>
    </w:rPr>
  </w:style>
  <w:style w:type="paragraph" w:styleId="ListBullet">
    <w:name w:val="List Bullet"/>
    <w:basedOn w:val="Normal"/>
    <w:autoRedefine/>
    <w:semiHidden/>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CommentText">
    <w:name w:val="annotation text"/>
    <w:basedOn w:val="Normal"/>
    <w:link w:val="CommentTextChar"/>
    <w:uiPriority w:val="99"/>
    <w:semiHidden/>
    <w:unhideWhenUsed/>
    <w:rsid w:val="00C651E0"/>
    <w:rPr>
      <w:sz w:val="20"/>
    </w:rPr>
  </w:style>
  <w:style w:type="character" w:customStyle="1" w:styleId="CommentTextChar">
    <w:name w:val="Comment Text Char"/>
    <w:basedOn w:val="DefaultParagraphFont"/>
    <w:link w:val="CommentText"/>
    <w:uiPriority w:val="99"/>
    <w:semiHidden/>
    <w:rsid w:val="00C651E0"/>
  </w:style>
  <w:style w:type="paragraph" w:styleId="CommentSubject">
    <w:name w:val="annotation subject"/>
    <w:basedOn w:val="CommentText"/>
    <w:next w:val="CommentText"/>
    <w:link w:val="CommentSubjectChar"/>
    <w:uiPriority w:val="99"/>
    <w:semiHidden/>
    <w:unhideWhenUsed/>
    <w:rsid w:val="00C651E0"/>
    <w:rPr>
      <w:b/>
      <w:bCs/>
    </w:rPr>
  </w:style>
  <w:style w:type="character" w:customStyle="1" w:styleId="CommentSubjectChar">
    <w:name w:val="Comment Subject Char"/>
    <w:link w:val="CommentSubject"/>
    <w:uiPriority w:val="99"/>
    <w:semiHidden/>
    <w:rsid w:val="00C651E0"/>
    <w:rPr>
      <w:b/>
      <w:bCs/>
    </w:rPr>
  </w:style>
  <w:style w:type="paragraph" w:styleId="BalloonText">
    <w:name w:val="Balloon Text"/>
    <w:basedOn w:val="Normal"/>
    <w:link w:val="BalloonTextChar"/>
    <w:uiPriority w:val="99"/>
    <w:semiHidden/>
    <w:unhideWhenUsed/>
    <w:rsid w:val="00C651E0"/>
    <w:rPr>
      <w:rFonts w:ascii="Segoe UI" w:hAnsi="Segoe UI" w:cs="Segoe UI"/>
      <w:sz w:val="18"/>
      <w:szCs w:val="18"/>
    </w:rPr>
  </w:style>
  <w:style w:type="character" w:customStyle="1" w:styleId="BalloonTextChar">
    <w:name w:val="Balloon Text Char"/>
    <w:link w:val="BalloonText"/>
    <w:uiPriority w:val="99"/>
    <w:semiHidden/>
    <w:rsid w:val="00C651E0"/>
    <w:rPr>
      <w:rFonts w:ascii="Segoe UI" w:hAnsi="Segoe UI" w:cs="Segoe UI"/>
      <w:sz w:val="18"/>
      <w:szCs w:val="18"/>
    </w:rPr>
  </w:style>
  <w:style w:type="paragraph" w:styleId="Revision">
    <w:name w:val="Revision"/>
    <w:hidden/>
    <w:uiPriority w:val="99"/>
    <w:semiHidden/>
    <w:rsid w:val="00DE5D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cdbs50\Cont_SP_Prov\Owned%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659e93bfa9579610ec289e38522a32be">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c94195d8329d7c77e96f42e63245235b"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5DEA6F-1C77-4263-A4BA-BBF4E26BE3BD}"/>
</file>

<file path=customXml/itemProps2.xml><?xml version="1.0" encoding="utf-8"?>
<ds:datastoreItem xmlns:ds="http://schemas.openxmlformats.org/officeDocument/2006/customXml" ds:itemID="{1264F3F1-EA46-42E4-8518-0EFA65501ECF}"/>
</file>

<file path=customXml/itemProps3.xml><?xml version="1.0" encoding="utf-8"?>
<ds:datastoreItem xmlns:ds="http://schemas.openxmlformats.org/officeDocument/2006/customXml" ds:itemID="{E25073EF-D98A-4814-ABA1-9492E6DF9DBD}"/>
</file>

<file path=docProps/app.xml><?xml version="1.0" encoding="utf-8"?>
<Properties xmlns="http://schemas.openxmlformats.org/officeDocument/2006/extended-properties" xmlns:vt="http://schemas.openxmlformats.org/officeDocument/2006/docPropsVTypes">
  <Template>Owned Provision template</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1206013A - Removal of Existing Signing</vt:lpstr>
    </vt:vector>
  </TitlesOfParts>
  <Manager>John F. Carey, 860-594-2788, Unit #1407</Manager>
  <Company>CT DOT Traffic Engineering</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1206013A - Removal of Existing Signing</dc:title>
  <dc:subject/>
  <dc:creator>fogartytl</dc:creator>
  <cp:keywords/>
  <cp:lastModifiedBy>Rodriguez, Jesus M.</cp:lastModifiedBy>
  <cp:revision>2</cp:revision>
  <cp:lastPrinted>2002-05-06T17:48:00Z</cp:lastPrinted>
  <dcterms:created xsi:type="dcterms:W3CDTF">2025-12-15T20:46:00Z</dcterms:created>
  <dcterms:modified xsi:type="dcterms:W3CDTF">2025-12-15T20:46:00Z</dcterms:modified>
  <cp:category>ContractChecked_03/08/2001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ies>
</file>