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73BC" w:rsidRPr="003916D8" w:rsidRDefault="005773BC">
      <w:pPr>
        <w:pStyle w:val="SpecHead1"/>
        <w:rPr>
          <w:sz w:val="28"/>
          <w:szCs w:val="28"/>
        </w:rPr>
      </w:pPr>
      <w:r w:rsidRPr="003916D8">
        <w:rPr>
          <w:sz w:val="28"/>
          <w:szCs w:val="28"/>
        </w:rPr>
        <w:t>ITEM NO. 0020763A - DISPOSAL OF SEDIMENTS</w:t>
      </w:r>
    </w:p>
    <w:p w:rsidR="005773BC" w:rsidRDefault="005773BC"/>
    <w:p w:rsidR="005773BC" w:rsidRDefault="005773BC">
      <w:pPr>
        <w:pStyle w:val="SpecHead2"/>
        <w:rPr>
          <w:b w:val="0"/>
          <w:u w:val="single"/>
        </w:rPr>
      </w:pPr>
      <w:r>
        <w:t>Description:</w:t>
      </w:r>
    </w:p>
    <w:p w:rsidR="005773BC" w:rsidRDefault="005773BC"/>
    <w:p w:rsidR="005773BC" w:rsidRDefault="005773BC">
      <w:r>
        <w:t>Work under this item shall consist of the loading, transportation and final off-site disposal of sediments.  These sediments are contaminated at non-hazardous levels as documented in the reports listed in the “Notice to Contractor – Environmental Investigations</w:t>
      </w:r>
      <w:r w:rsidR="004A33F8">
        <w:t>.</w:t>
      </w:r>
      <w:r>
        <w:t>” The controlled sediments are designated for off-site disposal at an upland facility and, after characterization by the Engineer, shall be taken from the WSA, loaded, transported, and disposed of at a DOT-approved upland disposal facility listed herein.</w:t>
      </w:r>
    </w:p>
    <w:p w:rsidR="005773BC" w:rsidRDefault="005773BC"/>
    <w:p w:rsidR="005773BC" w:rsidRDefault="005773BC">
      <w:r>
        <w:t xml:space="preserve">The Contractor must use one or more of the following Department-approved </w:t>
      </w:r>
      <w:r w:rsidR="00A1241A">
        <w:t xml:space="preserve">treatment/recycle/ </w:t>
      </w:r>
      <w:r w:rsidR="00A1241A" w:rsidRPr="00494CF4">
        <w:t xml:space="preserve">disposal </w:t>
      </w:r>
      <w:r w:rsidRPr="00494CF4">
        <w:t xml:space="preserve">facilities for the disposal of </w:t>
      </w:r>
      <w:r w:rsidRPr="00494CF4">
        <w:rPr>
          <w:u w:val="single"/>
        </w:rPr>
        <w:t>non-hazardous</w:t>
      </w:r>
      <w:r w:rsidRPr="00494CF4">
        <w:t xml:space="preserve"> sediments:</w:t>
      </w:r>
    </w:p>
    <w:p w:rsidR="005773BC" w:rsidRDefault="005773BC" w:rsidP="00552E29"/>
    <w:tbl>
      <w:tblPr>
        <w:tblW w:w="0" w:type="auto"/>
        <w:tblInd w:w="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4" w:type="dxa"/>
          <w:right w:w="134" w:type="dxa"/>
        </w:tblCellMar>
        <w:tblLook w:val="0000" w:firstRow="0" w:lastRow="0" w:firstColumn="0" w:lastColumn="0" w:noHBand="0" w:noVBand="0"/>
      </w:tblPr>
      <w:tblGrid>
        <w:gridCol w:w="4500"/>
        <w:gridCol w:w="4680"/>
      </w:tblGrid>
      <w:tr w:rsidR="005773BC" w:rsidTr="00775634">
        <w:tblPrEx>
          <w:tblCellMar>
            <w:top w:w="0" w:type="dxa"/>
            <w:bottom w:w="0" w:type="dxa"/>
          </w:tblCellMar>
        </w:tblPrEx>
        <w:trPr>
          <w:trHeight w:hRule="exact" w:val="1473"/>
        </w:trPr>
        <w:tc>
          <w:tcPr>
            <w:tcW w:w="4500" w:type="dxa"/>
            <w:shd w:val="clear" w:color="auto" w:fill="auto"/>
          </w:tcPr>
          <w:p w:rsidR="005773BC" w:rsidRDefault="00775634" w:rsidP="00775634">
            <w:pPr>
              <w:jc w:val="left"/>
            </w:pPr>
            <w:r>
              <w:t>Advanced Disposal (Managed by Interstate Waste Services)</w:t>
            </w:r>
          </w:p>
          <w:p w:rsidR="00775634" w:rsidRDefault="00775634" w:rsidP="00775634">
            <w:pPr>
              <w:jc w:val="left"/>
            </w:pPr>
            <w:r>
              <w:rPr>
                <w:rStyle w:val="fontstyle01"/>
              </w:rPr>
              <w:t>7095 Glades Pike</w:t>
            </w:r>
            <w:r>
              <w:rPr>
                <w:color w:val="000000"/>
              </w:rPr>
              <w:br/>
            </w:r>
            <w:r>
              <w:rPr>
                <w:rStyle w:val="fontstyle01"/>
              </w:rPr>
              <w:t>Summerset, PA 15501</w:t>
            </w:r>
            <w:r>
              <w:rPr>
                <w:color w:val="000000"/>
              </w:rPr>
              <w:br/>
            </w:r>
            <w:r>
              <w:rPr>
                <w:rStyle w:val="fontstyle01"/>
              </w:rPr>
              <w:t>814-444-0112</w:t>
            </w:r>
            <w:r w:rsidR="001870B3">
              <w:rPr>
                <w:rStyle w:val="fontstyle01"/>
              </w:rPr>
              <w:t xml:space="preserve"> – Todd Cassleman</w:t>
            </w:r>
          </w:p>
          <w:p w:rsidR="005773BC" w:rsidRDefault="005773BC" w:rsidP="00775634">
            <w:pPr>
              <w:jc w:val="left"/>
            </w:pPr>
          </w:p>
        </w:tc>
        <w:tc>
          <w:tcPr>
            <w:tcW w:w="4680" w:type="dxa"/>
            <w:shd w:val="clear" w:color="auto" w:fill="auto"/>
          </w:tcPr>
          <w:p w:rsidR="00775634" w:rsidRDefault="00775634" w:rsidP="00775634">
            <w:pPr>
              <w:jc w:val="left"/>
              <w:rPr>
                <w:rStyle w:val="fontstyle01"/>
              </w:rPr>
            </w:pPr>
            <w:r>
              <w:rPr>
                <w:rStyle w:val="fontstyle01"/>
              </w:rPr>
              <w:t xml:space="preserve">Allied Waste </w:t>
            </w:r>
            <w:r w:rsidR="0002793D">
              <w:rPr>
                <w:rStyle w:val="fontstyle01"/>
              </w:rPr>
              <w:t>Niagara</w:t>
            </w:r>
            <w:r>
              <w:rPr>
                <w:rStyle w:val="fontstyle01"/>
              </w:rPr>
              <w:t xml:space="preserve"> Falls Landfill, LLC </w:t>
            </w:r>
          </w:p>
          <w:p w:rsidR="00775634" w:rsidRDefault="00775634" w:rsidP="00775634">
            <w:pPr>
              <w:jc w:val="left"/>
              <w:rPr>
                <w:rStyle w:val="fontstyle01"/>
              </w:rPr>
            </w:pPr>
            <w:r>
              <w:rPr>
                <w:rStyle w:val="fontstyle01"/>
              </w:rPr>
              <w:t xml:space="preserve">5600 </w:t>
            </w:r>
            <w:r w:rsidR="0002793D">
              <w:rPr>
                <w:rStyle w:val="fontstyle01"/>
              </w:rPr>
              <w:t>Niagara</w:t>
            </w:r>
            <w:r>
              <w:rPr>
                <w:rStyle w:val="fontstyle01"/>
              </w:rPr>
              <w:t xml:space="preserve"> Falls Blvd. </w:t>
            </w:r>
          </w:p>
          <w:p w:rsidR="00775634" w:rsidRDefault="0002793D" w:rsidP="00775634">
            <w:pPr>
              <w:jc w:val="left"/>
              <w:rPr>
                <w:rStyle w:val="fontstyle01"/>
              </w:rPr>
            </w:pPr>
            <w:r>
              <w:rPr>
                <w:rStyle w:val="fontstyle01"/>
              </w:rPr>
              <w:t>Niagara</w:t>
            </w:r>
            <w:r w:rsidR="00775634">
              <w:rPr>
                <w:rStyle w:val="fontstyle01"/>
              </w:rPr>
              <w:t xml:space="preserve">, NY 14304 </w:t>
            </w:r>
          </w:p>
          <w:p w:rsidR="005773BC" w:rsidRDefault="00775634" w:rsidP="00775634">
            <w:pPr>
              <w:jc w:val="left"/>
            </w:pPr>
            <w:r>
              <w:rPr>
                <w:rStyle w:val="fontstyle01"/>
              </w:rPr>
              <w:t>716-285-3344; David Hanson</w:t>
            </w:r>
          </w:p>
        </w:tc>
      </w:tr>
      <w:tr w:rsidR="005773BC" w:rsidTr="00A9104F">
        <w:tblPrEx>
          <w:tblCellMar>
            <w:top w:w="0" w:type="dxa"/>
            <w:bottom w:w="0" w:type="dxa"/>
          </w:tblCellMar>
        </w:tblPrEx>
        <w:trPr>
          <w:trHeight w:hRule="exact" w:val="1167"/>
        </w:trPr>
        <w:tc>
          <w:tcPr>
            <w:tcW w:w="4500" w:type="dxa"/>
            <w:shd w:val="clear" w:color="auto" w:fill="auto"/>
          </w:tcPr>
          <w:p w:rsidR="00775634" w:rsidRDefault="00775634" w:rsidP="00775634">
            <w:pPr>
              <w:jc w:val="left"/>
            </w:pPr>
            <w:r>
              <w:rPr>
                <w:rStyle w:val="fontstyle01"/>
              </w:rPr>
              <w:t>Clean Earth of Carteret</w:t>
            </w:r>
            <w:r>
              <w:rPr>
                <w:color w:val="000000"/>
              </w:rPr>
              <w:br/>
            </w:r>
            <w:r>
              <w:rPr>
                <w:rStyle w:val="fontstyle01"/>
              </w:rPr>
              <w:t>24 Middlesex Avenue</w:t>
            </w:r>
            <w:r>
              <w:rPr>
                <w:color w:val="000000"/>
              </w:rPr>
              <w:br/>
            </w:r>
            <w:r>
              <w:rPr>
                <w:rStyle w:val="fontstyle01"/>
              </w:rPr>
              <w:t>Carteret, NJ 07008</w:t>
            </w:r>
            <w:r>
              <w:rPr>
                <w:color w:val="000000"/>
              </w:rPr>
              <w:br/>
            </w:r>
            <w:r>
              <w:rPr>
                <w:rStyle w:val="fontstyle01"/>
              </w:rPr>
              <w:t>732-541-8909; Cheryl Coffee</w:t>
            </w:r>
          </w:p>
          <w:p w:rsidR="005773BC" w:rsidRDefault="005773BC" w:rsidP="00775634">
            <w:pPr>
              <w:jc w:val="left"/>
            </w:pPr>
          </w:p>
        </w:tc>
        <w:tc>
          <w:tcPr>
            <w:tcW w:w="4680" w:type="dxa"/>
            <w:shd w:val="clear" w:color="auto" w:fill="auto"/>
          </w:tcPr>
          <w:p w:rsidR="005773BC" w:rsidRDefault="00775634" w:rsidP="00775634">
            <w:pPr>
              <w:jc w:val="left"/>
            </w:pPr>
            <w:r>
              <w:rPr>
                <w:rStyle w:val="fontstyle01"/>
              </w:rPr>
              <w:t>Clean Earth of Philadelphia, Inc.</w:t>
            </w:r>
            <w:r>
              <w:rPr>
                <w:color w:val="000000"/>
              </w:rPr>
              <w:br/>
            </w:r>
            <w:r>
              <w:rPr>
                <w:rStyle w:val="fontstyle01"/>
              </w:rPr>
              <w:t>3201 S 61 Street</w:t>
            </w:r>
            <w:r>
              <w:rPr>
                <w:color w:val="000000"/>
              </w:rPr>
              <w:br/>
            </w:r>
            <w:r>
              <w:rPr>
                <w:rStyle w:val="fontstyle01"/>
              </w:rPr>
              <w:t>Philadelphia, PA</w:t>
            </w:r>
            <w:r>
              <w:rPr>
                <w:color w:val="000000"/>
              </w:rPr>
              <w:br/>
            </w:r>
            <w:r>
              <w:rPr>
                <w:rStyle w:val="fontstyle01"/>
              </w:rPr>
              <w:t>215-724-5520; Mike Kelly</w:t>
            </w:r>
          </w:p>
        </w:tc>
      </w:tr>
      <w:tr w:rsidR="00775634" w:rsidTr="00775634">
        <w:tblPrEx>
          <w:tblCellMar>
            <w:top w:w="0" w:type="dxa"/>
            <w:bottom w:w="0" w:type="dxa"/>
          </w:tblCellMar>
        </w:tblPrEx>
        <w:trPr>
          <w:trHeight w:hRule="exact" w:val="1167"/>
        </w:trPr>
        <w:tc>
          <w:tcPr>
            <w:tcW w:w="4500" w:type="dxa"/>
            <w:shd w:val="clear" w:color="auto" w:fill="auto"/>
          </w:tcPr>
          <w:p w:rsidR="00775634" w:rsidRDefault="00775634" w:rsidP="00775634">
            <w:pPr>
              <w:jc w:val="left"/>
            </w:pPr>
            <w:r>
              <w:rPr>
                <w:rStyle w:val="fontstyle01"/>
              </w:rPr>
              <w:t>Clean Earth of North Jersey, Inc.</w:t>
            </w:r>
            <w:r>
              <w:rPr>
                <w:color w:val="000000"/>
              </w:rPr>
              <w:br/>
            </w:r>
            <w:r>
              <w:rPr>
                <w:rStyle w:val="fontstyle01"/>
              </w:rPr>
              <w:t>115 Jacobus Avenue, South</w:t>
            </w:r>
            <w:r>
              <w:rPr>
                <w:color w:val="000000"/>
              </w:rPr>
              <w:br/>
            </w:r>
            <w:r>
              <w:rPr>
                <w:rStyle w:val="fontstyle01"/>
              </w:rPr>
              <w:t>Kearny, NJ 07105</w:t>
            </w:r>
            <w:r>
              <w:rPr>
                <w:color w:val="000000"/>
              </w:rPr>
              <w:br/>
            </w:r>
            <w:r>
              <w:rPr>
                <w:rStyle w:val="fontstyle01"/>
              </w:rPr>
              <w:t>973-344-4004</w:t>
            </w:r>
            <w:r w:rsidR="00A9104F">
              <w:rPr>
                <w:rStyle w:val="fontstyle01"/>
              </w:rPr>
              <w:t>; Cheryl Coffee</w:t>
            </w:r>
          </w:p>
          <w:p w:rsidR="00775634" w:rsidRDefault="00775634" w:rsidP="00775634">
            <w:pPr>
              <w:jc w:val="left"/>
            </w:pPr>
          </w:p>
        </w:tc>
        <w:tc>
          <w:tcPr>
            <w:tcW w:w="4680" w:type="dxa"/>
            <w:shd w:val="clear" w:color="auto" w:fill="auto"/>
          </w:tcPr>
          <w:p w:rsidR="00775634" w:rsidRDefault="00775634" w:rsidP="00775634">
            <w:pPr>
              <w:jc w:val="left"/>
            </w:pPr>
            <w:r>
              <w:rPr>
                <w:rStyle w:val="fontstyle01"/>
              </w:rPr>
              <w:t>Clean Earth of Southeast Pennsylvania, Inc.</w:t>
            </w:r>
            <w:r>
              <w:rPr>
                <w:color w:val="000000"/>
              </w:rPr>
              <w:br/>
            </w:r>
            <w:r>
              <w:rPr>
                <w:rStyle w:val="fontstyle01"/>
              </w:rPr>
              <w:t>7 Steel Road</w:t>
            </w:r>
            <w:r>
              <w:rPr>
                <w:color w:val="000000"/>
              </w:rPr>
              <w:br/>
            </w:r>
            <w:r>
              <w:rPr>
                <w:rStyle w:val="fontstyle01"/>
              </w:rPr>
              <w:t>Morrisville, PA 19067</w:t>
            </w:r>
            <w:r>
              <w:rPr>
                <w:color w:val="000000"/>
              </w:rPr>
              <w:br/>
            </w:r>
            <w:r>
              <w:rPr>
                <w:rStyle w:val="fontstyle01"/>
              </w:rPr>
              <w:t>215-428-1700; Joe Siravo</w:t>
            </w:r>
          </w:p>
          <w:p w:rsidR="00775634" w:rsidRDefault="00775634" w:rsidP="00775634">
            <w:pPr>
              <w:jc w:val="left"/>
            </w:pPr>
          </w:p>
        </w:tc>
      </w:tr>
      <w:tr w:rsidR="00775634" w:rsidTr="00775634">
        <w:tblPrEx>
          <w:tblCellMar>
            <w:top w:w="0" w:type="dxa"/>
            <w:bottom w:w="0" w:type="dxa"/>
          </w:tblCellMar>
        </w:tblPrEx>
        <w:trPr>
          <w:trHeight w:hRule="exact" w:val="1167"/>
        </w:trPr>
        <w:tc>
          <w:tcPr>
            <w:tcW w:w="4500" w:type="dxa"/>
            <w:shd w:val="clear" w:color="auto" w:fill="auto"/>
          </w:tcPr>
          <w:p w:rsidR="00775634" w:rsidRDefault="00775634" w:rsidP="00775634">
            <w:pPr>
              <w:jc w:val="left"/>
            </w:pPr>
            <w:r>
              <w:rPr>
                <w:rStyle w:val="fontstyle01"/>
              </w:rPr>
              <w:t>Cumberland County Landfill</w:t>
            </w:r>
            <w:r>
              <w:rPr>
                <w:color w:val="000000"/>
              </w:rPr>
              <w:br/>
            </w:r>
            <w:r>
              <w:rPr>
                <w:rStyle w:val="fontstyle01"/>
              </w:rPr>
              <w:t>135 Vaughn Road</w:t>
            </w:r>
            <w:r>
              <w:rPr>
                <w:color w:val="000000"/>
              </w:rPr>
              <w:br/>
            </w:r>
            <w:r>
              <w:rPr>
                <w:rStyle w:val="fontstyle01"/>
              </w:rPr>
              <w:t>Shippensburg, PA 17257</w:t>
            </w:r>
            <w:r>
              <w:rPr>
                <w:color w:val="000000"/>
              </w:rPr>
              <w:br/>
            </w:r>
            <w:r>
              <w:rPr>
                <w:rStyle w:val="fontstyle01"/>
              </w:rPr>
              <w:t>713-423-9953</w:t>
            </w:r>
          </w:p>
          <w:p w:rsidR="00775634" w:rsidRDefault="00775634" w:rsidP="00775634">
            <w:pPr>
              <w:jc w:val="left"/>
            </w:pPr>
          </w:p>
        </w:tc>
        <w:tc>
          <w:tcPr>
            <w:tcW w:w="4680" w:type="dxa"/>
            <w:shd w:val="clear" w:color="auto" w:fill="auto"/>
          </w:tcPr>
          <w:p w:rsidR="00775634" w:rsidRDefault="00775634" w:rsidP="00775634">
            <w:pPr>
              <w:jc w:val="left"/>
            </w:pPr>
            <w:r>
              <w:rPr>
                <w:rStyle w:val="fontstyle01"/>
              </w:rPr>
              <w:t>ESMI of New York, LLC</w:t>
            </w:r>
            <w:r>
              <w:rPr>
                <w:color w:val="000000"/>
              </w:rPr>
              <w:br/>
            </w:r>
            <w:r>
              <w:rPr>
                <w:rStyle w:val="fontstyle01"/>
              </w:rPr>
              <w:t>304 Towpath Road</w:t>
            </w:r>
            <w:r>
              <w:rPr>
                <w:color w:val="000000"/>
              </w:rPr>
              <w:br/>
            </w:r>
            <w:r>
              <w:rPr>
                <w:rStyle w:val="fontstyle01"/>
              </w:rPr>
              <w:t>Fort Edward, NY 12828</w:t>
            </w:r>
            <w:r>
              <w:rPr>
                <w:color w:val="000000"/>
              </w:rPr>
              <w:br/>
            </w:r>
            <w:r>
              <w:rPr>
                <w:rStyle w:val="fontstyle01"/>
              </w:rPr>
              <w:t>518-747-5500; Peter Hansen</w:t>
            </w:r>
          </w:p>
          <w:p w:rsidR="00775634" w:rsidRDefault="00775634" w:rsidP="00775634">
            <w:pPr>
              <w:jc w:val="left"/>
            </w:pPr>
          </w:p>
        </w:tc>
      </w:tr>
      <w:tr w:rsidR="00775634" w:rsidTr="00775634">
        <w:tblPrEx>
          <w:tblCellMar>
            <w:top w:w="0" w:type="dxa"/>
            <w:bottom w:w="0" w:type="dxa"/>
          </w:tblCellMar>
        </w:tblPrEx>
        <w:trPr>
          <w:trHeight w:hRule="exact" w:val="1437"/>
        </w:trPr>
        <w:tc>
          <w:tcPr>
            <w:tcW w:w="4500" w:type="dxa"/>
            <w:shd w:val="clear" w:color="auto" w:fill="auto"/>
          </w:tcPr>
          <w:p w:rsidR="00775634" w:rsidRDefault="00775634" w:rsidP="00775634">
            <w:pPr>
              <w:jc w:val="left"/>
            </w:pPr>
            <w:r>
              <w:rPr>
                <w:rStyle w:val="fontstyle01"/>
              </w:rPr>
              <w:t>ESMI of New Hampshire</w:t>
            </w:r>
            <w:r>
              <w:rPr>
                <w:color w:val="000000"/>
              </w:rPr>
              <w:br/>
            </w:r>
            <w:r>
              <w:rPr>
                <w:rStyle w:val="fontstyle01"/>
              </w:rPr>
              <w:t>67 International Drive</w:t>
            </w:r>
            <w:r>
              <w:rPr>
                <w:color w:val="000000"/>
              </w:rPr>
              <w:br/>
            </w:r>
            <w:r>
              <w:rPr>
                <w:rStyle w:val="fontstyle01"/>
              </w:rPr>
              <w:t>Loudon, NH 03307</w:t>
            </w:r>
            <w:r>
              <w:rPr>
                <w:color w:val="000000"/>
              </w:rPr>
              <w:br/>
            </w:r>
            <w:r>
              <w:rPr>
                <w:rStyle w:val="fontstyle01"/>
              </w:rPr>
              <w:t>603-783-0228; Stephen Raper</w:t>
            </w:r>
          </w:p>
          <w:p w:rsidR="00775634" w:rsidRDefault="00775634" w:rsidP="00775634">
            <w:pPr>
              <w:ind w:firstLine="720"/>
              <w:jc w:val="left"/>
            </w:pPr>
          </w:p>
        </w:tc>
        <w:tc>
          <w:tcPr>
            <w:tcW w:w="4680" w:type="dxa"/>
            <w:shd w:val="clear" w:color="auto" w:fill="auto"/>
          </w:tcPr>
          <w:p w:rsidR="00775634" w:rsidRDefault="00775634" w:rsidP="00775634">
            <w:pPr>
              <w:jc w:val="left"/>
            </w:pPr>
            <w:r>
              <w:rPr>
                <w:rStyle w:val="fontstyle01"/>
              </w:rPr>
              <w:t>The Southbridge Recycling and Disposal</w:t>
            </w:r>
            <w:r>
              <w:rPr>
                <w:color w:val="000000"/>
              </w:rPr>
              <w:br/>
            </w:r>
            <w:r>
              <w:rPr>
                <w:rStyle w:val="fontstyle01"/>
              </w:rPr>
              <w:t>Park</w:t>
            </w:r>
            <w:r>
              <w:rPr>
                <w:color w:val="000000"/>
              </w:rPr>
              <w:br/>
            </w:r>
            <w:r>
              <w:rPr>
                <w:rStyle w:val="fontstyle01"/>
              </w:rPr>
              <w:t>165 Barefoot Road</w:t>
            </w:r>
            <w:r>
              <w:rPr>
                <w:color w:val="000000"/>
              </w:rPr>
              <w:br/>
            </w:r>
            <w:r>
              <w:rPr>
                <w:rStyle w:val="fontstyle01"/>
              </w:rPr>
              <w:t>Southbridge, MA 01550</w:t>
            </w:r>
            <w:r>
              <w:rPr>
                <w:color w:val="000000"/>
              </w:rPr>
              <w:br/>
            </w:r>
            <w:r>
              <w:rPr>
                <w:rStyle w:val="fontstyle01"/>
              </w:rPr>
              <w:t>603-235-3597</w:t>
            </w:r>
            <w:r w:rsidR="00CE6258">
              <w:rPr>
                <w:rStyle w:val="fontstyle01"/>
              </w:rPr>
              <w:t>; Scott Sampson</w:t>
            </w:r>
          </w:p>
          <w:p w:rsidR="00775634" w:rsidRDefault="00775634" w:rsidP="00775634">
            <w:pPr>
              <w:jc w:val="left"/>
            </w:pPr>
          </w:p>
        </w:tc>
      </w:tr>
      <w:tr w:rsidR="00775634" w:rsidTr="00775634">
        <w:tblPrEx>
          <w:tblCellMar>
            <w:top w:w="0" w:type="dxa"/>
            <w:bottom w:w="0" w:type="dxa"/>
          </w:tblCellMar>
        </w:tblPrEx>
        <w:trPr>
          <w:trHeight w:hRule="exact" w:val="1167"/>
        </w:trPr>
        <w:tc>
          <w:tcPr>
            <w:tcW w:w="4500" w:type="dxa"/>
            <w:shd w:val="clear" w:color="auto" w:fill="auto"/>
          </w:tcPr>
          <w:p w:rsidR="00A9104F" w:rsidRDefault="00A9104F" w:rsidP="00A9104F">
            <w:pPr>
              <w:jc w:val="left"/>
            </w:pPr>
            <w:r>
              <w:rPr>
                <w:rStyle w:val="fontstyle01"/>
              </w:rPr>
              <w:t>Waste Management of NH</w:t>
            </w:r>
            <w:r>
              <w:rPr>
                <w:color w:val="000000"/>
              </w:rPr>
              <w:br/>
            </w:r>
            <w:r>
              <w:rPr>
                <w:rStyle w:val="fontstyle01"/>
              </w:rPr>
              <w:t>90 Rochester Neck Road</w:t>
            </w:r>
            <w:r>
              <w:rPr>
                <w:color w:val="000000"/>
              </w:rPr>
              <w:br/>
            </w:r>
            <w:r>
              <w:rPr>
                <w:rStyle w:val="fontstyle01"/>
              </w:rPr>
              <w:t>Rochester, NH 03839</w:t>
            </w:r>
            <w:r>
              <w:rPr>
                <w:color w:val="000000"/>
              </w:rPr>
              <w:br/>
            </w:r>
            <w:r>
              <w:rPr>
                <w:rStyle w:val="fontstyle01"/>
              </w:rPr>
              <w:t>603-330-2170 – Ellen Bellio</w:t>
            </w:r>
          </w:p>
          <w:p w:rsidR="00775634" w:rsidRDefault="00775634" w:rsidP="00A9104F">
            <w:pPr>
              <w:jc w:val="left"/>
              <w:rPr>
                <w:rStyle w:val="fontstyle01"/>
              </w:rPr>
            </w:pPr>
          </w:p>
        </w:tc>
        <w:tc>
          <w:tcPr>
            <w:tcW w:w="4680" w:type="dxa"/>
            <w:shd w:val="clear" w:color="auto" w:fill="auto"/>
          </w:tcPr>
          <w:p w:rsidR="00775634" w:rsidRDefault="00775634" w:rsidP="00A9104F">
            <w:pPr>
              <w:jc w:val="left"/>
            </w:pPr>
          </w:p>
        </w:tc>
      </w:tr>
    </w:tbl>
    <w:p w:rsidR="007E5B9F" w:rsidRDefault="007E5B9F" w:rsidP="007E5B9F">
      <w:pPr>
        <w:ind w:left="540" w:hanging="180"/>
        <w:rPr>
          <w:szCs w:val="24"/>
        </w:rPr>
      </w:pPr>
      <w:r>
        <w:rPr>
          <w:szCs w:val="24"/>
        </w:rPr>
        <w:t xml:space="preserve">* Note: </w:t>
      </w:r>
      <w:r>
        <w:rPr>
          <w:szCs w:val="24"/>
          <w:u w:val="single"/>
        </w:rPr>
        <w:t xml:space="preserve">each bin </w:t>
      </w:r>
      <w:r>
        <w:rPr>
          <w:szCs w:val="24"/>
        </w:rPr>
        <w:t>will</w:t>
      </w:r>
      <w:r>
        <w:rPr>
          <w:szCs w:val="24"/>
          <w:u w:val="single"/>
        </w:rPr>
        <w:t xml:space="preserve"> </w:t>
      </w:r>
      <w:r>
        <w:rPr>
          <w:szCs w:val="24"/>
        </w:rPr>
        <w:t>require an additional 10 days (or more) for PADEP to review analytical data and approve material for disposal prior to facility acceptance of material. This is in addition to all other restrictions and wait periods defined below.</w:t>
      </w:r>
    </w:p>
    <w:p w:rsidR="007E5B9F" w:rsidRDefault="007E5B9F" w:rsidP="007E5B9F">
      <w:pPr>
        <w:pStyle w:val="SpecHead2"/>
        <w:ind w:left="720"/>
      </w:pPr>
    </w:p>
    <w:p w:rsidR="007E5B9F" w:rsidRDefault="007E5B9F" w:rsidP="007E5B9F">
      <w:r>
        <w:t>The above list contains treatment/recycle/disposal facilities which can accept the waste stream generated by the project in quantities that may be limited by their permits and their operations restrictions.  It is the responsibility of the contractor to verify that a facility will be available and capable of handling the volume as well as the chemical and physical characteristics of material generated by the project.</w:t>
      </w:r>
    </w:p>
    <w:p w:rsidR="007E5B9F" w:rsidRDefault="007E5B9F"/>
    <w:p w:rsidR="005773BC" w:rsidRDefault="005773BC">
      <w:pPr>
        <w:pStyle w:val="SpecHead2"/>
        <w:rPr>
          <w:u w:val="single"/>
        </w:rPr>
      </w:pPr>
      <w:r>
        <w:t>Construction Methods:</w:t>
      </w:r>
    </w:p>
    <w:p w:rsidR="005773BC" w:rsidRDefault="005773BC">
      <w:pPr>
        <w:rPr>
          <w:u w:val="single"/>
        </w:rPr>
      </w:pPr>
    </w:p>
    <w:p w:rsidR="005773BC" w:rsidRDefault="00A1241A">
      <w:r>
        <w:t>A</w:t>
      </w:r>
      <w:r w:rsidR="005773BC">
        <w:t>.  Material Disposal</w:t>
      </w:r>
    </w:p>
    <w:p w:rsidR="005773BC" w:rsidRDefault="005773BC"/>
    <w:p w:rsidR="005773BC" w:rsidRDefault="005773BC">
      <w:pPr>
        <w:rPr>
          <w:b/>
        </w:rPr>
      </w:pPr>
      <w:r>
        <w:t xml:space="preserve">After the sediment has adequately dewatered and any necessary solidification material has been added, the Engineer will sample materials stored at the WSA at a frequency established by the selected treatment/recycling/disposal facilities.  The Contractor shall designate to the Engineer which facility he intends to use prior to samples being taken. The Contractor is hereby notified that laboratory turnaround time is expected to be fifteen (15) working days.  Turnaround time is the period of time beginning when the Contractor notifies the Engineer that the bin within the WSA is full and ready for sampling and ending with the Contractor’s receipt of the laboratory analytical results. Any change of intended treatment/recycling/disposal facility may prompt the need to resample and will therefore restart the time required for laboratory turnaround. The laboratory will furnish such results to the Engineer. Upon receipt, the Engineer will make available to the Contractor the results of the final waste characterization determinations.  </w:t>
      </w:r>
      <w:r>
        <w:rPr>
          <w:b/>
        </w:rPr>
        <w:t>No delay claim will be considered based upon the Contractor</w:t>
      </w:r>
      <w:r>
        <w:rPr>
          <w:rFonts w:ascii="Courier New" w:hAnsi="Courier New"/>
          <w:b/>
        </w:rPr>
        <w:t>’</w:t>
      </w:r>
      <w:r>
        <w:rPr>
          <w:b/>
        </w:rPr>
        <w:t xml:space="preserve">s failure to accommodate the laboratory turnaround time as identified above. </w:t>
      </w:r>
    </w:p>
    <w:p w:rsidR="005773BC" w:rsidRDefault="005773BC"/>
    <w:p w:rsidR="005773BC" w:rsidRDefault="005773BC">
      <w:r>
        <w:t xml:space="preserve">The Contractor shall obtain and complete all paperwork necessary to arrange for material disposal, including disposal facility waste profile sheets.  It is solely the Contractor’s responsibility to co-ordinate the disposal of controlled materials with its selected treatment/recycling/disposal facility(s).  Upon receipt of the final approval from the facility, the Contractor shall arrange for the loading, transport and treatment/recycling/disposal of the materials in accordance with all Federal and State regulations.  </w:t>
      </w:r>
      <w:r>
        <w:rPr>
          <w:b/>
        </w:rPr>
        <w:t>No claim will be considered based on the failure of the Contractor’s disposal facility(s) to meet the Contractor’s production rate or for the Contractor’s failure to select sufficient facilities to meet its production rate.</w:t>
      </w:r>
    </w:p>
    <w:p w:rsidR="005773BC" w:rsidRDefault="005773BC"/>
    <w:p w:rsidR="005773BC" w:rsidRDefault="005773BC">
      <w:r>
        <w:t xml:space="preserve">All manifests or bills of lading utilized to accompany the transportation of the material shall be prepared by the Contractor a minimum of 24 hours in advance and signed by an authorized Department representative, as Generator, for each truck load of material that leaves the site.  The Contractor shall forward the appropriate </w:t>
      </w:r>
      <w:r>
        <w:rPr>
          <w:u w:val="single"/>
        </w:rPr>
        <w:t>original copies</w:t>
      </w:r>
      <w:r>
        <w:t xml:space="preserve"> of all manifests or bills of lading to the Engineer the same day the material leaves the Project.</w:t>
      </w:r>
    </w:p>
    <w:p w:rsidR="005773BC" w:rsidRDefault="005773BC"/>
    <w:p w:rsidR="005773BC" w:rsidRDefault="005773BC">
      <w:r>
        <w:t>A load-specific certificate of disposal, signed by the authorized agent representing the disposal facility, shall be obtained by the Contractor and promptly delivered to the Engineer for each load.</w:t>
      </w:r>
    </w:p>
    <w:p w:rsidR="005773BC" w:rsidRDefault="005773BC"/>
    <w:p w:rsidR="005773BC" w:rsidRDefault="00A1241A">
      <w:r>
        <w:t>B</w:t>
      </w:r>
      <w:r w:rsidR="005773BC">
        <w:t>.  Material Transportation</w:t>
      </w:r>
    </w:p>
    <w:p w:rsidR="005773BC" w:rsidRDefault="005773BC"/>
    <w:p w:rsidR="005773BC" w:rsidRDefault="005773BC">
      <w:r>
        <w:t>In addition to all pertinent Federal, State and local laws or regulatory agency polices, the Contractor shall adhere to the following precautions during the transport of sediments off-site:</w:t>
      </w:r>
    </w:p>
    <w:p w:rsidR="005773BC" w:rsidRDefault="005773BC"/>
    <w:p w:rsidR="005773BC" w:rsidRDefault="005773BC">
      <w:pPr>
        <w:pStyle w:val="Level1"/>
        <w:numPr>
          <w:ilvl w:val="0"/>
          <w:numId w:val="11"/>
        </w:numPr>
        <w:tabs>
          <w:tab w:val="left" w:pos="-1440"/>
        </w:tabs>
        <w:jc w:val="both"/>
      </w:pPr>
      <w:r>
        <w:t>Transported controlled materials are to be covered sufficiently to preclude the loss of material during transport prior to leaving the site and are to remain covered until the arrival at the selected treatment/recycling/disposal facility.</w:t>
      </w:r>
    </w:p>
    <w:p w:rsidR="005773BC" w:rsidRDefault="005773BC"/>
    <w:p w:rsidR="005773BC" w:rsidRDefault="005773BC">
      <w:pPr>
        <w:pStyle w:val="Level1"/>
        <w:numPr>
          <w:ilvl w:val="0"/>
          <w:numId w:val="11"/>
        </w:numPr>
        <w:tabs>
          <w:tab w:val="left" w:pos="-1440"/>
        </w:tabs>
        <w:jc w:val="both"/>
      </w:pPr>
      <w:r>
        <w:t>All vehicles departing the site are to be properly logged to show the vehicle identification, driver</w:t>
      </w:r>
      <w:r>
        <w:rPr>
          <w:rFonts w:ascii="Courier New" w:hAnsi="Courier New"/>
        </w:rPr>
        <w:t>’</w:t>
      </w:r>
      <w:r>
        <w:t>s name, time of departure, destination, and approximate volume, and contents of materials carried.</w:t>
      </w:r>
    </w:p>
    <w:p w:rsidR="005773BC" w:rsidRDefault="005773BC"/>
    <w:p w:rsidR="005773BC" w:rsidRDefault="005773BC">
      <w:pPr>
        <w:pStyle w:val="Level1"/>
        <w:numPr>
          <w:ilvl w:val="0"/>
          <w:numId w:val="11"/>
        </w:numPr>
        <w:tabs>
          <w:tab w:val="left" w:pos="-1440"/>
        </w:tabs>
        <w:jc w:val="both"/>
      </w:pPr>
      <w:r>
        <w:t>No materials shall leave the site unless a treatment/recycling/disposal facility willing to accept all of the material being transported has agreed to accept the type and quantity of waste.</w:t>
      </w:r>
    </w:p>
    <w:p w:rsidR="005773BC" w:rsidRDefault="005773BC">
      <w:pPr>
        <w:pStyle w:val="Level1"/>
        <w:tabs>
          <w:tab w:val="left" w:pos="-1440"/>
        </w:tabs>
        <w:ind w:left="0" w:firstLine="0"/>
        <w:jc w:val="both"/>
      </w:pPr>
    </w:p>
    <w:p w:rsidR="005773BC" w:rsidRDefault="005773BC">
      <w:pPr>
        <w:pStyle w:val="Level1"/>
        <w:numPr>
          <w:ilvl w:val="0"/>
          <w:numId w:val="11"/>
        </w:numPr>
        <w:tabs>
          <w:tab w:val="left" w:pos="-1440"/>
        </w:tabs>
        <w:jc w:val="both"/>
      </w:pPr>
      <w:r>
        <w:t>Discharge openings on trucks used for the transportation of sediments must be securely closed during transportation.  Trucks deemed unacceptable for use by the Engineer will not be used for the transportation of sediments.</w:t>
      </w:r>
    </w:p>
    <w:p w:rsidR="005773BC" w:rsidRDefault="005773BC">
      <w:r>
        <w:t xml:space="preserve"> </w:t>
      </w:r>
    </w:p>
    <w:p w:rsidR="005773BC" w:rsidRDefault="00A1241A">
      <w:r>
        <w:t>C</w:t>
      </w:r>
      <w:r w:rsidR="005773BC">
        <w:t xml:space="preserve">.  Equipment Decontamination </w:t>
      </w:r>
    </w:p>
    <w:p w:rsidR="005773BC" w:rsidRDefault="005773BC"/>
    <w:p w:rsidR="005773BC" w:rsidRDefault="005773BC">
      <w:r>
        <w:t>All equipment shall be provided to the work site free of gross contamination. The Engineer may prohibit from the site any equipment that in his opinion has not been thoroughly decontaminated prior to arrival. Any decontamination of the Contractor’s equipment prior to arrival at the site shall be at the expense of the Contractor. The Contractor is prohibited from decontaminating equipment on the Project site that has not been thoroughly decontaminated prior to arrival.</w:t>
      </w:r>
    </w:p>
    <w:p w:rsidR="005773BC" w:rsidRDefault="005773BC"/>
    <w:p w:rsidR="005773BC" w:rsidRDefault="005773BC">
      <w:r>
        <w:t>The Contractor shall furnish labor, materials, tools and equipment for decontamination of all equipment and supplies that are used to handle the controlled sediments. Decontamination shall be conducted at an area designated by the Engineer and shall be required prior to equipment and supplies leaving the Project, between stages of the work, and between work in different AOEC’s.</w:t>
      </w:r>
    </w:p>
    <w:p w:rsidR="005773BC" w:rsidRDefault="005773BC"/>
    <w:p w:rsidR="005773BC" w:rsidRDefault="005773BC">
      <w:r>
        <w:t>The Contractor shall use dry decontamination procedures. Residuals from dry decontamination activities shall be collected and managed as controlled sediments. If the results from dry methods are unsatisfactory to the Engineer, the Contractor shall modify decontamination procedures as required.</w:t>
      </w:r>
    </w:p>
    <w:p w:rsidR="005773BC" w:rsidRDefault="005773BC"/>
    <w:p w:rsidR="005773BC" w:rsidRDefault="005773BC">
      <w:r>
        <w:t>The Contractor shall be responsible for the collection and treatment/recycling/disposal of any liquid wastes that may be generated by its decontamination activities in accordance with applicable regulations.</w:t>
      </w:r>
    </w:p>
    <w:p w:rsidR="005773BC" w:rsidRDefault="005773BC"/>
    <w:p w:rsidR="005773BC" w:rsidRDefault="005773BC">
      <w:pPr>
        <w:pStyle w:val="SpecHead2"/>
      </w:pPr>
      <w:r>
        <w:t>Method of Measurement:</w:t>
      </w:r>
    </w:p>
    <w:p w:rsidR="005773BC" w:rsidRDefault="005773BC"/>
    <w:p w:rsidR="005773BC" w:rsidRDefault="005773BC">
      <w:r>
        <w:t xml:space="preserve">The work of “DISPOSAL OF SEDIMENTS” will be measured for payment as the actual net weight in tons of material delivered to the treatment/recycling/disposal facility. Such determinations shall be made by measuring each hauling vehicle on the certified permanent scales at the treatment/recycling/disposal facility.  Total weight will be the summation of weight bills issued by the facility specific to this Project. Excess excavations made by the Contractor beyond the payment limits specified in Specification Sections 2.02, 2.03, 2.06, </w:t>
      </w:r>
      <w:r w:rsidR="00056248">
        <w:t xml:space="preserve">and </w:t>
      </w:r>
      <w:r w:rsidR="00180358">
        <w:t>2.86</w:t>
      </w:r>
      <w:r w:rsidR="00056248">
        <w:t>,</w:t>
      </w:r>
      <w:r w:rsidR="00180358">
        <w:t xml:space="preserve"> </w:t>
      </w:r>
      <w:r>
        <w:t>or the Contract Special Provisions (as appropriate) will not be measured for payment and the Contractor assumes responsibility for all costs associated with the appropriate handling, management and disposal of this material.</w:t>
      </w:r>
    </w:p>
    <w:p w:rsidR="00437F85" w:rsidRDefault="00437F85" w:rsidP="00437F85"/>
    <w:p w:rsidR="00437F85" w:rsidRDefault="00437F85" w:rsidP="00437F85">
      <w:r>
        <w:t xml:space="preserve">The disposal of excavated materials, originally anticipated to be controlled materials, but determined by characterization sampling </w:t>
      </w:r>
      <w:r>
        <w:rPr>
          <w:u w:val="single"/>
        </w:rPr>
        <w:t>not</w:t>
      </w:r>
      <w:r>
        <w:t xml:space="preserve"> to contain concentrations of regulated chemicals (non-polluted or “clean” materials) will </w:t>
      </w:r>
      <w:r>
        <w:rPr>
          <w:u w:val="single"/>
        </w:rPr>
        <w:t>not</w:t>
      </w:r>
      <w:r>
        <w:t xml:space="preserve"> be measured for payment under this item but will be considered as surplus excavated materials and will be paid in accordance with Article 1.04.05.</w:t>
      </w:r>
    </w:p>
    <w:p w:rsidR="005773BC" w:rsidRDefault="005773BC"/>
    <w:p w:rsidR="005773BC" w:rsidRDefault="005773BC">
      <w:pPr>
        <w:pStyle w:val="BodyTextIndent"/>
      </w:pPr>
      <w:r>
        <w:t xml:space="preserve">Equipment decontamination, the collection of residuals, and the collection and disposal of liquids generated during equipment decontamination activities will not be measured separately for payment. </w:t>
      </w:r>
    </w:p>
    <w:p w:rsidR="005773BC" w:rsidRDefault="005773BC"/>
    <w:p w:rsidR="005773BC" w:rsidRDefault="005773BC">
      <w:pPr>
        <w:pStyle w:val="SpecHead2"/>
      </w:pPr>
      <w:r>
        <w:t>Basis of Payment:</w:t>
      </w:r>
    </w:p>
    <w:p w:rsidR="005773BC" w:rsidRDefault="005773BC"/>
    <w:p w:rsidR="005773BC" w:rsidRDefault="005773BC">
      <w:pPr>
        <w:rPr>
          <w:b/>
        </w:rPr>
      </w:pPr>
      <w:r>
        <w:t xml:space="preserve">This work will be paid for at the Contract unit price, which shall include the loading and transportation of sediments from the WSA to the treatment/recycling/disposal facility; the treatment/recycling/disposal; the preparation of manifests and fees paid; and all equipment, materials, tools, and labor incidental to loading, transporting, and treating/recycling/disposal of materials.  </w:t>
      </w:r>
      <w:r>
        <w:rPr>
          <w:b/>
        </w:rPr>
        <w:t>This unit price will be applicable to all of the Contractor-selected disposal facilities for the duration of the Project.</w:t>
      </w:r>
    </w:p>
    <w:p w:rsidR="005773BC" w:rsidRDefault="005773BC"/>
    <w:p w:rsidR="005773BC" w:rsidRDefault="005773BC">
      <w:r>
        <w:t>This price shall also include equipment decontamination; the collection of residuals generated during decontamination and placement of such material in the WSA; and the collection and disposal of liquids generated during equipment decontamination activities.</w:t>
      </w:r>
    </w:p>
    <w:p w:rsidR="005773BC" w:rsidRDefault="005773BC"/>
    <w:p w:rsidR="005773BC" w:rsidRDefault="005773BC">
      <w:r>
        <w:t>Solidification of sediments will be paid under other Contract items.</w:t>
      </w:r>
    </w:p>
    <w:p w:rsidR="005773BC" w:rsidRDefault="005773BC"/>
    <w:p w:rsidR="005773BC" w:rsidRDefault="005773BC"/>
    <w:p w:rsidR="005773BC" w:rsidRPr="004A33F8" w:rsidRDefault="005773BC">
      <w:pPr>
        <w:ind w:firstLine="720"/>
      </w:pPr>
      <w:r w:rsidRPr="004A33F8">
        <w:rPr>
          <w:u w:val="single"/>
        </w:rPr>
        <w:t>Pay Item</w:t>
      </w:r>
      <w:r w:rsidRPr="004A33F8">
        <w:tab/>
      </w:r>
      <w:r w:rsidRPr="004A33F8">
        <w:tab/>
      </w:r>
      <w:r w:rsidRPr="004A33F8">
        <w:tab/>
      </w:r>
      <w:r w:rsidRPr="004A33F8">
        <w:tab/>
      </w:r>
      <w:r w:rsidRPr="004A33F8">
        <w:tab/>
      </w:r>
      <w:r w:rsidRPr="004A33F8">
        <w:tab/>
      </w:r>
      <w:r w:rsidRPr="004A33F8">
        <w:tab/>
      </w:r>
      <w:r w:rsidRPr="004A33F8">
        <w:rPr>
          <w:u w:val="single"/>
        </w:rPr>
        <w:t>Pay Unit</w:t>
      </w:r>
    </w:p>
    <w:p w:rsidR="005773BC" w:rsidRDefault="005773BC"/>
    <w:p w:rsidR="005773BC" w:rsidRDefault="005773BC" w:rsidP="00E658B1">
      <w:pPr>
        <w:ind w:firstLine="720"/>
      </w:pPr>
      <w:r>
        <w:t>Disposal of Sediments</w:t>
      </w:r>
      <w:r>
        <w:tab/>
      </w:r>
      <w:r>
        <w:tab/>
      </w:r>
      <w:r>
        <w:tab/>
      </w:r>
      <w:r>
        <w:tab/>
      </w:r>
      <w:r>
        <w:tab/>
      </w:r>
      <w:r>
        <w:tab/>
        <w:t xml:space="preserve">Ton </w:t>
      </w:r>
    </w:p>
    <w:p w:rsidR="005773BC" w:rsidRDefault="005773BC"/>
    <w:sectPr w:rsidR="005773BC">
      <w:footerReference w:type="default" r:id="rId9"/>
      <w:pgSz w:w="12240" w:h="15840"/>
      <w:pgMar w:top="2160" w:right="1440" w:bottom="1080" w:left="1440" w:header="180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1876" w:rsidRDefault="003C1876">
      <w:r>
        <w:separator/>
      </w:r>
    </w:p>
  </w:endnote>
  <w:endnote w:type="continuationSeparator" w:id="0">
    <w:p w:rsidR="003C1876" w:rsidRDefault="003C1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73BC" w:rsidRDefault="005773BC">
    <w:pPr>
      <w:pStyle w:val="Footer"/>
    </w:pPr>
    <w:r>
      <w:fldChar w:fldCharType="begin"/>
    </w:r>
    <w:r>
      <w:instrText xml:space="preserve"> COMMENTS  \* MERGEFORMAT </w:instrText>
    </w:r>
    <w:r>
      <w:fldChar w:fldCharType="end"/>
    </w:r>
    <w:r>
      <w:tab/>
    </w:r>
    <w:r>
      <w:tab/>
      <w:t xml:space="preserve">Item </w:t>
    </w:r>
    <w:r w:rsidR="00D55996">
      <w:t xml:space="preserve">NO. </w:t>
    </w:r>
    <w:r>
      <w:t>0020763a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1876" w:rsidRDefault="003C1876">
      <w:r>
        <w:separator/>
      </w:r>
    </w:p>
  </w:footnote>
  <w:footnote w:type="continuationSeparator" w:id="0">
    <w:p w:rsidR="003C1876" w:rsidRDefault="003C18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5FE7D5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0193D37"/>
    <w:multiLevelType w:val="multilevel"/>
    <w:tmpl w:val="26AC0E9E"/>
    <w:lvl w:ilvl="0">
      <w:start w:val="1"/>
      <w:numFmt w:val="lowerLetter"/>
      <w:lvlText w:val="(%1)"/>
      <w:lvlJc w:val="left"/>
      <w:pPr>
        <w:tabs>
          <w:tab w:val="num" w:pos="1512"/>
        </w:tabs>
        <w:ind w:left="1512" w:hanging="792"/>
      </w:pPr>
    </w:lvl>
    <w:lvl w:ilvl="1">
      <w:start w:val="1"/>
      <w:numFmt w:val="decimal"/>
      <w:lvlText w:val="(%2)"/>
      <w:lvlJc w:val="left"/>
      <w:pPr>
        <w:tabs>
          <w:tab w:val="num" w:pos="2232"/>
        </w:tabs>
        <w:ind w:left="2232" w:hanging="792"/>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051163F"/>
    <w:multiLevelType w:val="singleLevel"/>
    <w:tmpl w:val="BAC81A7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D48061B"/>
    <w:multiLevelType w:val="singleLevel"/>
    <w:tmpl w:val="C728D84A"/>
    <w:lvl w:ilvl="0">
      <w:start w:val="1"/>
      <w:numFmt w:val="decimal"/>
      <w:lvlText w:val="%1."/>
      <w:lvlJc w:val="left"/>
      <w:pPr>
        <w:tabs>
          <w:tab w:val="num" w:pos="360"/>
        </w:tabs>
        <w:ind w:left="360" w:hanging="360"/>
      </w:pPr>
      <w:rPr>
        <w:rFonts w:hint="default"/>
      </w:rPr>
    </w:lvl>
  </w:abstractNum>
  <w:abstractNum w:abstractNumId="5" w15:restartNumberingAfterBreak="0">
    <w:nsid w:val="33C37345"/>
    <w:multiLevelType w:val="singleLevel"/>
    <w:tmpl w:val="7B005272"/>
    <w:lvl w:ilvl="0">
      <w:start w:val="1200"/>
      <w:numFmt w:val="bullet"/>
      <w:lvlText w:val=""/>
      <w:lvlJc w:val="left"/>
      <w:pPr>
        <w:tabs>
          <w:tab w:val="num" w:pos="360"/>
        </w:tabs>
        <w:ind w:left="360" w:hanging="360"/>
      </w:pPr>
      <w:rPr>
        <w:rFonts w:ascii="Webdings" w:hAnsi="Verdana" w:hint="default"/>
        <w:sz w:val="28"/>
      </w:rPr>
    </w:lvl>
  </w:abstractNum>
  <w:abstractNum w:abstractNumId="6" w15:restartNumberingAfterBreak="0">
    <w:nsid w:val="3C221A6A"/>
    <w:multiLevelType w:val="singleLevel"/>
    <w:tmpl w:val="238C0032"/>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4E263D00"/>
    <w:multiLevelType w:val="singleLevel"/>
    <w:tmpl w:val="77B839BE"/>
    <w:lvl w:ilvl="0">
      <w:start w:val="1"/>
      <w:numFmt w:val="decimal"/>
      <w:lvlText w:val="%1."/>
      <w:lvlJc w:val="left"/>
      <w:pPr>
        <w:tabs>
          <w:tab w:val="num" w:pos="360"/>
        </w:tabs>
        <w:ind w:left="360" w:hanging="360"/>
      </w:pPr>
      <w:rPr>
        <w:rFonts w:hint="default"/>
      </w:rPr>
    </w:lvl>
  </w:abstractNum>
  <w:abstractNum w:abstractNumId="8" w15:restartNumberingAfterBreak="0">
    <w:nsid w:val="592532B9"/>
    <w:multiLevelType w:val="singleLevel"/>
    <w:tmpl w:val="DA5EECF2"/>
    <w:lvl w:ilvl="0">
      <w:start w:val="1"/>
      <w:numFmt w:val="decimal"/>
      <w:lvlText w:val="%1."/>
      <w:lvlJc w:val="left"/>
      <w:pPr>
        <w:tabs>
          <w:tab w:val="num" w:pos="360"/>
        </w:tabs>
        <w:ind w:left="360" w:hanging="360"/>
      </w:pPr>
      <w:rPr>
        <w:rFonts w:hint="default"/>
      </w:rPr>
    </w:lvl>
  </w:abstractNum>
  <w:abstractNum w:abstractNumId="9" w15:restartNumberingAfterBreak="0">
    <w:nsid w:val="5D705453"/>
    <w:multiLevelType w:val="singleLevel"/>
    <w:tmpl w:val="1018A8AE"/>
    <w:lvl w:ilvl="0">
      <w:start w:val="1"/>
      <w:numFmt w:val="decimal"/>
      <w:lvlText w:val="%1."/>
      <w:lvlJc w:val="left"/>
      <w:pPr>
        <w:tabs>
          <w:tab w:val="num" w:pos="360"/>
        </w:tabs>
        <w:ind w:left="360" w:hanging="360"/>
      </w:pPr>
      <w:rPr>
        <w:rFonts w:hint="default"/>
      </w:rPr>
    </w:lvl>
  </w:abstractNum>
  <w:abstractNum w:abstractNumId="10" w15:restartNumberingAfterBreak="0">
    <w:nsid w:val="65966CAC"/>
    <w:multiLevelType w:val="singleLevel"/>
    <w:tmpl w:val="04090015"/>
    <w:lvl w:ilvl="0">
      <w:start w:val="1"/>
      <w:numFmt w:val="upperLetter"/>
      <w:lvlText w:val="%1."/>
      <w:lvlJc w:val="left"/>
      <w:pPr>
        <w:tabs>
          <w:tab w:val="num" w:pos="360"/>
        </w:tabs>
        <w:ind w:left="360" w:hanging="360"/>
      </w:pPr>
      <w:rPr>
        <w:rFonts w:hint="default"/>
      </w:rPr>
    </w:lvl>
  </w:abstractNum>
  <w:abstractNum w:abstractNumId="11" w15:restartNumberingAfterBreak="0">
    <w:nsid w:val="68764B74"/>
    <w:multiLevelType w:val="singleLevel"/>
    <w:tmpl w:val="BAC81A72"/>
    <w:lvl w:ilvl="0">
      <w:start w:val="1"/>
      <w:numFmt w:val="bullet"/>
      <w:lvlText w:val=""/>
      <w:lvlJc w:val="left"/>
      <w:pPr>
        <w:tabs>
          <w:tab w:val="num" w:pos="360"/>
        </w:tabs>
        <w:ind w:left="360" w:hanging="360"/>
      </w:pPr>
      <w:rPr>
        <w:rFonts w:ascii="Wingdings" w:hAnsi="Wingdings" w:hint="default"/>
      </w:rPr>
    </w:lvl>
  </w:abstractNum>
  <w:num w:numId="1" w16cid:durableId="521433822">
    <w:abstractNumId w:val="2"/>
  </w:num>
  <w:num w:numId="2" w16cid:durableId="86736661">
    <w:abstractNumId w:val="7"/>
  </w:num>
  <w:num w:numId="3" w16cid:durableId="446390874">
    <w:abstractNumId w:val="5"/>
  </w:num>
  <w:num w:numId="4" w16cid:durableId="1351877359">
    <w:abstractNumId w:val="11"/>
  </w:num>
  <w:num w:numId="5" w16cid:durableId="997002784">
    <w:abstractNumId w:val="4"/>
  </w:num>
  <w:num w:numId="6" w16cid:durableId="639654129">
    <w:abstractNumId w:val="8"/>
  </w:num>
  <w:num w:numId="7" w16cid:durableId="1906065225">
    <w:abstractNumId w:val="3"/>
  </w:num>
  <w:num w:numId="8" w16cid:durableId="443768415">
    <w:abstractNumId w:val="0"/>
  </w:num>
  <w:num w:numId="9" w16cid:durableId="627205416">
    <w:abstractNumId w:val="6"/>
  </w:num>
  <w:num w:numId="10" w16cid:durableId="2022974136">
    <w:abstractNumId w:val="9"/>
  </w:num>
  <w:num w:numId="11" w16cid:durableId="810025341">
    <w:abstractNumId w:val="1"/>
    <w:lvlOverride w:ilvl="0">
      <w:lvl w:ilvl="0">
        <w:numFmt w:val="bullet"/>
        <w:lvlText w:val="·"/>
        <w:legacy w:legacy="1" w:legacySpace="0" w:legacyIndent="720"/>
        <w:lvlJc w:val="left"/>
        <w:pPr>
          <w:ind w:left="720" w:hanging="720"/>
        </w:pPr>
        <w:rPr>
          <w:rFonts w:ascii="Times New Roman" w:hAnsi="Times New Roman" w:hint="default"/>
        </w:rPr>
      </w:lvl>
    </w:lvlOverride>
  </w:num>
  <w:num w:numId="12" w16cid:durableId="8987838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F85"/>
    <w:rsid w:val="0002793D"/>
    <w:rsid w:val="00056248"/>
    <w:rsid w:val="000E6972"/>
    <w:rsid w:val="00100286"/>
    <w:rsid w:val="001274BB"/>
    <w:rsid w:val="00180358"/>
    <w:rsid w:val="001870B3"/>
    <w:rsid w:val="00251BE7"/>
    <w:rsid w:val="002A44FC"/>
    <w:rsid w:val="003916D8"/>
    <w:rsid w:val="003C1876"/>
    <w:rsid w:val="00437F85"/>
    <w:rsid w:val="004705E9"/>
    <w:rsid w:val="00494CF4"/>
    <w:rsid w:val="004A33F8"/>
    <w:rsid w:val="004D7EDD"/>
    <w:rsid w:val="00552E29"/>
    <w:rsid w:val="005773BC"/>
    <w:rsid w:val="005B6BF0"/>
    <w:rsid w:val="00643FA0"/>
    <w:rsid w:val="006E6153"/>
    <w:rsid w:val="00775634"/>
    <w:rsid w:val="007E5B9F"/>
    <w:rsid w:val="008368A2"/>
    <w:rsid w:val="0092065D"/>
    <w:rsid w:val="009463EF"/>
    <w:rsid w:val="00A1241A"/>
    <w:rsid w:val="00A9104F"/>
    <w:rsid w:val="00AF03E7"/>
    <w:rsid w:val="00BF5927"/>
    <w:rsid w:val="00CE6258"/>
    <w:rsid w:val="00D36FEA"/>
    <w:rsid w:val="00D55996"/>
    <w:rsid w:val="00DC0A46"/>
    <w:rsid w:val="00E658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AB7B1F8-6A1E-4856-9608-F8881153F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outlineLvl w:val="3"/>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widowControl w:val="0"/>
    </w:pPr>
    <w:rPr>
      <w:snapToGrid w:val="0"/>
    </w:rPr>
  </w:style>
  <w:style w:type="paragraph" w:styleId="Footer">
    <w:name w:val="footer"/>
    <w:basedOn w:val="Normal"/>
    <w:pPr>
      <w:tabs>
        <w:tab w:val="center" w:pos="4320"/>
        <w:tab w:val="right" w:pos="9360"/>
      </w:tabs>
    </w:pPr>
    <w:rPr>
      <w:caps/>
      <w:sz w:val="20"/>
    </w:rPr>
  </w:style>
  <w:style w:type="paragraph" w:customStyle="1" w:styleId="Level1">
    <w:name w:val="Level 1"/>
    <w:basedOn w:val="Normal"/>
    <w:pPr>
      <w:widowControl w:val="0"/>
      <w:ind w:left="720" w:hanging="720"/>
      <w:jc w:val="left"/>
    </w:pPr>
    <w:rPr>
      <w:snapToGrid w:val="0"/>
    </w:rPr>
  </w:style>
  <w:style w:type="paragraph" w:customStyle="1" w:styleId="SpecHead2">
    <w:name w:val="SpecHead2"/>
    <w:basedOn w:val="Normal"/>
    <w:next w:val="Normal"/>
    <w:rPr>
      <w:b/>
    </w:rPr>
  </w:style>
  <w:style w:type="paragraph" w:styleId="Header">
    <w:name w:val="header"/>
    <w:basedOn w:val="Normal"/>
    <w:pPr>
      <w:tabs>
        <w:tab w:val="center" w:pos="4320"/>
        <w:tab w:val="center" w:pos="9360"/>
      </w:tabs>
    </w:pPr>
    <w:rPr>
      <w:sz w:val="20"/>
    </w:rPr>
  </w:style>
  <w:style w:type="character" w:customStyle="1" w:styleId="fontstyle01">
    <w:name w:val="fontstyle01"/>
    <w:rsid w:val="00775634"/>
    <w:rPr>
      <w:rFonts w:ascii="Times New Roman" w:hAnsi="Times New Roman" w:cs="Times New Roman" w:hint="default"/>
      <w:b w:val="0"/>
      <w:bCs w:val="0"/>
      <w:i w:val="0"/>
      <w:iCs w:val="0"/>
      <w:color w:val="000000"/>
      <w:sz w:val="24"/>
      <w:szCs w:val="24"/>
    </w:rPr>
  </w:style>
  <w:style w:type="paragraph" w:styleId="ListBullet">
    <w:name w:val="List Bullet"/>
    <w:basedOn w:val="Normal"/>
    <w:autoRedefine/>
    <w:pPr>
      <w:numPr>
        <w:numId w:val="9"/>
      </w:numPr>
    </w:pPr>
  </w:style>
  <w:style w:type="paragraph" w:customStyle="1" w:styleId="SpecHead1">
    <w:name w:val="SpecHead1"/>
    <w:basedOn w:val="Normal"/>
    <w:pPr>
      <w:spacing w:before="240" w:after="60"/>
      <w:jc w:val="left"/>
    </w:pPr>
    <w:rPr>
      <w:b/>
      <w:caps/>
      <w:u w:val="single"/>
    </w:rPr>
  </w:style>
  <w:style w:type="paragraph" w:customStyle="1" w:styleId="pageno">
    <w:name w:val="pageno"/>
    <w:basedOn w:val="Normal"/>
    <w:next w:val="Normal"/>
    <w:pPr>
      <w:jc w:val="righ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3347">
      <w:bodyDiv w:val="1"/>
      <w:marLeft w:val="0"/>
      <w:marRight w:val="0"/>
      <w:marTop w:val="0"/>
      <w:marBottom w:val="0"/>
      <w:divBdr>
        <w:top w:val="none" w:sz="0" w:space="0" w:color="auto"/>
        <w:left w:val="none" w:sz="0" w:space="0" w:color="auto"/>
        <w:bottom w:val="none" w:sz="0" w:space="0" w:color="auto"/>
        <w:right w:val="none" w:sz="0" w:space="0" w:color="auto"/>
      </w:divBdr>
    </w:div>
    <w:div w:id="246381121">
      <w:bodyDiv w:val="1"/>
      <w:marLeft w:val="0"/>
      <w:marRight w:val="0"/>
      <w:marTop w:val="0"/>
      <w:marBottom w:val="0"/>
      <w:divBdr>
        <w:top w:val="none" w:sz="0" w:space="0" w:color="auto"/>
        <w:left w:val="none" w:sz="0" w:space="0" w:color="auto"/>
        <w:bottom w:val="none" w:sz="0" w:space="0" w:color="auto"/>
        <w:right w:val="none" w:sz="0" w:space="0" w:color="auto"/>
      </w:divBdr>
    </w:div>
    <w:div w:id="383798407">
      <w:bodyDiv w:val="1"/>
      <w:marLeft w:val="0"/>
      <w:marRight w:val="0"/>
      <w:marTop w:val="0"/>
      <w:marBottom w:val="0"/>
      <w:divBdr>
        <w:top w:val="none" w:sz="0" w:space="0" w:color="auto"/>
        <w:left w:val="none" w:sz="0" w:space="0" w:color="auto"/>
        <w:bottom w:val="none" w:sz="0" w:space="0" w:color="auto"/>
        <w:right w:val="none" w:sz="0" w:space="0" w:color="auto"/>
      </w:divBdr>
    </w:div>
    <w:div w:id="529680692">
      <w:bodyDiv w:val="1"/>
      <w:marLeft w:val="0"/>
      <w:marRight w:val="0"/>
      <w:marTop w:val="0"/>
      <w:marBottom w:val="0"/>
      <w:divBdr>
        <w:top w:val="none" w:sz="0" w:space="0" w:color="auto"/>
        <w:left w:val="none" w:sz="0" w:space="0" w:color="auto"/>
        <w:bottom w:val="none" w:sz="0" w:space="0" w:color="auto"/>
        <w:right w:val="none" w:sz="0" w:space="0" w:color="auto"/>
      </w:divBdr>
    </w:div>
    <w:div w:id="704788540">
      <w:bodyDiv w:val="1"/>
      <w:marLeft w:val="0"/>
      <w:marRight w:val="0"/>
      <w:marTop w:val="0"/>
      <w:marBottom w:val="0"/>
      <w:divBdr>
        <w:top w:val="none" w:sz="0" w:space="0" w:color="auto"/>
        <w:left w:val="none" w:sz="0" w:space="0" w:color="auto"/>
        <w:bottom w:val="none" w:sz="0" w:space="0" w:color="auto"/>
        <w:right w:val="none" w:sz="0" w:space="0" w:color="auto"/>
      </w:divBdr>
    </w:div>
    <w:div w:id="988826700">
      <w:bodyDiv w:val="1"/>
      <w:marLeft w:val="0"/>
      <w:marRight w:val="0"/>
      <w:marTop w:val="0"/>
      <w:marBottom w:val="0"/>
      <w:divBdr>
        <w:top w:val="none" w:sz="0" w:space="0" w:color="auto"/>
        <w:left w:val="none" w:sz="0" w:space="0" w:color="auto"/>
        <w:bottom w:val="none" w:sz="0" w:space="0" w:color="auto"/>
        <w:right w:val="none" w:sz="0" w:space="0" w:color="auto"/>
      </w:divBdr>
    </w:div>
    <w:div w:id="1432161571">
      <w:bodyDiv w:val="1"/>
      <w:marLeft w:val="0"/>
      <w:marRight w:val="0"/>
      <w:marTop w:val="0"/>
      <w:marBottom w:val="0"/>
      <w:divBdr>
        <w:top w:val="none" w:sz="0" w:space="0" w:color="auto"/>
        <w:left w:val="none" w:sz="0" w:space="0" w:color="auto"/>
        <w:bottom w:val="none" w:sz="0" w:space="0" w:color="auto"/>
        <w:right w:val="none" w:sz="0" w:space="0" w:color="auto"/>
      </w:divBdr>
    </w:div>
    <w:div w:id="1513446391">
      <w:bodyDiv w:val="1"/>
      <w:marLeft w:val="0"/>
      <w:marRight w:val="0"/>
      <w:marTop w:val="0"/>
      <w:marBottom w:val="0"/>
      <w:divBdr>
        <w:top w:val="none" w:sz="0" w:space="0" w:color="auto"/>
        <w:left w:val="none" w:sz="0" w:space="0" w:color="auto"/>
        <w:bottom w:val="none" w:sz="0" w:space="0" w:color="auto"/>
        <w:right w:val="none" w:sz="0" w:space="0" w:color="auto"/>
      </w:divBdr>
    </w:div>
    <w:div w:id="1522477431">
      <w:bodyDiv w:val="1"/>
      <w:marLeft w:val="0"/>
      <w:marRight w:val="0"/>
      <w:marTop w:val="0"/>
      <w:marBottom w:val="0"/>
      <w:divBdr>
        <w:top w:val="none" w:sz="0" w:space="0" w:color="auto"/>
        <w:left w:val="none" w:sz="0" w:space="0" w:color="auto"/>
        <w:bottom w:val="none" w:sz="0" w:space="0" w:color="auto"/>
        <w:right w:val="none" w:sz="0" w:space="0" w:color="auto"/>
      </w:divBdr>
    </w:div>
    <w:div w:id="1589268778">
      <w:bodyDiv w:val="1"/>
      <w:marLeft w:val="0"/>
      <w:marRight w:val="0"/>
      <w:marTop w:val="0"/>
      <w:marBottom w:val="0"/>
      <w:divBdr>
        <w:top w:val="none" w:sz="0" w:space="0" w:color="auto"/>
        <w:left w:val="none" w:sz="0" w:space="0" w:color="auto"/>
        <w:bottom w:val="none" w:sz="0" w:space="0" w:color="auto"/>
        <w:right w:val="none" w:sz="0" w:space="0" w:color="auto"/>
      </w:divBdr>
    </w:div>
    <w:div w:id="1625034874">
      <w:bodyDiv w:val="1"/>
      <w:marLeft w:val="0"/>
      <w:marRight w:val="0"/>
      <w:marTop w:val="0"/>
      <w:marBottom w:val="0"/>
      <w:divBdr>
        <w:top w:val="none" w:sz="0" w:space="0" w:color="auto"/>
        <w:left w:val="none" w:sz="0" w:space="0" w:color="auto"/>
        <w:bottom w:val="none" w:sz="0" w:space="0" w:color="auto"/>
        <w:right w:val="none" w:sz="0" w:space="0" w:color="auto"/>
      </w:divBdr>
    </w:div>
    <w:div w:id="1783258792">
      <w:bodyDiv w:val="1"/>
      <w:marLeft w:val="0"/>
      <w:marRight w:val="0"/>
      <w:marTop w:val="0"/>
      <w:marBottom w:val="0"/>
      <w:divBdr>
        <w:top w:val="none" w:sz="0" w:space="0" w:color="auto"/>
        <w:left w:val="none" w:sz="0" w:space="0" w:color="auto"/>
        <w:bottom w:val="none" w:sz="0" w:space="0" w:color="auto"/>
        <w:right w:val="none" w:sz="0" w:space="0" w:color="auto"/>
      </w:divBdr>
    </w:div>
    <w:div w:id="199479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youngda\LOCALS~1\Temp\Owned%20Provis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325971B605F24D9D6EAAAE7043927B" ma:contentTypeVersion="24" ma:contentTypeDescription="Create a new document." ma:contentTypeScope="" ma:versionID="c634aee30838be07adb70fabbea2eaa7">
  <xsd:schema xmlns:xsd="http://www.w3.org/2001/XMLSchema" xmlns:xs="http://www.w3.org/2001/XMLSchema" xmlns:p="http://schemas.microsoft.com/office/2006/metadata/properties" xmlns:ns2="2fa5acb1-f33d-46d0-8fe0-7e8d7839134c" xmlns:ns3="0774a824-3838-467a-9805-532ac3142b0c" targetNamespace="http://schemas.microsoft.com/office/2006/metadata/properties" ma:root="true" ma:fieldsID="2abd223cab59fc5887448f79e4422690" ns2:_="" ns3:_="">
    <xsd:import namespace="2fa5acb1-f33d-46d0-8fe0-7e8d7839134c"/>
    <xsd:import namespace="0774a824-3838-467a-9805-532ac3142b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SoilGroundwaterStatus" minOccurs="0"/>
                <xsd:element ref="ns2:HazmatResults" minOccurs="0"/>
                <xsd:element ref="ns2:Screener" minOccurs="0"/>
                <xsd:element ref="ns2:ProjectEngineer" minOccurs="0"/>
                <xsd:element ref="ns3:SharedWithUsers" minOccurs="0"/>
                <xsd:element ref="ns3:SharedWithDetails" minOccurs="0"/>
                <xsd:element ref="ns2:MediaServiceLocation" minOccurs="0"/>
                <xsd:element ref="ns2:Source" minOccurs="0"/>
                <xsd:element ref="ns2:Date" minOccurs="0"/>
                <xsd:element ref="ns2:Addres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5acb1-f33d-46d0-8fe0-7e8d783913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SoilGroundwaterStatus" ma:index="15" nillable="true" ma:displayName="Soil &amp; Groundwater Status" ma:format="Dropdown" ma:internalName="SoilGroundwaterStatus">
      <xsd:simpleType>
        <xsd:restriction base="dms:Choice">
          <xsd:enumeration value="No Further Screening"/>
          <xsd:enumeration value="Task 210 Reommended"/>
          <xsd:enumeration value="Check Back with Quantities"/>
          <xsd:enumeration value="Municipal Project - Requires Additional Review"/>
        </xsd:restriction>
      </xsd:simpleType>
    </xsd:element>
    <xsd:element name="HazmatResults" ma:index="16" nillable="true" ma:displayName="Hazmat Results" ma:format="Dropdown" ma:internalName="HazmatResults">
      <xsd:simpleType>
        <xsd:restriction base="dms:Choice">
          <xsd:enumeration value="No Further Screening"/>
          <xsd:enumeration value="710 Required"/>
          <xsd:enumeration value="Traffic - Lead Provision in Owned Special Provision"/>
          <xsd:enumeration value="Municipal Project"/>
        </xsd:restriction>
      </xsd:simpleType>
    </xsd:element>
    <xsd:element name="Screener" ma:index="17" nillable="true" ma:displayName="Screener" ma:format="Dropdown" ma:list="UserInfo" ma:SharePointGroup="0" ma:internalName="Scree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Engineer" ma:index="18" nillable="true" ma:displayName="Project Engineer" ma:description="Project Assigned to" ma:format="Dropdown" ma:list="UserInfo" ma:SharePointGroup="0" ma:internalName="ProjectEngine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1" nillable="true" ma:displayName="Location" ma:internalName="MediaServiceLocation" ma:readOnly="true">
      <xsd:simpleType>
        <xsd:restriction base="dms:Text"/>
      </xsd:simpleType>
    </xsd:element>
    <xsd:element name="Source" ma:index="22" nillable="true" ma:displayName="Source" ma:format="Dropdown" ma:internalName="Source">
      <xsd:simpleType>
        <xsd:restriction base="dms:Choice">
          <xsd:enumeration value="EPC"/>
          <xsd:enumeration value="OEC"/>
          <xsd:enumeration value="D-B"/>
        </xsd:restriction>
      </xsd:simpleType>
    </xsd:element>
    <xsd:element name="Date" ma:index="23" nillable="true" ma:displayName="Date" ma:default="2022-04-13T00:00:00Z" ma:format="DateOnly" ma:internalName="Date">
      <xsd:simpleType>
        <xsd:restriction base="dms:DateTime"/>
      </xsd:simpleType>
    </xsd:element>
    <xsd:element name="Address" ma:index="24" nillable="true" ma:displayName="Address" ma:format="Dropdown" ma:internalName="Address">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9be3ee5-5d72-4a78-bfe6-04ec158992b3" ma:termSetId="09814cd3-568e-fe90-9814-8d621ff8fb84" ma:anchorId="fba54fb3-c3e1-fe81-a776-ca4b69148c4d" ma:open="true" ma:isKeyword="false">
      <xsd:complexType>
        <xsd:sequence>
          <xsd:element ref="pc:Terms" minOccurs="0" maxOccurs="1"/>
        </xsd:sequence>
      </xsd:complex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74a824-3838-467a-9805-532ac3142b0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c67286bd-037e-464a-bc97-a348cb7ed842}" ma:internalName="TaxCatchAll" ma:showField="CatchAllData" ma:web="0774a824-3838-467a-9805-532ac3142b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BCFB05-2008-4950-8368-9AA49AEA115E}">
  <ds:schemaRefs>
    <ds:schemaRef ds:uri="http://schemas.microsoft.com/sharepoint/v3/contenttype/forms"/>
  </ds:schemaRefs>
</ds:datastoreItem>
</file>

<file path=customXml/itemProps2.xml><?xml version="1.0" encoding="utf-8"?>
<ds:datastoreItem xmlns:ds="http://schemas.openxmlformats.org/officeDocument/2006/customXml" ds:itemID="{953FF00D-307D-49B7-B5BE-3D7B1E7FC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a5acb1-f33d-46d0-8fe0-7e8d7839134c"/>
    <ds:schemaRef ds:uri="0774a824-3838-467a-9805-532ac3142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Owned Provision template.dot</Template>
  <TotalTime>1</TotalTime>
  <Pages>1</Pages>
  <Words>1477</Words>
  <Characters>8422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disposal of sediments</vt:lpstr>
    </vt:vector>
  </TitlesOfParts>
  <Manager>Greg Dorosh, 860-594-3404, Unit 1303</Manager>
  <Company>State of Connecticut Dept of Transportation</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disposal of sediments</dc:title>
  <dc:subject/>
  <dc:creator>youngda</dc:creator>
  <cp:keywords/>
  <cp:lastModifiedBy>Bedson, Michael F.</cp:lastModifiedBy>
  <cp:revision>2</cp:revision>
  <cp:lastPrinted>2017-08-23T18:03:00Z</cp:lastPrinted>
  <dcterms:created xsi:type="dcterms:W3CDTF">2023-02-01T13:56:00Z</dcterms:created>
  <dcterms:modified xsi:type="dcterms:W3CDTF">2023-02-01T13:56:00Z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0x010100B0325971B605F24D9D6EAAAE7043927B</vt:lpwstr>
  </property>
  <property fmtid="{D5CDD505-2E9C-101B-9397-08002B2CF9AE}" pid="3" name="TaxCatchAll">
    <vt:lpwstr/>
  </property>
  <property fmtid="{D5CDD505-2E9C-101B-9397-08002B2CF9AE}" pid="4" name="SoilGroundwaterStatus">
    <vt:lpwstr/>
  </property>
  <property fmtid="{D5CDD505-2E9C-101B-9397-08002B2CF9AE}" pid="5" name="ProjectEngineer">
    <vt:lpwstr/>
  </property>
  <property fmtid="{D5CDD505-2E9C-101B-9397-08002B2CF9AE}" pid="6" name="HazmatResults">
    <vt:lpwstr/>
  </property>
  <property fmtid="{D5CDD505-2E9C-101B-9397-08002B2CF9AE}" pid="7" name="Address">
    <vt:lpwstr/>
  </property>
  <property fmtid="{D5CDD505-2E9C-101B-9397-08002B2CF9AE}" pid="8" name="Date">
    <vt:lpwstr>2022-04-12T20:00:00Z</vt:lpwstr>
  </property>
  <property fmtid="{D5CDD505-2E9C-101B-9397-08002B2CF9AE}" pid="9" name="lcf76f155ced4ddcb4097134ff3c332f">
    <vt:lpwstr/>
  </property>
  <property fmtid="{D5CDD505-2E9C-101B-9397-08002B2CF9AE}" pid="10" name="Screener">
    <vt:lpwstr/>
  </property>
  <property fmtid="{D5CDD505-2E9C-101B-9397-08002B2CF9AE}" pid="11" name="Source">
    <vt:lpwstr/>
  </property>
</Properties>
</file>