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51B1" w:rsidRPr="00B35E23" w:rsidRDefault="00F62D50" w:rsidP="009551B1">
      <w:pPr>
        <w:rPr>
          <w:b/>
          <w:sz w:val="22"/>
          <w:szCs w:val="22"/>
          <w:highlight w:val="lightGray"/>
        </w:rPr>
      </w:pPr>
      <w:r>
        <w:rPr>
          <w:b/>
          <w:sz w:val="22"/>
          <w:szCs w:val="22"/>
          <w:highlight w:val="lightGray"/>
        </w:rPr>
        <w:t>Attachment 3</w:t>
      </w:r>
      <w:bookmarkStart w:id="0" w:name="_GoBack"/>
      <w:bookmarkEnd w:id="0"/>
    </w:p>
    <w:p w:rsidR="009551B1" w:rsidRDefault="009551B1" w:rsidP="009551B1">
      <w:pPr>
        <w:pStyle w:val="Title"/>
        <w:rPr>
          <w:sz w:val="22"/>
          <w:szCs w:val="22"/>
        </w:rPr>
      </w:pPr>
    </w:p>
    <w:p w:rsidR="009551B1" w:rsidRPr="00A04DC5" w:rsidRDefault="009551B1" w:rsidP="009551B1">
      <w:pPr>
        <w:pStyle w:val="Title"/>
        <w:rPr>
          <w:sz w:val="22"/>
          <w:szCs w:val="22"/>
        </w:rPr>
      </w:pPr>
      <w:r w:rsidRPr="00A04DC5">
        <w:rPr>
          <w:sz w:val="22"/>
          <w:szCs w:val="22"/>
        </w:rPr>
        <w:t>Acknowledgement of Contract Compliance</w:t>
      </w:r>
    </w:p>
    <w:p w:rsidR="009551B1" w:rsidRPr="00A04DC5" w:rsidRDefault="009551B1" w:rsidP="009551B1">
      <w:pPr>
        <w:pStyle w:val="Title"/>
        <w:rPr>
          <w:sz w:val="22"/>
          <w:szCs w:val="22"/>
        </w:rPr>
      </w:pPr>
      <w:r w:rsidRPr="00A04DC5">
        <w:rPr>
          <w:sz w:val="22"/>
          <w:szCs w:val="22"/>
        </w:rPr>
        <w:t>Notification to Bidders</w:t>
      </w:r>
    </w:p>
    <w:p w:rsidR="009551B1" w:rsidRPr="00A04DC5" w:rsidRDefault="009551B1" w:rsidP="009551B1">
      <w:pPr>
        <w:jc w:val="center"/>
        <w:rPr>
          <w:sz w:val="22"/>
          <w:szCs w:val="22"/>
        </w:rPr>
      </w:pPr>
    </w:p>
    <w:p w:rsidR="009551B1" w:rsidRPr="00A04DC5" w:rsidRDefault="009551B1" w:rsidP="009551B1">
      <w:pPr>
        <w:jc w:val="both"/>
        <w:rPr>
          <w:sz w:val="22"/>
          <w:szCs w:val="22"/>
        </w:rPr>
      </w:pPr>
      <w:r w:rsidRPr="00A04DC5">
        <w:rPr>
          <w:sz w:val="22"/>
          <w:szCs w:val="22"/>
        </w:rPr>
        <w:t>The contract to be awarded is subject to contract compliance requirements mandated by Section 4-114a of the Connecticut General Statutes: and when the guarding agency is the state, Section 46a-71(d) of the Connecticut General Statutes.  There are Contract Compliance Regulations codified at Section 4-11a-1 et seq. of the regulations of Connecticut State Agencies which establish a procedure for the awarding of all contracts covered by Sections 4-114a and 46a-71(d) of the Connecticut General Statutes.</w:t>
      </w:r>
    </w:p>
    <w:p w:rsidR="009551B1" w:rsidRPr="00A04DC5" w:rsidRDefault="009551B1" w:rsidP="009551B1">
      <w:pPr>
        <w:rPr>
          <w:sz w:val="22"/>
          <w:szCs w:val="22"/>
        </w:rPr>
      </w:pPr>
    </w:p>
    <w:p w:rsidR="009551B1" w:rsidRPr="00A04DC5" w:rsidRDefault="009551B1" w:rsidP="009551B1">
      <w:pPr>
        <w:jc w:val="both"/>
        <w:rPr>
          <w:sz w:val="22"/>
          <w:szCs w:val="22"/>
        </w:rPr>
      </w:pPr>
      <w:r w:rsidRPr="00A04DC5">
        <w:rPr>
          <w:sz w:val="22"/>
          <w:szCs w:val="22"/>
        </w:rPr>
        <w:t xml:space="preserve">According to Section 4-114a-3(9) of the Contract Compliance regulations, every agency awarding a contract subject to the contract compliance requirements has an obligation to “aggressively solicit the participation of legitimate minority business enterprises as bidders, </w:t>
      </w:r>
      <w:r>
        <w:rPr>
          <w:sz w:val="22"/>
          <w:szCs w:val="22"/>
        </w:rPr>
        <w:t>Respondent(s), subcontractors</w:t>
      </w:r>
      <w:r w:rsidRPr="00A04DC5">
        <w:rPr>
          <w:sz w:val="22"/>
          <w:szCs w:val="22"/>
        </w:rPr>
        <w:t xml:space="preserve"> and suppliers of materials.”  “Minority business enterprise” is defined in Section 4-114a of the Connecticut General Statutes as a business wherein fifty-one percent or more of the capital stock, or assets, belong to a person or persons: “(1) Who are active in the daily affairs of the enterprise; (2) who have the power to direct the management and policies of the enterprises; and (3) who are members of a minority, as such term is defined in sub-section (a) of Section 32-9n.”  “Minority” groups are defined in Section 32-9n of the Connecticut General Statutes as “(1) Black Americans... (2) Hispanic American... (3) Women</w:t>
      </w:r>
      <w:proofErr w:type="gramStart"/>
      <w:r w:rsidRPr="00A04DC5">
        <w:rPr>
          <w:sz w:val="22"/>
          <w:szCs w:val="22"/>
        </w:rPr>
        <w:t>...(</w:t>
      </w:r>
      <w:proofErr w:type="gramEnd"/>
      <w:r w:rsidRPr="00A04DC5">
        <w:rPr>
          <w:sz w:val="22"/>
          <w:szCs w:val="22"/>
        </w:rPr>
        <w:t>4) Asian Pacific Americans and Pacific Islanders; or (5) American Indians...”  The above definitions apply to the contract compliance requirement virtue of Section 4-114a-1 (10) of the Contract Compliance Regulations.</w:t>
      </w:r>
    </w:p>
    <w:p w:rsidR="009551B1" w:rsidRPr="00A04DC5" w:rsidRDefault="009551B1" w:rsidP="009551B1">
      <w:pPr>
        <w:rPr>
          <w:sz w:val="22"/>
          <w:szCs w:val="22"/>
        </w:rPr>
      </w:pPr>
    </w:p>
    <w:p w:rsidR="009551B1" w:rsidRPr="00A04DC5" w:rsidRDefault="009551B1" w:rsidP="009551B1">
      <w:pPr>
        <w:jc w:val="both"/>
        <w:rPr>
          <w:sz w:val="22"/>
          <w:szCs w:val="22"/>
        </w:rPr>
      </w:pPr>
      <w:r w:rsidRPr="00A04DC5">
        <w:rPr>
          <w:sz w:val="22"/>
          <w:szCs w:val="22"/>
        </w:rPr>
        <w:t>The awarding agency will consider the following factors when reviewing the Proposer’s qualifications under the contract compliance requirements:</w:t>
      </w:r>
    </w:p>
    <w:p w:rsidR="009551B1" w:rsidRPr="00A04DC5" w:rsidRDefault="009551B1" w:rsidP="009551B1">
      <w:pPr>
        <w:rPr>
          <w:sz w:val="22"/>
          <w:szCs w:val="22"/>
        </w:rPr>
      </w:pPr>
    </w:p>
    <w:p w:rsidR="009551B1" w:rsidRPr="00A04DC5" w:rsidRDefault="009551B1" w:rsidP="009551B1">
      <w:pPr>
        <w:ind w:firstLine="720"/>
        <w:jc w:val="both"/>
        <w:rPr>
          <w:sz w:val="22"/>
          <w:szCs w:val="22"/>
        </w:rPr>
      </w:pPr>
      <w:r w:rsidRPr="00A04DC5">
        <w:rPr>
          <w:sz w:val="22"/>
          <w:szCs w:val="22"/>
        </w:rPr>
        <w:t>(a)</w:t>
      </w:r>
      <w:r w:rsidRPr="00A04DC5">
        <w:rPr>
          <w:sz w:val="22"/>
          <w:szCs w:val="22"/>
        </w:rPr>
        <w:tab/>
      </w:r>
      <w:r w:rsidRPr="00A04DC5">
        <w:rPr>
          <w:sz w:val="22"/>
          <w:szCs w:val="22"/>
        </w:rPr>
        <w:tab/>
        <w:t>the proposer’s success in implementing an affirmative action plan;</w:t>
      </w:r>
    </w:p>
    <w:p w:rsidR="009551B1" w:rsidRPr="00A04DC5" w:rsidRDefault="009551B1" w:rsidP="009551B1">
      <w:pPr>
        <w:ind w:left="1440" w:hanging="720"/>
        <w:jc w:val="both"/>
        <w:rPr>
          <w:sz w:val="22"/>
          <w:szCs w:val="22"/>
        </w:rPr>
      </w:pPr>
      <w:r w:rsidRPr="00A04DC5">
        <w:rPr>
          <w:sz w:val="22"/>
          <w:szCs w:val="22"/>
        </w:rPr>
        <w:t>(b)</w:t>
      </w:r>
      <w:r w:rsidRPr="00A04DC5">
        <w:rPr>
          <w:sz w:val="22"/>
          <w:szCs w:val="22"/>
        </w:rPr>
        <w:tab/>
        <w:t>the proposer’s success in developing an apprenticeship program complying with Sections 46a-68-17 of the Connecticut General Statutes, inclusive;</w:t>
      </w:r>
    </w:p>
    <w:p w:rsidR="009551B1" w:rsidRPr="00A04DC5" w:rsidRDefault="009551B1" w:rsidP="009551B1">
      <w:pPr>
        <w:ind w:left="1440" w:hanging="720"/>
        <w:jc w:val="both"/>
        <w:rPr>
          <w:sz w:val="22"/>
          <w:szCs w:val="22"/>
        </w:rPr>
      </w:pPr>
      <w:r w:rsidRPr="00A04DC5">
        <w:rPr>
          <w:sz w:val="22"/>
          <w:szCs w:val="22"/>
        </w:rPr>
        <w:t>(c)</w:t>
      </w:r>
      <w:r w:rsidRPr="00A04DC5">
        <w:rPr>
          <w:sz w:val="22"/>
          <w:szCs w:val="22"/>
        </w:rPr>
        <w:tab/>
        <w:t>the proposer’s promise to develop and implement a successful affirmative action plan;</w:t>
      </w:r>
    </w:p>
    <w:p w:rsidR="009551B1" w:rsidRPr="00A04DC5" w:rsidRDefault="009551B1" w:rsidP="009551B1">
      <w:pPr>
        <w:ind w:left="1440" w:hanging="720"/>
        <w:jc w:val="both"/>
        <w:rPr>
          <w:sz w:val="22"/>
          <w:szCs w:val="22"/>
        </w:rPr>
      </w:pPr>
      <w:r w:rsidRPr="00A04DC5">
        <w:rPr>
          <w:sz w:val="22"/>
          <w:szCs w:val="22"/>
        </w:rPr>
        <w:t>(d)</w:t>
      </w:r>
      <w:r w:rsidRPr="00A04DC5">
        <w:rPr>
          <w:sz w:val="22"/>
          <w:szCs w:val="22"/>
        </w:rPr>
        <w:tab/>
        <w:t>the proposer’s submission of EEO-1 data indicating that the composition of its work force is at or near parity when compared to the racial and sexual composition of the work force in the relevant labor market area; and</w:t>
      </w:r>
    </w:p>
    <w:p w:rsidR="009551B1" w:rsidRPr="00A04DC5" w:rsidRDefault="009551B1" w:rsidP="009551B1">
      <w:pPr>
        <w:ind w:left="1440" w:hanging="720"/>
        <w:jc w:val="both"/>
        <w:rPr>
          <w:sz w:val="22"/>
          <w:szCs w:val="22"/>
        </w:rPr>
      </w:pPr>
      <w:r w:rsidRPr="00A04DC5">
        <w:rPr>
          <w:sz w:val="22"/>
          <w:szCs w:val="22"/>
        </w:rPr>
        <w:t>(e)</w:t>
      </w:r>
      <w:r w:rsidRPr="00A04DC5">
        <w:rPr>
          <w:sz w:val="22"/>
          <w:szCs w:val="22"/>
        </w:rPr>
        <w:tab/>
        <w:t>the proposer’s promise to set aside a portion of the contract for legitimate minority business enterprises.  See Section 4-11a-3(10) of the Contract Compliance Regulations.</w:t>
      </w:r>
    </w:p>
    <w:p w:rsidR="009551B1" w:rsidRPr="00A04DC5" w:rsidRDefault="009551B1" w:rsidP="009551B1">
      <w:pPr>
        <w:rPr>
          <w:sz w:val="22"/>
          <w:szCs w:val="22"/>
        </w:rPr>
      </w:pPr>
    </w:p>
    <w:p w:rsidR="009551B1" w:rsidRPr="00A04DC5" w:rsidRDefault="009551B1" w:rsidP="009551B1">
      <w:pPr>
        <w:rPr>
          <w:sz w:val="22"/>
          <w:szCs w:val="22"/>
        </w:rPr>
      </w:pPr>
    </w:p>
    <w:p w:rsidR="009551B1" w:rsidRPr="00A04DC5" w:rsidRDefault="009551B1" w:rsidP="009551B1">
      <w:pPr>
        <w:tabs>
          <w:tab w:val="left" w:pos="-1142"/>
          <w:tab w:val="left" w:pos="-720"/>
          <w:tab w:val="left" w:pos="0"/>
        </w:tabs>
        <w:ind w:left="2160" w:hanging="2160"/>
        <w:rPr>
          <w:sz w:val="22"/>
          <w:szCs w:val="22"/>
        </w:rPr>
      </w:pPr>
      <w:r w:rsidRPr="00A04DC5">
        <w:rPr>
          <w:sz w:val="22"/>
          <w:szCs w:val="22"/>
        </w:rPr>
        <w:t>* INSTRUCTIONS</w:t>
      </w:r>
      <w:r w:rsidRPr="00A04DC5">
        <w:rPr>
          <w:sz w:val="22"/>
          <w:szCs w:val="22"/>
        </w:rPr>
        <w:tab/>
        <w:t>Proposer must sign acknowledgment below, and return acknowledgment to awarding agency along with signed proposal.</w:t>
      </w:r>
    </w:p>
    <w:p w:rsidR="009551B1" w:rsidRPr="00A04DC5" w:rsidRDefault="009551B1" w:rsidP="009551B1">
      <w:pPr>
        <w:tabs>
          <w:tab w:val="left" w:pos="-1142"/>
          <w:tab w:val="left" w:pos="-720"/>
          <w:tab w:val="left" w:pos="0"/>
          <w:tab w:val="left" w:pos="720"/>
          <w:tab w:val="left" w:pos="1440"/>
          <w:tab w:val="left" w:pos="2160"/>
          <w:tab w:val="left" w:pos="2430"/>
        </w:tabs>
        <w:rPr>
          <w:sz w:val="22"/>
          <w:szCs w:val="22"/>
        </w:rPr>
      </w:pPr>
    </w:p>
    <w:p w:rsidR="009551B1" w:rsidRPr="00A04DC5" w:rsidRDefault="009551B1" w:rsidP="009551B1">
      <w:pPr>
        <w:tabs>
          <w:tab w:val="left" w:pos="-1142"/>
          <w:tab w:val="left" w:pos="-720"/>
          <w:tab w:val="left" w:pos="0"/>
          <w:tab w:val="left" w:pos="720"/>
          <w:tab w:val="left" w:pos="1440"/>
          <w:tab w:val="left" w:pos="2160"/>
          <w:tab w:val="left" w:pos="2430"/>
        </w:tabs>
        <w:rPr>
          <w:sz w:val="22"/>
          <w:szCs w:val="22"/>
        </w:rPr>
      </w:pPr>
    </w:p>
    <w:p w:rsidR="009551B1" w:rsidRPr="00A04DC5" w:rsidRDefault="009551B1" w:rsidP="009551B1">
      <w:pPr>
        <w:tabs>
          <w:tab w:val="left" w:pos="-1142"/>
          <w:tab w:val="left" w:pos="-720"/>
          <w:tab w:val="left" w:pos="0"/>
          <w:tab w:val="left" w:pos="720"/>
          <w:tab w:val="left" w:pos="1440"/>
          <w:tab w:val="left" w:pos="2160"/>
          <w:tab w:val="left" w:pos="2430"/>
        </w:tabs>
        <w:rPr>
          <w:sz w:val="22"/>
          <w:szCs w:val="22"/>
        </w:rPr>
      </w:pPr>
      <w:r w:rsidRPr="00A04DC5">
        <w:rPr>
          <w:sz w:val="22"/>
          <w:szCs w:val="22"/>
        </w:rPr>
        <w:t>The undersigned acknowledges receiving and reading a copy of the “Notification to Bidders” form.</w:t>
      </w:r>
    </w:p>
    <w:p w:rsidR="009551B1" w:rsidRPr="00A04DC5" w:rsidRDefault="009551B1" w:rsidP="009551B1">
      <w:pPr>
        <w:tabs>
          <w:tab w:val="left" w:pos="-1142"/>
          <w:tab w:val="left" w:pos="-720"/>
          <w:tab w:val="left" w:pos="0"/>
          <w:tab w:val="left" w:pos="720"/>
          <w:tab w:val="left" w:pos="1440"/>
          <w:tab w:val="left" w:pos="2160"/>
          <w:tab w:val="left" w:pos="2430"/>
        </w:tabs>
        <w:rPr>
          <w:sz w:val="22"/>
          <w:szCs w:val="22"/>
        </w:rPr>
      </w:pPr>
    </w:p>
    <w:p w:rsidR="009551B1" w:rsidRPr="00A04DC5" w:rsidRDefault="009551B1" w:rsidP="009551B1">
      <w:pPr>
        <w:tabs>
          <w:tab w:val="left" w:pos="-1142"/>
          <w:tab w:val="left" w:pos="-720"/>
          <w:tab w:val="left" w:pos="0"/>
          <w:tab w:val="left" w:pos="720"/>
          <w:tab w:val="left" w:pos="1440"/>
          <w:tab w:val="left" w:pos="2160"/>
          <w:tab w:val="left" w:pos="2430"/>
        </w:tabs>
        <w:rPr>
          <w:sz w:val="22"/>
          <w:szCs w:val="22"/>
        </w:rPr>
      </w:pPr>
    </w:p>
    <w:p w:rsidR="009551B1" w:rsidRPr="00A04DC5" w:rsidRDefault="009551B1" w:rsidP="009551B1">
      <w:pPr>
        <w:tabs>
          <w:tab w:val="left" w:pos="-1142"/>
          <w:tab w:val="left" w:pos="-720"/>
          <w:tab w:val="left" w:pos="0"/>
          <w:tab w:val="left" w:pos="720"/>
          <w:tab w:val="left" w:pos="1440"/>
          <w:tab w:val="left" w:pos="2160"/>
          <w:tab w:val="left" w:pos="2430"/>
        </w:tabs>
        <w:rPr>
          <w:sz w:val="22"/>
          <w:szCs w:val="22"/>
        </w:rPr>
      </w:pPr>
    </w:p>
    <w:p w:rsidR="009551B1" w:rsidRPr="00A04DC5" w:rsidRDefault="009551B1" w:rsidP="009551B1">
      <w:pPr>
        <w:tabs>
          <w:tab w:val="left" w:pos="-1142"/>
          <w:tab w:val="left" w:pos="-720"/>
          <w:tab w:val="left" w:pos="0"/>
          <w:tab w:val="left" w:pos="720"/>
          <w:tab w:val="left" w:pos="1440"/>
          <w:tab w:val="left" w:pos="2160"/>
          <w:tab w:val="left" w:pos="2430"/>
        </w:tabs>
        <w:rPr>
          <w:sz w:val="22"/>
          <w:szCs w:val="22"/>
        </w:rPr>
      </w:pPr>
    </w:p>
    <w:p w:rsidR="009551B1" w:rsidRPr="00A04DC5" w:rsidRDefault="009551B1" w:rsidP="009551B1">
      <w:pPr>
        <w:tabs>
          <w:tab w:val="left" w:pos="-1142"/>
          <w:tab w:val="left" w:pos="-720"/>
          <w:tab w:val="left" w:pos="0"/>
          <w:tab w:val="left" w:pos="720"/>
          <w:tab w:val="left" w:pos="1440"/>
          <w:tab w:val="left" w:pos="2160"/>
          <w:tab w:val="left" w:pos="2430"/>
        </w:tabs>
        <w:spacing w:line="19" w:lineRule="exact"/>
        <w:ind w:firstLine="4320"/>
        <w:rPr>
          <w:sz w:val="22"/>
          <w:szCs w:val="22"/>
        </w:rPr>
      </w:pPr>
      <w:r w:rsidRPr="00A04DC5">
        <w:rPr>
          <w:noProof/>
          <w:sz w:val="22"/>
          <w:szCs w:val="22"/>
        </w:rPr>
        <mc:AlternateContent>
          <mc:Choice Requires="wps">
            <w:drawing>
              <wp:anchor distT="0" distB="0" distL="114300" distR="114300" simplePos="0" relativeHeight="251659264" behindDoc="1" locked="1" layoutInCell="0" allowOverlap="1" wp14:anchorId="110D4A1E" wp14:editId="45E109CF">
                <wp:simplePos x="0" y="0"/>
                <wp:positionH relativeFrom="page">
                  <wp:posOffset>914400</wp:posOffset>
                </wp:positionH>
                <wp:positionV relativeFrom="paragraph">
                  <wp:posOffset>0</wp:posOffset>
                </wp:positionV>
                <wp:extent cx="2971800" cy="12065"/>
                <wp:effectExtent l="0" t="4445" r="0" b="2540"/>
                <wp:wrapNone/>
                <wp:docPr id="23"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CFE4B6" id="Rectangle 30" o:spid="_x0000_s1026" style="position:absolute;margin-left:1in;margin-top:0;width:234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" o:allowincell="f" fillcolor="black" stroked="f" strokeweight="0">
                <w10:wrap anchorx="page"/>
                <w10:anchorlock/>
              </v:rect>
            </w:pict>
          </mc:Fallback>
        </mc:AlternateContent>
      </w:r>
    </w:p>
    <w:p w:rsidR="009551B1" w:rsidRPr="00A04DC5" w:rsidRDefault="009551B1" w:rsidP="009551B1">
      <w:pPr>
        <w:autoSpaceDE w:val="0"/>
        <w:autoSpaceDN w:val="0"/>
        <w:adjustRightInd w:val="0"/>
        <w:spacing w:line="240" w:lineRule="exact"/>
        <w:rPr>
          <w:color w:val="0000FF"/>
          <w:sz w:val="22"/>
          <w:szCs w:val="22"/>
        </w:rPr>
      </w:pPr>
      <w:r w:rsidRPr="00A04DC5">
        <w:rPr>
          <w:noProof/>
          <w:sz w:val="22"/>
          <w:szCs w:val="22"/>
        </w:rPr>
        <mc:AlternateContent>
          <mc:Choice Requires="wps">
            <w:drawing>
              <wp:anchor distT="0" distB="0" distL="114300" distR="114300" simplePos="0" relativeHeight="251660288" behindDoc="0" locked="0" layoutInCell="0" allowOverlap="1" wp14:anchorId="65422AC8" wp14:editId="367019AB">
                <wp:simplePos x="0" y="0"/>
                <wp:positionH relativeFrom="column">
                  <wp:posOffset>3200400</wp:posOffset>
                </wp:positionH>
                <wp:positionV relativeFrom="paragraph">
                  <wp:posOffset>18415</wp:posOffset>
                </wp:positionV>
                <wp:extent cx="0" cy="0"/>
                <wp:effectExtent l="9525" t="6350" r="9525" b="12700"/>
                <wp:wrapNone/>
                <wp:docPr id="2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D4800D" id="Line 3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45pt" to="25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" o:allowincell="f"/>
            </w:pict>
          </mc:Fallback>
        </mc:AlternateContent>
      </w:r>
      <w:r w:rsidRPr="00A04DC5">
        <w:rPr>
          <w:sz w:val="22"/>
          <w:szCs w:val="22"/>
        </w:rPr>
        <w:t>Signature</w:t>
      </w:r>
      <w:r w:rsidRPr="00A04DC5">
        <w:rPr>
          <w:sz w:val="22"/>
          <w:szCs w:val="22"/>
        </w:rPr>
        <w:tab/>
      </w:r>
      <w:r w:rsidRPr="00A04DC5">
        <w:rPr>
          <w:sz w:val="22"/>
          <w:szCs w:val="22"/>
        </w:rPr>
        <w:tab/>
      </w:r>
      <w:r w:rsidRPr="00A04DC5">
        <w:rPr>
          <w:sz w:val="22"/>
          <w:szCs w:val="22"/>
        </w:rPr>
        <w:tab/>
      </w:r>
      <w:r w:rsidRPr="00A04DC5">
        <w:rPr>
          <w:sz w:val="22"/>
          <w:szCs w:val="22"/>
        </w:rPr>
        <w:tab/>
      </w:r>
      <w:r w:rsidRPr="00A04DC5">
        <w:rPr>
          <w:sz w:val="22"/>
          <w:szCs w:val="22"/>
        </w:rPr>
        <w:tab/>
        <w:t xml:space="preserve">         </w:t>
      </w:r>
      <w:r w:rsidRPr="00A04DC5">
        <w:rPr>
          <w:sz w:val="22"/>
          <w:szCs w:val="22"/>
        </w:rPr>
        <w:tab/>
      </w:r>
      <w:r w:rsidRPr="00A04DC5">
        <w:rPr>
          <w:sz w:val="22"/>
          <w:szCs w:val="22"/>
        </w:rPr>
        <w:tab/>
      </w:r>
      <w:r w:rsidRPr="00A04DC5">
        <w:rPr>
          <w:sz w:val="22"/>
          <w:szCs w:val="22"/>
        </w:rPr>
        <w:tab/>
        <w:t xml:space="preserve">   Date</w:t>
      </w:r>
    </w:p>
    <w:p w:rsidR="005E6A0F" w:rsidRDefault="005E6A0F"/>
    <w:sectPr w:rsidR="005E6A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1B1"/>
    <w:rsid w:val="005E6A0F"/>
    <w:rsid w:val="009551B1"/>
    <w:rsid w:val="00F62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6418A"/>
  <w15:chartTrackingRefBased/>
  <w15:docId w15:val="{2234BB49-1E6E-45BF-9396-4DBEAB0A9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51B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551B1"/>
    <w:pPr>
      <w:widowControl w:val="0"/>
      <w:jc w:val="center"/>
    </w:pPr>
    <w:rPr>
      <w:b/>
      <w:snapToGrid w:val="0"/>
      <w:sz w:val="20"/>
      <w:szCs w:val="20"/>
      <w:u w:val="single"/>
    </w:rPr>
  </w:style>
  <w:style w:type="character" w:customStyle="1" w:styleId="TitleChar">
    <w:name w:val="Title Char"/>
    <w:basedOn w:val="DefaultParagraphFont"/>
    <w:link w:val="Title"/>
    <w:rsid w:val="009551B1"/>
    <w:rPr>
      <w:rFonts w:ascii="Times New Roman" w:eastAsia="Times New Roman" w:hAnsi="Times New Roman" w:cs="Times New Roman"/>
      <w:b/>
      <w:snapToGrid w:val="0"/>
      <w:sz w:val="2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427</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CT Dept. of Correction</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Greene, Michael B</dc:creator>
  <cp:keywords/>
  <dc:description/>
  <cp:lastModifiedBy>Greene, Michael B</cp:lastModifiedBy>
  <cp:revision>2</cp:revision>
  <dcterms:created xsi:type="dcterms:W3CDTF">2019-04-01T13:14:00Z</dcterms:created>
  <dcterms:modified xsi:type="dcterms:W3CDTF">2019-04-03T13:20:00Z</dcterms:modified>
</cp:coreProperties>
</file>