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CC" w:rsidRDefault="00B349D0" w:rsidP="00747DCC">
      <w:pPr>
        <w:pStyle w:val="pcellbody"/>
        <w:spacing w:line="240" w:lineRule="auto"/>
        <w:ind w:left="720" w:hanging="360"/>
        <w:jc w:val="center"/>
        <w:rPr>
          <w:rFonts w:ascii="Times New Roman" w:hAnsi="Times New Roman" w:cs="Times New Roman"/>
          <w:b/>
          <w:sz w:val="22"/>
          <w:szCs w:val="22"/>
        </w:rPr>
      </w:pPr>
      <w:r>
        <w:rPr>
          <w:rFonts w:ascii="Times New Roman" w:hAnsi="Times New Roman" w:cs="Times New Roman"/>
          <w:b/>
          <w:sz w:val="22"/>
          <w:szCs w:val="22"/>
        </w:rPr>
        <w:t>Addendum</w:t>
      </w:r>
      <w:r w:rsidR="00747DCC">
        <w:rPr>
          <w:rFonts w:ascii="Times New Roman" w:hAnsi="Times New Roman" w:cs="Times New Roman"/>
          <w:b/>
          <w:sz w:val="22"/>
          <w:szCs w:val="22"/>
        </w:rPr>
        <w:t xml:space="preserve"> 1: Revised Procurement Schedule to Extended Due Dates</w:t>
      </w:r>
    </w:p>
    <w:p w:rsidR="00747DCC" w:rsidRPr="00B2526B" w:rsidRDefault="00747DCC" w:rsidP="00747DCC">
      <w:pPr>
        <w:pStyle w:val="pcellbody"/>
        <w:spacing w:line="240" w:lineRule="auto"/>
        <w:ind w:left="720" w:hanging="360"/>
        <w:jc w:val="center"/>
        <w:rPr>
          <w:rFonts w:ascii="Times New Roman" w:hAnsi="Times New Roman" w:cs="Times New Roman"/>
          <w:sz w:val="22"/>
          <w:szCs w:val="22"/>
        </w:rPr>
      </w:pPr>
    </w:p>
    <w:p w:rsidR="00B2526B" w:rsidRDefault="00B2526B" w:rsidP="00B2526B">
      <w:pPr>
        <w:pStyle w:val="pcellbody"/>
        <w:spacing w:line="240" w:lineRule="auto"/>
        <w:ind w:left="720" w:hanging="360"/>
        <w:rPr>
          <w:rFonts w:ascii="Times New Roman" w:hAnsi="Times New Roman" w:cs="Times New Roman"/>
          <w:sz w:val="22"/>
          <w:szCs w:val="22"/>
        </w:rPr>
      </w:pPr>
      <w:r w:rsidRPr="00B2526B">
        <w:rPr>
          <w:rFonts w:ascii="Times New Roman" w:hAnsi="Times New Roman" w:cs="Times New Roman"/>
          <w:sz w:val="22"/>
          <w:szCs w:val="22"/>
        </w:rPr>
        <w:t xml:space="preserve">The following is a revised schedule to extend the due dates for: </w:t>
      </w:r>
    </w:p>
    <w:p w:rsidR="00B2526B" w:rsidRDefault="00B2526B" w:rsidP="00B2526B">
      <w:pPr>
        <w:pStyle w:val="pcellbody"/>
        <w:numPr>
          <w:ilvl w:val="0"/>
          <w:numId w:val="1"/>
        </w:numPr>
        <w:spacing w:line="240" w:lineRule="auto"/>
        <w:rPr>
          <w:rFonts w:ascii="Times New Roman" w:hAnsi="Times New Roman" w:cs="Times New Roman"/>
          <w:sz w:val="22"/>
          <w:szCs w:val="22"/>
        </w:rPr>
      </w:pPr>
      <w:r>
        <w:rPr>
          <w:rFonts w:ascii="Times New Roman" w:hAnsi="Times New Roman" w:cs="Times New Roman"/>
          <w:sz w:val="22"/>
          <w:szCs w:val="22"/>
        </w:rPr>
        <w:t>Letter of intent;</w:t>
      </w:r>
      <w:r w:rsidRPr="00B2526B">
        <w:rPr>
          <w:rFonts w:ascii="Times New Roman" w:hAnsi="Times New Roman" w:cs="Times New Roman"/>
          <w:sz w:val="22"/>
          <w:szCs w:val="22"/>
        </w:rPr>
        <w:t xml:space="preserve"> </w:t>
      </w:r>
    </w:p>
    <w:p w:rsidR="00B2526B" w:rsidRDefault="00B2526B" w:rsidP="00B2526B">
      <w:pPr>
        <w:pStyle w:val="pcellbody"/>
        <w:numPr>
          <w:ilvl w:val="0"/>
          <w:numId w:val="1"/>
        </w:numPr>
        <w:spacing w:line="240" w:lineRule="auto"/>
        <w:rPr>
          <w:rFonts w:ascii="Times New Roman" w:hAnsi="Times New Roman" w:cs="Times New Roman"/>
          <w:sz w:val="22"/>
          <w:szCs w:val="22"/>
        </w:rPr>
      </w:pPr>
      <w:r>
        <w:rPr>
          <w:rFonts w:ascii="Times New Roman" w:hAnsi="Times New Roman" w:cs="Times New Roman"/>
          <w:sz w:val="22"/>
          <w:szCs w:val="22"/>
        </w:rPr>
        <w:t>RFP Questions;</w:t>
      </w:r>
      <w:r w:rsidRPr="00B2526B">
        <w:rPr>
          <w:rFonts w:ascii="Times New Roman" w:hAnsi="Times New Roman" w:cs="Times New Roman"/>
          <w:sz w:val="22"/>
          <w:szCs w:val="22"/>
        </w:rPr>
        <w:t xml:space="preserve"> </w:t>
      </w:r>
    </w:p>
    <w:p w:rsidR="00B2526B" w:rsidRDefault="00B2526B" w:rsidP="00B2526B">
      <w:pPr>
        <w:pStyle w:val="pcellbody"/>
        <w:numPr>
          <w:ilvl w:val="0"/>
          <w:numId w:val="1"/>
        </w:numPr>
        <w:spacing w:line="240" w:lineRule="auto"/>
        <w:rPr>
          <w:rFonts w:ascii="Times New Roman" w:hAnsi="Times New Roman" w:cs="Times New Roman"/>
          <w:sz w:val="22"/>
          <w:szCs w:val="22"/>
        </w:rPr>
      </w:pPr>
      <w:r w:rsidRPr="00B2526B">
        <w:rPr>
          <w:rFonts w:ascii="Times New Roman" w:hAnsi="Times New Roman" w:cs="Times New Roman"/>
          <w:sz w:val="22"/>
          <w:szCs w:val="22"/>
        </w:rPr>
        <w:t>Release of answers to questions</w:t>
      </w:r>
      <w:r>
        <w:rPr>
          <w:rFonts w:ascii="Times New Roman" w:hAnsi="Times New Roman" w:cs="Times New Roman"/>
          <w:sz w:val="22"/>
          <w:szCs w:val="22"/>
        </w:rPr>
        <w:t>; and</w:t>
      </w:r>
      <w:r w:rsidRPr="00B2526B">
        <w:rPr>
          <w:rFonts w:ascii="Times New Roman" w:hAnsi="Times New Roman" w:cs="Times New Roman"/>
          <w:sz w:val="22"/>
          <w:szCs w:val="22"/>
        </w:rPr>
        <w:t xml:space="preserve">  </w:t>
      </w:r>
    </w:p>
    <w:p w:rsidR="00B2526B" w:rsidRPr="00B2526B" w:rsidRDefault="00B2526B" w:rsidP="00B2526B">
      <w:pPr>
        <w:pStyle w:val="pcellbody"/>
        <w:numPr>
          <w:ilvl w:val="0"/>
          <w:numId w:val="1"/>
        </w:numPr>
        <w:spacing w:line="240" w:lineRule="auto"/>
        <w:rPr>
          <w:rFonts w:ascii="Times New Roman" w:hAnsi="Times New Roman" w:cs="Times New Roman"/>
          <w:sz w:val="22"/>
          <w:szCs w:val="22"/>
        </w:rPr>
      </w:pPr>
      <w:r>
        <w:rPr>
          <w:rFonts w:ascii="Times New Roman" w:hAnsi="Times New Roman" w:cs="Times New Roman"/>
          <w:sz w:val="22"/>
          <w:szCs w:val="22"/>
        </w:rPr>
        <w:t>P</w:t>
      </w:r>
      <w:r w:rsidRPr="00B2526B">
        <w:rPr>
          <w:rFonts w:ascii="Times New Roman" w:hAnsi="Times New Roman" w:cs="Times New Roman"/>
          <w:sz w:val="22"/>
          <w:szCs w:val="22"/>
        </w:rPr>
        <w:t>roposal due date.</w:t>
      </w:r>
    </w:p>
    <w:p w:rsidR="00B2526B" w:rsidRDefault="00B2526B" w:rsidP="00B2526B">
      <w:pPr>
        <w:pStyle w:val="pcellbody"/>
        <w:spacing w:line="240" w:lineRule="auto"/>
        <w:ind w:left="720" w:hanging="360"/>
        <w:rPr>
          <w:rFonts w:ascii="Times New Roman" w:hAnsi="Times New Roman" w:cs="Times New Roman"/>
          <w:b/>
          <w:sz w:val="22"/>
          <w:szCs w:val="22"/>
        </w:rPr>
      </w:pPr>
    </w:p>
    <w:p w:rsidR="00747DCC" w:rsidRPr="00EA6436" w:rsidRDefault="00747DCC" w:rsidP="00747DCC">
      <w:pPr>
        <w:pStyle w:val="pcellbody"/>
        <w:spacing w:line="240" w:lineRule="auto"/>
        <w:ind w:left="720" w:hanging="360"/>
        <w:jc w:val="both"/>
        <w:rPr>
          <w:rFonts w:ascii="Times New Roman" w:hAnsi="Times New Roman" w:cs="Times New Roman"/>
          <w:sz w:val="22"/>
          <w:szCs w:val="22"/>
        </w:rPr>
      </w:pPr>
      <w:r w:rsidRPr="00EA6436">
        <w:rPr>
          <w:rFonts w:ascii="Times New Roman" w:hAnsi="Times New Roman" w:cs="Times New Roman"/>
          <w:b/>
          <w:sz w:val="22"/>
          <w:szCs w:val="22"/>
        </w:rPr>
        <w:t>Procurement Schedule.</w:t>
      </w:r>
      <w:r w:rsidRPr="00EA6436">
        <w:rPr>
          <w:rFonts w:ascii="Times New Roman" w:hAnsi="Times New Roman" w:cs="Times New Roman"/>
          <w:sz w:val="22"/>
          <w:szCs w:val="22"/>
        </w:rPr>
        <w:t xml:space="preserve">  Dates marked (*) are target dates only, and may be subject to change. The Department may amend the schedule, as needed.  Any change will be made by means of an amendment to this RFP and will be posted on the State Contracting Portal and the Department’s Web Site.</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620"/>
        <w:gridCol w:w="1260"/>
        <w:gridCol w:w="2520"/>
      </w:tblGrid>
      <w:tr w:rsidR="00747DCC" w:rsidRPr="008E0540" w:rsidTr="00311632">
        <w:trPr>
          <w:trHeight w:val="300"/>
        </w:trPr>
        <w:tc>
          <w:tcPr>
            <w:tcW w:w="3510" w:type="dxa"/>
            <w:shd w:val="clear" w:color="auto" w:fill="DEEAF6" w:themeFill="accent1" w:themeFillTint="33"/>
            <w:noWrap/>
            <w:tcMar>
              <w:top w:w="0" w:type="dxa"/>
              <w:left w:w="108" w:type="dxa"/>
              <w:bottom w:w="0" w:type="dxa"/>
              <w:right w:w="108" w:type="dxa"/>
            </w:tcMar>
          </w:tcPr>
          <w:p w:rsidR="00747DCC" w:rsidRPr="008E0540" w:rsidRDefault="00747DCC" w:rsidP="00311632">
            <w:pPr>
              <w:rPr>
                <w:b/>
              </w:rPr>
            </w:pPr>
            <w:r w:rsidRPr="008E0540">
              <w:t>Activity</w:t>
            </w:r>
          </w:p>
        </w:tc>
        <w:tc>
          <w:tcPr>
            <w:tcW w:w="1620" w:type="dxa"/>
            <w:shd w:val="clear" w:color="auto" w:fill="DEEAF6" w:themeFill="accent1" w:themeFillTint="33"/>
            <w:noWrap/>
            <w:tcMar>
              <w:top w:w="0" w:type="dxa"/>
              <w:left w:w="108" w:type="dxa"/>
              <w:bottom w:w="0" w:type="dxa"/>
              <w:right w:w="108" w:type="dxa"/>
            </w:tcMar>
          </w:tcPr>
          <w:p w:rsidR="00747DCC" w:rsidRPr="008E0540" w:rsidRDefault="00747DCC" w:rsidP="00311632">
            <w:pPr>
              <w:rPr>
                <w:b/>
              </w:rPr>
            </w:pPr>
            <w:r w:rsidRPr="008E0540">
              <w:t xml:space="preserve">Dates </w:t>
            </w:r>
          </w:p>
        </w:tc>
        <w:tc>
          <w:tcPr>
            <w:tcW w:w="1260" w:type="dxa"/>
            <w:shd w:val="clear" w:color="auto" w:fill="DEEAF6" w:themeFill="accent1" w:themeFillTint="33"/>
            <w:noWrap/>
            <w:tcMar>
              <w:top w:w="0" w:type="dxa"/>
              <w:left w:w="108" w:type="dxa"/>
              <w:bottom w:w="0" w:type="dxa"/>
              <w:right w:w="108" w:type="dxa"/>
            </w:tcMar>
          </w:tcPr>
          <w:p w:rsidR="00747DCC" w:rsidRPr="008E0540" w:rsidRDefault="00747DCC" w:rsidP="00311632">
            <w:pPr>
              <w:rPr>
                <w:b/>
              </w:rPr>
            </w:pPr>
            <w:r w:rsidRPr="008E0540">
              <w:t>Time</w:t>
            </w:r>
          </w:p>
        </w:tc>
        <w:tc>
          <w:tcPr>
            <w:tcW w:w="2520" w:type="dxa"/>
            <w:shd w:val="clear" w:color="auto" w:fill="DEEAF6" w:themeFill="accent1" w:themeFillTint="33"/>
            <w:noWrap/>
            <w:tcMar>
              <w:top w:w="0" w:type="dxa"/>
              <w:left w:w="108" w:type="dxa"/>
              <w:bottom w:w="0" w:type="dxa"/>
              <w:right w:w="108" w:type="dxa"/>
            </w:tcMar>
          </w:tcPr>
          <w:p w:rsidR="00747DCC" w:rsidRPr="008E0540" w:rsidRDefault="00747DCC" w:rsidP="00311632">
            <w:pPr>
              <w:rPr>
                <w:highlight w:val="yellow"/>
              </w:rPr>
            </w:pPr>
          </w:p>
        </w:tc>
      </w:tr>
      <w:tr w:rsidR="00747DCC" w:rsidRPr="00B5625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RFP Released</w:t>
            </w:r>
          </w:p>
        </w:tc>
        <w:tc>
          <w:tcPr>
            <w:tcW w:w="1620" w:type="dxa"/>
            <w:shd w:val="clear" w:color="auto" w:fill="auto"/>
            <w:noWrap/>
            <w:tcMar>
              <w:top w:w="0" w:type="dxa"/>
              <w:left w:w="108" w:type="dxa"/>
              <w:bottom w:w="0" w:type="dxa"/>
              <w:right w:w="108" w:type="dxa"/>
            </w:tcMar>
            <w:hideMark/>
          </w:tcPr>
          <w:p w:rsidR="00747DCC" w:rsidRPr="00822FAF" w:rsidRDefault="00747DCC" w:rsidP="00311632">
            <w:r>
              <w:t>4/3/19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 xml:space="preserve"> </w:t>
            </w:r>
          </w:p>
        </w:tc>
        <w:tc>
          <w:tcPr>
            <w:tcW w:w="2520" w:type="dxa"/>
            <w:shd w:val="clear" w:color="auto" w:fill="auto"/>
            <w:noWrap/>
            <w:tcMar>
              <w:top w:w="0" w:type="dxa"/>
              <w:left w:w="108" w:type="dxa"/>
              <w:bottom w:w="0" w:type="dxa"/>
              <w:right w:w="108" w:type="dxa"/>
            </w:tcMar>
            <w:hideMark/>
          </w:tcPr>
          <w:p w:rsidR="00747DCC" w:rsidRPr="00822FAF" w:rsidRDefault="00747DCC" w:rsidP="00311632">
            <w:r w:rsidRPr="00822FAF">
              <w:t xml:space="preserve"> </w:t>
            </w:r>
          </w:p>
        </w:tc>
      </w:tr>
      <w:tr w:rsidR="00747DCC" w:rsidRPr="00B5625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MANDATORY Letter of Intent Due</w:t>
            </w:r>
          </w:p>
        </w:tc>
        <w:tc>
          <w:tcPr>
            <w:tcW w:w="1620" w:type="dxa"/>
            <w:shd w:val="clear" w:color="auto" w:fill="auto"/>
            <w:noWrap/>
            <w:tcMar>
              <w:top w:w="0" w:type="dxa"/>
              <w:left w:w="108" w:type="dxa"/>
              <w:bottom w:w="0" w:type="dxa"/>
              <w:right w:w="108" w:type="dxa"/>
            </w:tcMar>
            <w:hideMark/>
          </w:tcPr>
          <w:p w:rsidR="00747DCC" w:rsidRPr="00822FAF" w:rsidRDefault="00CE1FC4" w:rsidP="00311632">
            <w:r>
              <w:t>4/23</w:t>
            </w:r>
            <w:bookmarkStart w:id="0" w:name="_GoBack"/>
            <w:bookmarkEnd w:id="0"/>
            <w:r w:rsidR="00747DCC">
              <w:t>/19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3:00 PM</w:t>
            </w:r>
          </w:p>
        </w:tc>
        <w:tc>
          <w:tcPr>
            <w:tcW w:w="2520" w:type="dxa"/>
            <w:shd w:val="clear" w:color="auto" w:fill="auto"/>
            <w:noWrap/>
            <w:tcMar>
              <w:top w:w="0" w:type="dxa"/>
              <w:left w:w="108" w:type="dxa"/>
              <w:bottom w:w="0" w:type="dxa"/>
              <w:right w:w="108" w:type="dxa"/>
            </w:tcMar>
            <w:hideMark/>
          </w:tcPr>
          <w:p w:rsidR="00747DCC" w:rsidRPr="00822FAF" w:rsidRDefault="00747DCC" w:rsidP="00311632">
            <w:r w:rsidRPr="00822FAF">
              <w:t>Eastern Standard Time</w:t>
            </w:r>
          </w:p>
        </w:tc>
      </w:tr>
      <w:tr w:rsidR="00747DCC" w:rsidRPr="00B5625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RFP Questions</w:t>
            </w:r>
          </w:p>
        </w:tc>
        <w:tc>
          <w:tcPr>
            <w:tcW w:w="1620" w:type="dxa"/>
            <w:shd w:val="clear" w:color="auto" w:fill="auto"/>
            <w:noWrap/>
            <w:tcMar>
              <w:top w:w="0" w:type="dxa"/>
              <w:left w:w="108" w:type="dxa"/>
              <w:bottom w:w="0" w:type="dxa"/>
              <w:right w:w="108" w:type="dxa"/>
            </w:tcMar>
            <w:hideMark/>
          </w:tcPr>
          <w:p w:rsidR="00747DCC" w:rsidRPr="00822FAF" w:rsidRDefault="00747DCC" w:rsidP="00311632">
            <w:r>
              <w:t>4/</w:t>
            </w:r>
            <w:r w:rsidR="00B349D0">
              <w:t>26</w:t>
            </w:r>
            <w:r>
              <w:t>/19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3:00 PM</w:t>
            </w:r>
          </w:p>
        </w:tc>
        <w:tc>
          <w:tcPr>
            <w:tcW w:w="2520" w:type="dxa"/>
            <w:shd w:val="clear" w:color="auto" w:fill="auto"/>
            <w:noWrap/>
            <w:tcMar>
              <w:top w:w="0" w:type="dxa"/>
              <w:left w:w="108" w:type="dxa"/>
              <w:bottom w:w="0" w:type="dxa"/>
              <w:right w:w="108" w:type="dxa"/>
            </w:tcMar>
            <w:hideMark/>
          </w:tcPr>
          <w:p w:rsidR="00747DCC" w:rsidRPr="00822FAF" w:rsidRDefault="00747DCC" w:rsidP="00311632">
            <w:r w:rsidRPr="00822FAF">
              <w:t>Eastern Standard Time</w:t>
            </w:r>
          </w:p>
        </w:tc>
      </w:tr>
      <w:tr w:rsidR="00747DCC" w:rsidRPr="00B5625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Answers Released</w:t>
            </w:r>
          </w:p>
        </w:tc>
        <w:tc>
          <w:tcPr>
            <w:tcW w:w="1620" w:type="dxa"/>
            <w:shd w:val="clear" w:color="auto" w:fill="auto"/>
            <w:noWrap/>
            <w:tcMar>
              <w:top w:w="0" w:type="dxa"/>
              <w:left w:w="108" w:type="dxa"/>
              <w:bottom w:w="0" w:type="dxa"/>
              <w:right w:w="108" w:type="dxa"/>
            </w:tcMar>
            <w:hideMark/>
          </w:tcPr>
          <w:p w:rsidR="00747DCC" w:rsidRPr="00822FAF" w:rsidRDefault="00747DCC" w:rsidP="00311632">
            <w:r w:rsidRPr="00822FAF">
              <w:t>*</w:t>
            </w:r>
            <w:r w:rsidR="00B349D0">
              <w:t>5/6</w:t>
            </w:r>
            <w:r>
              <w:t>/19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 xml:space="preserve"> </w:t>
            </w:r>
          </w:p>
        </w:tc>
        <w:tc>
          <w:tcPr>
            <w:tcW w:w="2520" w:type="dxa"/>
            <w:shd w:val="clear" w:color="auto" w:fill="auto"/>
            <w:noWrap/>
            <w:tcMar>
              <w:top w:w="0" w:type="dxa"/>
              <w:left w:w="108" w:type="dxa"/>
              <w:bottom w:w="0" w:type="dxa"/>
              <w:right w:w="108" w:type="dxa"/>
            </w:tcMar>
            <w:hideMark/>
          </w:tcPr>
          <w:p w:rsidR="00747DCC" w:rsidRPr="00822FAF" w:rsidRDefault="00747DCC" w:rsidP="00311632">
            <w:r w:rsidRPr="00822FAF">
              <w:t xml:space="preserve"> </w:t>
            </w:r>
          </w:p>
        </w:tc>
      </w:tr>
      <w:tr w:rsidR="00747DCC" w:rsidRPr="00B5625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Proposals Due</w:t>
            </w:r>
          </w:p>
        </w:tc>
        <w:tc>
          <w:tcPr>
            <w:tcW w:w="1620" w:type="dxa"/>
            <w:shd w:val="clear" w:color="auto" w:fill="auto"/>
            <w:noWrap/>
            <w:tcMar>
              <w:top w:w="0" w:type="dxa"/>
              <w:left w:w="108" w:type="dxa"/>
              <w:bottom w:w="0" w:type="dxa"/>
              <w:right w:w="108" w:type="dxa"/>
            </w:tcMar>
            <w:hideMark/>
          </w:tcPr>
          <w:p w:rsidR="00747DCC" w:rsidRPr="00822FAF" w:rsidRDefault="00B349D0" w:rsidP="00311632">
            <w:r>
              <w:t>6/3</w:t>
            </w:r>
            <w:r w:rsidR="00747DCC">
              <w:t>/19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3:00 PM</w:t>
            </w:r>
          </w:p>
        </w:tc>
        <w:tc>
          <w:tcPr>
            <w:tcW w:w="2520" w:type="dxa"/>
            <w:shd w:val="clear" w:color="auto" w:fill="auto"/>
            <w:noWrap/>
            <w:tcMar>
              <w:top w:w="0" w:type="dxa"/>
              <w:left w:w="108" w:type="dxa"/>
              <w:bottom w:w="0" w:type="dxa"/>
              <w:right w:w="108" w:type="dxa"/>
            </w:tcMar>
            <w:hideMark/>
          </w:tcPr>
          <w:p w:rsidR="00747DCC" w:rsidRPr="00822FAF" w:rsidRDefault="00747DCC" w:rsidP="00311632">
            <w:r w:rsidRPr="00822FAF">
              <w:t>Eastern Standard Time</w:t>
            </w:r>
          </w:p>
        </w:tc>
      </w:tr>
      <w:tr w:rsidR="00747DCC" w:rsidRPr="008E0540" w:rsidTr="00311632">
        <w:trPr>
          <w:trHeight w:val="300"/>
        </w:trPr>
        <w:tc>
          <w:tcPr>
            <w:tcW w:w="3510" w:type="dxa"/>
            <w:shd w:val="clear" w:color="auto" w:fill="auto"/>
            <w:noWrap/>
            <w:tcMar>
              <w:top w:w="0" w:type="dxa"/>
              <w:left w:w="108" w:type="dxa"/>
              <w:bottom w:w="0" w:type="dxa"/>
              <w:right w:w="108" w:type="dxa"/>
            </w:tcMar>
            <w:hideMark/>
          </w:tcPr>
          <w:p w:rsidR="00747DCC" w:rsidRPr="00822FAF" w:rsidRDefault="00747DCC" w:rsidP="00311632">
            <w:r w:rsidRPr="00822FAF">
              <w:t>Contract(s) Execution</w:t>
            </w:r>
          </w:p>
        </w:tc>
        <w:tc>
          <w:tcPr>
            <w:tcW w:w="1620" w:type="dxa"/>
            <w:shd w:val="clear" w:color="auto" w:fill="auto"/>
            <w:noWrap/>
            <w:tcMar>
              <w:top w:w="0" w:type="dxa"/>
              <w:left w:w="108" w:type="dxa"/>
              <w:bottom w:w="0" w:type="dxa"/>
              <w:right w:w="108" w:type="dxa"/>
            </w:tcMar>
            <w:hideMark/>
          </w:tcPr>
          <w:p w:rsidR="00747DCC" w:rsidRPr="00822FAF" w:rsidRDefault="00747DCC" w:rsidP="00311632">
            <w:r w:rsidRPr="00822FAF">
              <w:t>*</w:t>
            </w:r>
            <w:r>
              <w:t>10/1/19</w:t>
            </w:r>
          </w:p>
        </w:tc>
        <w:tc>
          <w:tcPr>
            <w:tcW w:w="1260" w:type="dxa"/>
            <w:shd w:val="clear" w:color="auto" w:fill="auto"/>
            <w:noWrap/>
            <w:tcMar>
              <w:top w:w="0" w:type="dxa"/>
              <w:left w:w="108" w:type="dxa"/>
              <w:bottom w:w="0" w:type="dxa"/>
              <w:right w:w="108" w:type="dxa"/>
            </w:tcMar>
            <w:hideMark/>
          </w:tcPr>
          <w:p w:rsidR="00747DCC" w:rsidRPr="00822FAF" w:rsidRDefault="00747DCC" w:rsidP="00311632">
            <w:r w:rsidRPr="00822FAF">
              <w:t xml:space="preserve"> </w:t>
            </w:r>
          </w:p>
        </w:tc>
        <w:tc>
          <w:tcPr>
            <w:tcW w:w="2520" w:type="dxa"/>
            <w:shd w:val="clear" w:color="auto" w:fill="auto"/>
            <w:noWrap/>
            <w:tcMar>
              <w:top w:w="0" w:type="dxa"/>
              <w:left w:w="108" w:type="dxa"/>
              <w:bottom w:w="0" w:type="dxa"/>
              <w:right w:w="108" w:type="dxa"/>
            </w:tcMar>
            <w:hideMark/>
          </w:tcPr>
          <w:p w:rsidR="00747DCC" w:rsidRPr="00822FAF" w:rsidRDefault="00747DCC" w:rsidP="00311632"/>
        </w:tc>
      </w:tr>
    </w:tbl>
    <w:p w:rsidR="00747DCC" w:rsidRPr="008E0540" w:rsidRDefault="00747DCC" w:rsidP="00747DCC">
      <w:pPr>
        <w:pStyle w:val="pcellbody"/>
        <w:spacing w:line="240" w:lineRule="auto"/>
        <w:ind w:left="720" w:hanging="360"/>
        <w:jc w:val="both"/>
        <w:rPr>
          <w:rFonts w:ascii="Times New Roman" w:hAnsi="Times New Roman" w:cs="Times New Roman"/>
          <w:color w:val="000000" w:themeColor="text1"/>
          <w:sz w:val="22"/>
          <w:szCs w:val="22"/>
        </w:rPr>
      </w:pPr>
      <w:r w:rsidRPr="008E0540">
        <w:rPr>
          <w:rFonts w:ascii="Times New Roman" w:hAnsi="Times New Roman" w:cs="Times New Roman"/>
          <w:color w:val="C00000"/>
          <w:sz w:val="22"/>
          <w:szCs w:val="22"/>
        </w:rPr>
        <w:t xml:space="preserve">       </w:t>
      </w:r>
      <w:r w:rsidRPr="008E0540">
        <w:rPr>
          <w:rFonts w:ascii="Times New Roman" w:hAnsi="Times New Roman" w:cs="Times New Roman"/>
          <w:color w:val="000000" w:themeColor="text1"/>
          <w:sz w:val="22"/>
          <w:szCs w:val="22"/>
        </w:rPr>
        <w:t xml:space="preserve">* </w:t>
      </w:r>
      <w:r w:rsidRPr="004F0C4F">
        <w:rPr>
          <w:rFonts w:ascii="Times New Roman" w:hAnsi="Times New Roman" w:cs="Times New Roman"/>
          <w:i/>
          <w:color w:val="000000" w:themeColor="text1"/>
          <w:sz w:val="22"/>
          <w:szCs w:val="22"/>
        </w:rPr>
        <w:t>Dates subject to change</w:t>
      </w:r>
    </w:p>
    <w:p w:rsidR="00747DCC" w:rsidRPr="00EA6436" w:rsidRDefault="00747DCC" w:rsidP="00747DCC">
      <w:pPr>
        <w:pStyle w:val="pcellbody"/>
        <w:spacing w:line="240" w:lineRule="auto"/>
        <w:ind w:left="720" w:hanging="360"/>
        <w:jc w:val="both"/>
        <w:rPr>
          <w:rFonts w:ascii="Times New Roman" w:hAnsi="Times New Roman" w:cs="Times New Roman"/>
          <w:color w:val="C00000"/>
          <w:sz w:val="22"/>
          <w:szCs w:val="22"/>
        </w:rPr>
      </w:pPr>
    </w:p>
    <w:p w:rsidR="00747DCC" w:rsidRPr="00EA6436" w:rsidRDefault="00747DCC" w:rsidP="00747DCC">
      <w:pPr>
        <w:pStyle w:val="pcellbody"/>
        <w:spacing w:line="240" w:lineRule="auto"/>
        <w:ind w:left="720"/>
        <w:jc w:val="both"/>
        <w:rPr>
          <w:rFonts w:ascii="Times New Roman" w:hAnsi="Times New Roman" w:cs="Times New Roman"/>
          <w:sz w:val="22"/>
          <w:szCs w:val="22"/>
        </w:rPr>
      </w:pPr>
      <w:r w:rsidRPr="003A27D2">
        <w:rPr>
          <w:rFonts w:ascii="Times New Roman" w:hAnsi="Times New Roman" w:cs="Times New Roman"/>
          <w:b/>
          <w:sz w:val="22"/>
          <w:szCs w:val="22"/>
        </w:rPr>
        <w:t>Letter of Intent.</w:t>
      </w:r>
      <w:r w:rsidRPr="00EA6436">
        <w:rPr>
          <w:rFonts w:ascii="Times New Roman" w:hAnsi="Times New Roman" w:cs="Times New Roman"/>
          <w:sz w:val="22"/>
          <w:szCs w:val="22"/>
        </w:rPr>
        <w:t xml:space="preserve">  A mandatory </w:t>
      </w:r>
      <w:r w:rsidRPr="00D05671">
        <w:rPr>
          <w:rFonts w:ascii="Times New Roman" w:hAnsi="Times New Roman" w:cs="Times New Roman"/>
          <w:b/>
          <w:sz w:val="22"/>
          <w:szCs w:val="22"/>
        </w:rPr>
        <w:t xml:space="preserve">Letter of Intent (LOI) </w:t>
      </w:r>
      <w:r w:rsidRPr="00D05671">
        <w:rPr>
          <w:rFonts w:ascii="Times New Roman" w:hAnsi="Times New Roman" w:cs="Times New Roman"/>
          <w:b/>
          <w:color w:val="auto"/>
          <w:sz w:val="22"/>
          <w:szCs w:val="22"/>
        </w:rPr>
        <w:t>is</w:t>
      </w:r>
      <w:r w:rsidRPr="00EA6436">
        <w:rPr>
          <w:rFonts w:ascii="Times New Roman" w:hAnsi="Times New Roman" w:cs="Times New Roman"/>
          <w:b/>
          <w:color w:val="auto"/>
          <w:sz w:val="22"/>
          <w:szCs w:val="22"/>
        </w:rPr>
        <w:t xml:space="preserve"> </w:t>
      </w:r>
      <w:r w:rsidRPr="00EA6436">
        <w:rPr>
          <w:rFonts w:ascii="Times New Roman" w:hAnsi="Times New Roman" w:cs="Times New Roman"/>
          <w:b/>
          <w:sz w:val="22"/>
          <w:szCs w:val="22"/>
        </w:rPr>
        <w:t>required</w:t>
      </w:r>
      <w:r w:rsidRPr="00EA6436">
        <w:rPr>
          <w:rFonts w:ascii="Times New Roman" w:hAnsi="Times New Roman" w:cs="Times New Roman"/>
          <w:sz w:val="22"/>
          <w:szCs w:val="22"/>
        </w:rPr>
        <w:t xml:space="preserve"> from each </w:t>
      </w:r>
      <w:r>
        <w:rPr>
          <w:rFonts w:ascii="Times New Roman" w:hAnsi="Times New Roman" w:cs="Times New Roman"/>
          <w:sz w:val="22"/>
          <w:szCs w:val="22"/>
        </w:rPr>
        <w:t>Respondent(s)</w:t>
      </w:r>
      <w:r w:rsidRPr="00EA6436">
        <w:rPr>
          <w:rFonts w:ascii="Times New Roman" w:hAnsi="Times New Roman" w:cs="Times New Roman"/>
          <w:sz w:val="22"/>
          <w:szCs w:val="22"/>
        </w:rPr>
        <w:t xml:space="preserve"> intending to respond to this RFP. The </w:t>
      </w:r>
      <w:r w:rsidRPr="00D05671">
        <w:rPr>
          <w:rFonts w:ascii="Times New Roman" w:hAnsi="Times New Roman" w:cs="Times New Roman"/>
          <w:b/>
          <w:sz w:val="22"/>
          <w:szCs w:val="22"/>
        </w:rPr>
        <w:t>LOI is non-binding</w:t>
      </w:r>
      <w:r w:rsidRPr="00EA6436">
        <w:rPr>
          <w:rFonts w:ascii="Times New Roman" w:hAnsi="Times New Roman" w:cs="Times New Roman"/>
          <w:sz w:val="22"/>
          <w:szCs w:val="22"/>
        </w:rPr>
        <w:t xml:space="preserve"> </w:t>
      </w:r>
      <w:r w:rsidRPr="00D02780">
        <w:rPr>
          <w:rFonts w:ascii="Times New Roman" w:hAnsi="Times New Roman" w:cs="Times New Roman"/>
          <w:b/>
          <w:sz w:val="22"/>
          <w:szCs w:val="22"/>
        </w:rPr>
        <w:t>and does not obligate the sender to submit a proposal</w:t>
      </w:r>
      <w:r w:rsidRPr="00EA6436">
        <w:rPr>
          <w:rFonts w:ascii="Times New Roman" w:hAnsi="Times New Roman" w:cs="Times New Roman"/>
          <w:sz w:val="22"/>
          <w:szCs w:val="22"/>
        </w:rPr>
        <w:t xml:space="preserve">.  The LOI must be submitted to the Official Contact identified in Section C.1 of this RFP. LOI’s may be submitted by US mail, or e-mail by the deadline established in the Procurement Schedule.  The LOI must clearly identify the sender, including agency name, contact person, postal address, telephone number and e-mail address. </w:t>
      </w:r>
      <w:r>
        <w:rPr>
          <w:rFonts w:ascii="Times New Roman" w:hAnsi="Times New Roman" w:cs="Times New Roman"/>
          <w:sz w:val="22"/>
          <w:szCs w:val="22"/>
        </w:rPr>
        <w:t xml:space="preserve">LOI must be submitted using </w:t>
      </w:r>
      <w:r w:rsidRPr="008272F8">
        <w:rPr>
          <w:rFonts w:ascii="Times New Roman" w:hAnsi="Times New Roman" w:cs="Times New Roman"/>
          <w:b/>
          <w:sz w:val="22"/>
          <w:szCs w:val="22"/>
        </w:rPr>
        <w:t>Form # 7</w:t>
      </w:r>
      <w:r>
        <w:rPr>
          <w:rFonts w:ascii="Times New Roman" w:hAnsi="Times New Roman" w:cs="Times New Roman"/>
          <w:sz w:val="22"/>
          <w:szCs w:val="22"/>
        </w:rPr>
        <w:t xml:space="preserve"> in the appendix of this RFP.</w:t>
      </w:r>
      <w:r w:rsidRPr="00EA6436">
        <w:rPr>
          <w:rFonts w:ascii="Times New Roman" w:hAnsi="Times New Roman" w:cs="Times New Roman"/>
          <w:sz w:val="22"/>
          <w:szCs w:val="22"/>
        </w:rPr>
        <w:t xml:space="preserve"> It is the sender’s responsibility to confirm the Department’s receipt of the LOI. </w:t>
      </w:r>
      <w:r w:rsidRPr="00EA6436">
        <w:rPr>
          <w:rFonts w:ascii="Times New Roman" w:hAnsi="Times New Roman" w:cs="Times New Roman"/>
          <w:b/>
          <w:sz w:val="22"/>
          <w:szCs w:val="22"/>
          <w:u w:val="single"/>
        </w:rPr>
        <w:t>Failure to submit the required LOI in accordance with the requirements set forth herein shall result in disqualification from further consideration.</w:t>
      </w:r>
    </w:p>
    <w:p w:rsidR="006D07E4" w:rsidRDefault="006D07E4"/>
    <w:sectPr w:rsidR="006D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5C42"/>
    <w:multiLevelType w:val="hybridMultilevel"/>
    <w:tmpl w:val="1828F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CC"/>
    <w:rsid w:val="006D07E4"/>
    <w:rsid w:val="00747DCC"/>
    <w:rsid w:val="00B2526B"/>
    <w:rsid w:val="00B349D0"/>
    <w:rsid w:val="00CE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75AC"/>
  <w15:chartTrackingRefBased/>
  <w15:docId w15:val="{CB2A13DB-3A34-4FA7-9F64-4F2CD13F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D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747DCC"/>
    <w:pPr>
      <w:spacing w:line="288" w:lineRule="auto"/>
    </w:pPr>
    <w:rPr>
      <w:rFonts w:ascii="Arial" w:hAnsi="Arial" w:cs="Arial"/>
      <w:color w:val="000000"/>
      <w:sz w:val="15"/>
      <w:szCs w:val="15"/>
    </w:rPr>
  </w:style>
  <w:style w:type="paragraph" w:styleId="BalloonText">
    <w:name w:val="Balloon Text"/>
    <w:basedOn w:val="Normal"/>
    <w:link w:val="BalloonTextChar"/>
    <w:uiPriority w:val="99"/>
    <w:semiHidden/>
    <w:unhideWhenUsed/>
    <w:rsid w:val="00747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D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Michael B</dc:creator>
  <cp:keywords/>
  <dc:description/>
  <cp:lastModifiedBy>Greene, Michael B</cp:lastModifiedBy>
  <cp:revision>3</cp:revision>
  <cp:lastPrinted>2019-04-16T11:59:00Z</cp:lastPrinted>
  <dcterms:created xsi:type="dcterms:W3CDTF">2019-04-16T11:29:00Z</dcterms:created>
  <dcterms:modified xsi:type="dcterms:W3CDTF">2019-04-16T12:11:00Z</dcterms:modified>
</cp:coreProperties>
</file>