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7904" w14:textId="77777777" w:rsidR="009459B0" w:rsidRDefault="009459B0" w:rsidP="009459B0">
      <w:pPr>
        <w:tabs>
          <w:tab w:val="left" w:pos="4140"/>
          <w:tab w:val="left" w:pos="5040"/>
        </w:tabs>
        <w:spacing w:line="240" w:lineRule="atLeast"/>
        <w:rPr>
          <w:sz w:val="22"/>
          <w:szCs w:val="22"/>
        </w:rPr>
      </w:pPr>
      <w:bookmarkStart w:id="0" w:name="_Hlk66254476"/>
    </w:p>
    <w:p w14:paraId="624FEDBC" w14:textId="77777777" w:rsidR="009459B0" w:rsidRPr="00084888" w:rsidRDefault="009459B0" w:rsidP="009459B0">
      <w:pPr>
        <w:tabs>
          <w:tab w:val="left" w:pos="4140"/>
          <w:tab w:val="left" w:pos="5040"/>
        </w:tabs>
        <w:spacing w:line="240" w:lineRule="atLeast"/>
        <w:rPr>
          <w:sz w:val="22"/>
          <w:szCs w:val="22"/>
        </w:rPr>
      </w:pPr>
    </w:p>
    <w:bookmarkEnd w:id="0"/>
    <w:p w14:paraId="157FDA0E" w14:textId="77777777" w:rsidR="009459B0" w:rsidRPr="00121E53" w:rsidRDefault="009459B0" w:rsidP="009459B0">
      <w:pPr>
        <w:tabs>
          <w:tab w:val="left" w:pos="4140"/>
        </w:tabs>
        <w:rPr>
          <w:b/>
          <w:sz w:val="22"/>
        </w:rPr>
      </w:pPr>
      <w:r w:rsidRPr="002970C3">
        <w:rPr>
          <w:b/>
          <w:sz w:val="22"/>
        </w:rPr>
        <w:t xml:space="preserve">* * * </w:t>
      </w:r>
      <w:r w:rsidRPr="00121E53">
        <w:rPr>
          <w:b/>
          <w:sz w:val="22"/>
        </w:rPr>
        <w:t>* * * * * * * * * * * * * * * * * * * * * * *</w:t>
      </w:r>
    </w:p>
    <w:p w14:paraId="64DD1989" w14:textId="77777777" w:rsidR="009459B0" w:rsidRPr="00715394" w:rsidRDefault="009459B0" w:rsidP="009459B0">
      <w:pPr>
        <w:tabs>
          <w:tab w:val="left" w:pos="4140"/>
          <w:tab w:val="left" w:pos="5400"/>
        </w:tabs>
        <w:rPr>
          <w:b/>
          <w:sz w:val="22"/>
        </w:rPr>
      </w:pPr>
      <w:r w:rsidRPr="00121E53">
        <w:rPr>
          <w:b/>
          <w:sz w:val="22"/>
        </w:rPr>
        <w:tab/>
        <w:t>*</w:t>
      </w:r>
      <w:r w:rsidRPr="00121E53">
        <w:rPr>
          <w:b/>
          <w:sz w:val="22"/>
        </w:rPr>
        <w:tab/>
      </w:r>
      <w:r w:rsidRPr="00715394">
        <w:rPr>
          <w:b/>
          <w:sz w:val="22"/>
        </w:rPr>
        <w:t>ORDER REVOKING</w:t>
      </w:r>
    </w:p>
    <w:p w14:paraId="11297D6E" w14:textId="77777777" w:rsidR="009459B0" w:rsidRPr="00715394" w:rsidRDefault="009459B0" w:rsidP="009459B0">
      <w:pPr>
        <w:keepNext/>
        <w:tabs>
          <w:tab w:val="left" w:pos="4140"/>
          <w:tab w:val="left" w:pos="5400"/>
        </w:tabs>
        <w:outlineLvl w:val="0"/>
        <w:rPr>
          <w:b/>
          <w:sz w:val="22"/>
        </w:rPr>
      </w:pPr>
      <w:r w:rsidRPr="00715394">
        <w:rPr>
          <w:b/>
          <w:sz w:val="22"/>
        </w:rPr>
        <w:t>IN THE MATTER OF:</w:t>
      </w:r>
      <w:r w:rsidRPr="00715394">
        <w:rPr>
          <w:b/>
          <w:sz w:val="22"/>
        </w:rPr>
        <w:tab/>
        <w:t>*</w:t>
      </w:r>
      <w:r w:rsidRPr="00715394">
        <w:rPr>
          <w:b/>
          <w:sz w:val="22"/>
        </w:rPr>
        <w:tab/>
        <w:t>REGISTRATION AS A</w:t>
      </w:r>
    </w:p>
    <w:p w14:paraId="7FBDA492" w14:textId="77777777" w:rsidR="009459B0" w:rsidRPr="00715394" w:rsidRDefault="009459B0" w:rsidP="009459B0">
      <w:pPr>
        <w:keepNext/>
        <w:tabs>
          <w:tab w:val="left" w:pos="4140"/>
          <w:tab w:val="left" w:pos="5400"/>
        </w:tabs>
        <w:outlineLvl w:val="0"/>
        <w:rPr>
          <w:b/>
          <w:sz w:val="22"/>
        </w:rPr>
      </w:pPr>
      <w:r w:rsidRPr="00715394">
        <w:rPr>
          <w:b/>
          <w:color w:val="000000"/>
          <w:sz w:val="22"/>
        </w:rPr>
        <w:tab/>
      </w:r>
      <w:r>
        <w:rPr>
          <w:b/>
          <w:color w:val="000000"/>
          <w:sz w:val="22"/>
        </w:rPr>
        <w:t>*</w:t>
      </w:r>
      <w:r>
        <w:rPr>
          <w:b/>
          <w:color w:val="000000"/>
          <w:sz w:val="22"/>
        </w:rPr>
        <w:tab/>
        <w:t>BROKER-DEALER</w:t>
      </w:r>
    </w:p>
    <w:p w14:paraId="295F7D69" w14:textId="64190E2F" w:rsidR="009459B0" w:rsidRPr="00715394" w:rsidRDefault="006F1EA0" w:rsidP="009459B0">
      <w:pPr>
        <w:tabs>
          <w:tab w:val="left" w:pos="4140"/>
          <w:tab w:val="left" w:pos="5400"/>
        </w:tabs>
        <w:rPr>
          <w:b/>
          <w:bCs/>
          <w:sz w:val="22"/>
          <w:szCs w:val="22"/>
        </w:rPr>
      </w:pPr>
      <w:r>
        <w:rPr>
          <w:b/>
          <w:bCs/>
          <w:sz w:val="22"/>
          <w:szCs w:val="22"/>
        </w:rPr>
        <w:t>PHILLIPS &amp; COMPANY</w:t>
      </w:r>
      <w:r w:rsidR="009459B0" w:rsidRPr="00715394">
        <w:rPr>
          <w:b/>
          <w:bCs/>
          <w:sz w:val="22"/>
          <w:szCs w:val="22"/>
        </w:rPr>
        <w:tab/>
        <w:t>*</w:t>
      </w:r>
    </w:p>
    <w:p w14:paraId="00A9364B" w14:textId="2D74A794" w:rsidR="00F3704C" w:rsidRDefault="006F1EA0" w:rsidP="009459B0">
      <w:pPr>
        <w:tabs>
          <w:tab w:val="left" w:pos="4140"/>
          <w:tab w:val="left" w:pos="5400"/>
        </w:tabs>
        <w:rPr>
          <w:b/>
          <w:bCs/>
          <w:sz w:val="22"/>
          <w:szCs w:val="22"/>
        </w:rPr>
      </w:pPr>
      <w:r>
        <w:rPr>
          <w:b/>
          <w:bCs/>
          <w:sz w:val="22"/>
          <w:szCs w:val="22"/>
        </w:rPr>
        <w:t>SECURITIES INC.</w:t>
      </w:r>
      <w:r w:rsidR="009459B0" w:rsidRPr="00715394">
        <w:rPr>
          <w:b/>
          <w:bCs/>
          <w:sz w:val="22"/>
          <w:szCs w:val="22"/>
        </w:rPr>
        <w:tab/>
      </w:r>
      <w:r w:rsidR="00B6019E">
        <w:rPr>
          <w:b/>
          <w:bCs/>
          <w:sz w:val="22"/>
          <w:szCs w:val="22"/>
        </w:rPr>
        <w:t>*</w:t>
      </w:r>
    </w:p>
    <w:p w14:paraId="4F5AEF19" w14:textId="76949B28" w:rsidR="009459B0" w:rsidRPr="00715394" w:rsidRDefault="00F3704C" w:rsidP="009459B0">
      <w:pPr>
        <w:tabs>
          <w:tab w:val="left" w:pos="4140"/>
          <w:tab w:val="left" w:pos="5400"/>
        </w:tabs>
        <w:rPr>
          <w:b/>
          <w:bCs/>
          <w:sz w:val="22"/>
          <w:szCs w:val="22"/>
        </w:rPr>
      </w:pPr>
      <w:r>
        <w:rPr>
          <w:b/>
          <w:bCs/>
          <w:sz w:val="22"/>
          <w:szCs w:val="22"/>
        </w:rPr>
        <w:tab/>
      </w:r>
      <w:r w:rsidR="009459B0" w:rsidRPr="00715394">
        <w:rPr>
          <w:b/>
          <w:bCs/>
          <w:sz w:val="22"/>
          <w:szCs w:val="22"/>
        </w:rPr>
        <w:t>*</w:t>
      </w:r>
    </w:p>
    <w:p w14:paraId="6E9376A2" w14:textId="2CF117E9" w:rsidR="009459B0" w:rsidRPr="00715394" w:rsidRDefault="009459B0" w:rsidP="009459B0">
      <w:pPr>
        <w:tabs>
          <w:tab w:val="left" w:pos="4140"/>
          <w:tab w:val="left" w:pos="5400"/>
        </w:tabs>
        <w:rPr>
          <w:b/>
          <w:sz w:val="22"/>
        </w:rPr>
      </w:pPr>
      <w:r>
        <w:rPr>
          <w:b/>
          <w:sz w:val="22"/>
        </w:rPr>
        <w:t xml:space="preserve">CRD NO. </w:t>
      </w:r>
      <w:r w:rsidR="00F3704C">
        <w:rPr>
          <w:b/>
          <w:sz w:val="22"/>
        </w:rPr>
        <w:t>3</w:t>
      </w:r>
      <w:r w:rsidR="006F1EA0">
        <w:rPr>
          <w:b/>
          <w:sz w:val="22"/>
        </w:rPr>
        <w:t>5800</w:t>
      </w:r>
      <w:r w:rsidRPr="00715394">
        <w:rPr>
          <w:b/>
          <w:sz w:val="22"/>
        </w:rPr>
        <w:tab/>
        <w:t>*</w:t>
      </w:r>
    </w:p>
    <w:p w14:paraId="2A3B1BEA" w14:textId="37F9C12A" w:rsidR="009459B0" w:rsidRPr="00715394" w:rsidRDefault="009459B0" w:rsidP="009459B0">
      <w:pPr>
        <w:tabs>
          <w:tab w:val="left" w:pos="4140"/>
          <w:tab w:val="left" w:pos="5400"/>
        </w:tabs>
        <w:rPr>
          <w:b/>
          <w:color w:val="000000"/>
          <w:sz w:val="22"/>
        </w:rPr>
      </w:pPr>
      <w:r w:rsidRPr="00715394">
        <w:rPr>
          <w:b/>
          <w:sz w:val="22"/>
          <w:szCs w:val="22"/>
        </w:rPr>
        <w:tab/>
      </w:r>
      <w:r w:rsidRPr="00715394">
        <w:rPr>
          <w:b/>
          <w:color w:val="000000"/>
          <w:sz w:val="22"/>
        </w:rPr>
        <w:t>*</w:t>
      </w:r>
      <w:r w:rsidRPr="00715394">
        <w:rPr>
          <w:b/>
          <w:sz w:val="22"/>
        </w:rPr>
        <w:t xml:space="preserve">                     MATTER NO. NRC-</w:t>
      </w:r>
      <w:r w:rsidRPr="00715394">
        <w:rPr>
          <w:b/>
          <w:bCs/>
          <w:sz w:val="22"/>
          <w:szCs w:val="22"/>
        </w:rPr>
        <w:t>24-202</w:t>
      </w:r>
      <w:r w:rsidR="006F1EA0">
        <w:rPr>
          <w:b/>
          <w:bCs/>
          <w:sz w:val="22"/>
          <w:szCs w:val="22"/>
        </w:rPr>
        <w:t>410</w:t>
      </w:r>
      <w:r w:rsidRPr="00715394">
        <w:rPr>
          <w:b/>
          <w:sz w:val="22"/>
        </w:rPr>
        <w:t>-S</w:t>
      </w:r>
    </w:p>
    <w:p w14:paraId="38AAAB9C" w14:textId="77777777" w:rsidR="009459B0" w:rsidRPr="00715394" w:rsidRDefault="009459B0" w:rsidP="009459B0">
      <w:pPr>
        <w:tabs>
          <w:tab w:val="left" w:pos="4140"/>
          <w:tab w:val="left" w:pos="5400"/>
        </w:tabs>
        <w:rPr>
          <w:b/>
          <w:sz w:val="22"/>
        </w:rPr>
      </w:pPr>
      <w:r w:rsidRPr="00715394">
        <w:rPr>
          <w:b/>
          <w:sz w:val="22"/>
        </w:rPr>
        <w:t xml:space="preserve"> (“Respondent”)</w:t>
      </w:r>
      <w:r w:rsidRPr="00715394">
        <w:rPr>
          <w:b/>
          <w:sz w:val="22"/>
        </w:rPr>
        <w:tab/>
        <w:t>*</w:t>
      </w:r>
    </w:p>
    <w:p w14:paraId="06866414" w14:textId="77777777" w:rsidR="009459B0" w:rsidRPr="00715394" w:rsidRDefault="009459B0" w:rsidP="009459B0">
      <w:pPr>
        <w:tabs>
          <w:tab w:val="left" w:pos="4140"/>
          <w:tab w:val="left" w:pos="5400"/>
        </w:tabs>
        <w:rPr>
          <w:b/>
          <w:sz w:val="22"/>
        </w:rPr>
      </w:pPr>
      <w:r w:rsidRPr="00715394">
        <w:rPr>
          <w:b/>
          <w:sz w:val="22"/>
        </w:rPr>
        <w:tab/>
        <w:t>*</w:t>
      </w:r>
    </w:p>
    <w:p w14:paraId="7D16D11A" w14:textId="72C2E990" w:rsidR="009459B0" w:rsidRDefault="009459B0" w:rsidP="009459B0">
      <w:pPr>
        <w:tabs>
          <w:tab w:val="left" w:pos="4140"/>
        </w:tabs>
        <w:rPr>
          <w:b/>
          <w:sz w:val="22"/>
        </w:rPr>
      </w:pPr>
      <w:r w:rsidRPr="00715394">
        <w:rPr>
          <w:b/>
          <w:sz w:val="22"/>
        </w:rPr>
        <w:t>* * * * * * * * * * * * * * * * * * * * * * * * * *</w:t>
      </w:r>
    </w:p>
    <w:p w14:paraId="6862B4DF" w14:textId="77777777" w:rsidR="009459B0" w:rsidRDefault="009459B0" w:rsidP="009459B0">
      <w:pPr>
        <w:rPr>
          <w:sz w:val="22"/>
        </w:rPr>
      </w:pPr>
    </w:p>
    <w:p w14:paraId="3073168D" w14:textId="77777777" w:rsidR="0038627A" w:rsidRPr="00715394" w:rsidRDefault="0038627A" w:rsidP="009459B0">
      <w:pPr>
        <w:rPr>
          <w:sz w:val="22"/>
        </w:rPr>
      </w:pPr>
    </w:p>
    <w:p w14:paraId="2DC1AC39" w14:textId="77777777" w:rsidR="009459B0" w:rsidRPr="00715394" w:rsidRDefault="009459B0" w:rsidP="009459B0">
      <w:pPr>
        <w:jc w:val="center"/>
        <w:rPr>
          <w:b/>
          <w:sz w:val="22"/>
          <w:szCs w:val="22"/>
        </w:rPr>
      </w:pPr>
      <w:r w:rsidRPr="00715394">
        <w:rPr>
          <w:b/>
          <w:sz w:val="22"/>
          <w:szCs w:val="22"/>
        </w:rPr>
        <w:t>I.  PRELIMINARY STATEMENT</w:t>
      </w:r>
    </w:p>
    <w:p w14:paraId="79F8DF0B" w14:textId="77777777" w:rsidR="009459B0" w:rsidRDefault="009459B0" w:rsidP="009459B0">
      <w:pPr>
        <w:rPr>
          <w:sz w:val="22"/>
        </w:rPr>
      </w:pPr>
    </w:p>
    <w:p w14:paraId="689DA206" w14:textId="77777777" w:rsidR="0038627A" w:rsidRPr="00715394" w:rsidRDefault="0038627A" w:rsidP="009459B0">
      <w:pPr>
        <w:rPr>
          <w:sz w:val="22"/>
        </w:rPr>
      </w:pPr>
    </w:p>
    <w:p w14:paraId="5B91AF1E" w14:textId="77777777" w:rsidR="009459B0" w:rsidRPr="00715394" w:rsidRDefault="009459B0" w:rsidP="009459B0">
      <w:pPr>
        <w:tabs>
          <w:tab w:val="left" w:pos="540"/>
        </w:tabs>
        <w:spacing w:line="480" w:lineRule="auto"/>
        <w:rPr>
          <w:sz w:val="22"/>
        </w:rPr>
      </w:pPr>
      <w:r w:rsidRPr="00715394">
        <w:rPr>
          <w:sz w:val="22"/>
        </w:rPr>
        <w:tab/>
      </w:r>
      <w:r w:rsidRPr="00715394">
        <w:rPr>
          <w:b/>
          <w:sz w:val="22"/>
        </w:rPr>
        <w:t>WHEREAS,</w:t>
      </w:r>
      <w:r w:rsidRPr="00715394">
        <w:rPr>
          <w:sz w:val="22"/>
        </w:rPr>
        <w:t xml:space="preserve"> the Banking Commissioner (“Commissioner”) is charged with the administration of Chapter 672a of the Connecticut General Statutes, the Connecticut Uniform Securities Act (“Act”), and </w:t>
      </w:r>
      <w:r w:rsidRPr="00715394">
        <w:rPr>
          <w:sz w:val="22"/>
          <w:szCs w:val="22"/>
        </w:rPr>
        <w:t xml:space="preserve">Sections 36b-31-2 to 36b-31-33, inclusive, of the Regulations of Connecticut State Agencies (“Regulations”) promulgated under the </w:t>
      </w:r>
      <w:proofErr w:type="gramStart"/>
      <w:r w:rsidRPr="00715394">
        <w:rPr>
          <w:sz w:val="22"/>
          <w:szCs w:val="22"/>
        </w:rPr>
        <w:t>Act</w:t>
      </w:r>
      <w:r w:rsidRPr="00715394">
        <w:rPr>
          <w:sz w:val="22"/>
        </w:rPr>
        <w:t>;</w:t>
      </w:r>
      <w:proofErr w:type="gramEnd"/>
    </w:p>
    <w:p w14:paraId="7EF7F121" w14:textId="74A76E60" w:rsidR="009459B0" w:rsidRPr="00715394" w:rsidRDefault="009459B0" w:rsidP="009459B0">
      <w:pPr>
        <w:tabs>
          <w:tab w:val="left" w:pos="540"/>
        </w:tabs>
        <w:spacing w:line="480" w:lineRule="auto"/>
        <w:rPr>
          <w:sz w:val="22"/>
          <w:szCs w:val="22"/>
        </w:rPr>
      </w:pPr>
      <w:r w:rsidRPr="00715394">
        <w:rPr>
          <w:sz w:val="22"/>
        </w:rPr>
        <w:tab/>
      </w:r>
      <w:r w:rsidRPr="00715394">
        <w:rPr>
          <w:b/>
          <w:sz w:val="22"/>
        </w:rPr>
        <w:t>WHEREAS,</w:t>
      </w:r>
      <w:r w:rsidRPr="00715394">
        <w:rPr>
          <w:sz w:val="22"/>
        </w:rPr>
        <w:t xml:space="preserve"> p</w:t>
      </w:r>
      <w:r w:rsidRPr="00715394">
        <w:rPr>
          <w:sz w:val="22"/>
          <w:szCs w:val="22"/>
        </w:rPr>
        <w:t xml:space="preserve">ursuant to Section 36b-26(a) of the Act, the Commissioner, through the Securities and Business Investments Division (“Division”) of the Department of Banking, has </w:t>
      </w:r>
      <w:proofErr w:type="gramStart"/>
      <w:r w:rsidRPr="00715394">
        <w:rPr>
          <w:sz w:val="22"/>
          <w:szCs w:val="22"/>
        </w:rPr>
        <w:t>conducted an investigation into</w:t>
      </w:r>
      <w:proofErr w:type="gramEnd"/>
      <w:r w:rsidRPr="00715394">
        <w:rPr>
          <w:sz w:val="22"/>
          <w:szCs w:val="22"/>
        </w:rPr>
        <w:t xml:space="preserve"> the activities of </w:t>
      </w:r>
      <w:r w:rsidR="00F3704C">
        <w:rPr>
          <w:sz w:val="22"/>
          <w:szCs w:val="22"/>
        </w:rPr>
        <w:t>Respondent</w:t>
      </w:r>
      <w:r w:rsidRPr="00715394">
        <w:rPr>
          <w:sz w:val="22"/>
          <w:szCs w:val="22"/>
        </w:rPr>
        <w:t xml:space="preserve"> to determine if Respondent had</w:t>
      </w:r>
      <w:r w:rsidRPr="00715394">
        <w:rPr>
          <w:b/>
          <w:bCs/>
          <w:sz w:val="22"/>
          <w:szCs w:val="22"/>
        </w:rPr>
        <w:t xml:space="preserve"> </w:t>
      </w:r>
      <w:r w:rsidRPr="00715394">
        <w:rPr>
          <w:sz w:val="22"/>
          <w:szCs w:val="22"/>
        </w:rPr>
        <w:t>violated, is violating or is about to violate provisions of the Act or Regulations (“Investigation”).</w:t>
      </w:r>
    </w:p>
    <w:p w14:paraId="08EA7A06" w14:textId="3D3417C6" w:rsidR="009459B0" w:rsidRPr="00715394" w:rsidRDefault="009459B0" w:rsidP="009459B0">
      <w:pPr>
        <w:tabs>
          <w:tab w:val="left" w:pos="540"/>
          <w:tab w:val="left" w:pos="8370"/>
        </w:tabs>
        <w:spacing w:line="480" w:lineRule="auto"/>
        <w:rPr>
          <w:sz w:val="22"/>
        </w:rPr>
      </w:pPr>
      <w:r w:rsidRPr="00715394">
        <w:rPr>
          <w:sz w:val="22"/>
        </w:rPr>
        <w:tab/>
      </w:r>
      <w:r w:rsidRPr="00715394">
        <w:rPr>
          <w:b/>
          <w:sz w:val="22"/>
        </w:rPr>
        <w:t>WHEREAS,</w:t>
      </w:r>
      <w:r w:rsidRPr="00715394">
        <w:rPr>
          <w:sz w:val="22"/>
          <w:szCs w:val="22"/>
        </w:rPr>
        <w:t xml:space="preserve"> </w:t>
      </w:r>
      <w:r w:rsidRPr="00715394">
        <w:rPr>
          <w:sz w:val="22"/>
        </w:rPr>
        <w:t xml:space="preserve">on </w:t>
      </w:r>
      <w:r w:rsidRPr="00C1221D">
        <w:rPr>
          <w:sz w:val="22"/>
        </w:rPr>
        <w:t>April 2</w:t>
      </w:r>
      <w:r>
        <w:rPr>
          <w:sz w:val="22"/>
        </w:rPr>
        <w:t>4</w:t>
      </w:r>
      <w:r w:rsidRPr="00C1221D">
        <w:rPr>
          <w:sz w:val="22"/>
        </w:rPr>
        <w:t>, 2024, based</w:t>
      </w:r>
      <w:r w:rsidRPr="00715394">
        <w:rPr>
          <w:sz w:val="22"/>
        </w:rPr>
        <w:t xml:space="preserve"> on</w:t>
      </w:r>
      <w:r w:rsidRPr="00715394">
        <w:rPr>
          <w:sz w:val="22"/>
          <w:szCs w:val="22"/>
        </w:rPr>
        <w:t xml:space="preserve"> the Investigation by the Division, the Commissioner, </w:t>
      </w:r>
      <w:r w:rsidRPr="00715394">
        <w:rPr>
          <w:sz w:val="22"/>
        </w:rPr>
        <w:t>acting pursuant to subsections (a) and (f) of Section 36b</w:t>
      </w:r>
      <w:r w:rsidRPr="00715394">
        <w:rPr>
          <w:sz w:val="22"/>
        </w:rPr>
        <w:noBreakHyphen/>
        <w:t>15 of the Act and Section 4</w:t>
      </w:r>
      <w:r w:rsidRPr="00715394">
        <w:rPr>
          <w:sz w:val="22"/>
        </w:rPr>
        <w:noBreakHyphen/>
        <w:t xml:space="preserve">182(c) of the General </w:t>
      </w:r>
      <w:r w:rsidRPr="00715394">
        <w:rPr>
          <w:sz w:val="22"/>
          <w:szCs w:val="22"/>
        </w:rPr>
        <w:t>Statutes of Connecticut, issued a Notice of Intent to Revoke Registration as a</w:t>
      </w:r>
      <w:r>
        <w:rPr>
          <w:sz w:val="22"/>
          <w:szCs w:val="22"/>
        </w:rPr>
        <w:t xml:space="preserve"> Broker-Deale</w:t>
      </w:r>
      <w:r w:rsidRPr="00715394">
        <w:rPr>
          <w:sz w:val="22"/>
          <w:szCs w:val="22"/>
        </w:rPr>
        <w:t xml:space="preserve">r and </w:t>
      </w:r>
      <w:r w:rsidRPr="00715394">
        <w:rPr>
          <w:sz w:val="22"/>
        </w:rPr>
        <w:t xml:space="preserve">Notice of Right to Hearing against </w:t>
      </w:r>
      <w:r w:rsidR="008E7EBB">
        <w:rPr>
          <w:sz w:val="22"/>
        </w:rPr>
        <w:t>Phillips &amp; Company Securities Inc.</w:t>
      </w:r>
      <w:r w:rsidRPr="00715394">
        <w:rPr>
          <w:sz w:val="22"/>
        </w:rPr>
        <w:t xml:space="preserve"> (collectively, “Notice”), which Notice is incorporated by reference herein and made a part hereof; </w:t>
      </w:r>
    </w:p>
    <w:p w14:paraId="2657F58C" w14:textId="77777777" w:rsidR="009459B0" w:rsidRPr="00715394" w:rsidRDefault="009459B0" w:rsidP="009459B0">
      <w:pPr>
        <w:tabs>
          <w:tab w:val="left" w:pos="540"/>
        </w:tabs>
        <w:spacing w:line="480" w:lineRule="auto"/>
        <w:rPr>
          <w:sz w:val="22"/>
        </w:rPr>
      </w:pPr>
      <w:r w:rsidRPr="00715394">
        <w:rPr>
          <w:b/>
          <w:sz w:val="22"/>
        </w:rPr>
        <w:lastRenderedPageBreak/>
        <w:tab/>
        <w:t>WHEREAS,</w:t>
      </w:r>
      <w:r w:rsidRPr="00715394">
        <w:rPr>
          <w:sz w:val="22"/>
        </w:rPr>
        <w:t xml:space="preserve"> the Notice stated that (i) the Commissioner had </w:t>
      </w:r>
      <w:r w:rsidRPr="00715394">
        <w:rPr>
          <w:sz w:val="22"/>
          <w:szCs w:val="22"/>
        </w:rPr>
        <w:t>reason to believe that grounds existed for revoking Respondent’s registration as a</w:t>
      </w:r>
      <w:r>
        <w:rPr>
          <w:sz w:val="22"/>
          <w:szCs w:val="22"/>
        </w:rPr>
        <w:t xml:space="preserve"> broker-deale</w:t>
      </w:r>
      <w:r w:rsidRPr="00715394">
        <w:rPr>
          <w:sz w:val="22"/>
          <w:szCs w:val="22"/>
        </w:rPr>
        <w:t>r in Connecticut pursuant to subsection</w:t>
      </w:r>
      <w:r w:rsidRPr="00715394">
        <w:rPr>
          <w:b/>
          <w:bCs/>
          <w:sz w:val="22"/>
          <w:szCs w:val="22"/>
        </w:rPr>
        <w:t xml:space="preserve"> </w:t>
      </w:r>
      <w:r w:rsidRPr="00715394">
        <w:rPr>
          <w:sz w:val="22"/>
          <w:szCs w:val="22"/>
        </w:rPr>
        <w:t>(a)</w:t>
      </w:r>
      <w:r w:rsidRPr="00715394">
        <w:rPr>
          <w:color w:val="FF0000"/>
          <w:sz w:val="22"/>
          <w:szCs w:val="22"/>
        </w:rPr>
        <w:t xml:space="preserve"> </w:t>
      </w:r>
      <w:r w:rsidRPr="00715394">
        <w:rPr>
          <w:sz w:val="22"/>
          <w:szCs w:val="22"/>
        </w:rPr>
        <w:t>of Section 36b</w:t>
      </w:r>
      <w:r w:rsidRPr="00715394">
        <w:rPr>
          <w:sz w:val="22"/>
          <w:szCs w:val="22"/>
        </w:rPr>
        <w:noBreakHyphen/>
        <w:t>15 of the Act, (ii) Respondent’s registration as a</w:t>
      </w:r>
      <w:r>
        <w:rPr>
          <w:sz w:val="22"/>
          <w:szCs w:val="22"/>
        </w:rPr>
        <w:t xml:space="preserve"> broker-dealer </w:t>
      </w:r>
      <w:r w:rsidRPr="00715394">
        <w:rPr>
          <w:sz w:val="22"/>
          <w:szCs w:val="22"/>
        </w:rPr>
        <w:t>in Connecticut would be revoked, subject to Respondent’s right to request a hearing on the allegations set forth in the Notice, and (iii) if Respondent did not request a hearing within fourteen (14) days following Respondent’s receipt of the Notice or if Respondent failed to appear at any such hearing, the allegations in the Notice against Respondent would be deemed admitted and the Commissioner would issue an order revoking</w:t>
      </w:r>
      <w:r w:rsidRPr="00715394">
        <w:rPr>
          <w:color w:val="FF0000"/>
          <w:sz w:val="22"/>
          <w:szCs w:val="22"/>
        </w:rPr>
        <w:t xml:space="preserve"> </w:t>
      </w:r>
      <w:r w:rsidRPr="00715394">
        <w:rPr>
          <w:sz w:val="22"/>
          <w:szCs w:val="22"/>
        </w:rPr>
        <w:t>Respondent’s registration as a</w:t>
      </w:r>
      <w:r>
        <w:rPr>
          <w:sz w:val="22"/>
          <w:szCs w:val="22"/>
        </w:rPr>
        <w:t xml:space="preserve"> broker-deale</w:t>
      </w:r>
      <w:r w:rsidRPr="00715394">
        <w:rPr>
          <w:sz w:val="22"/>
          <w:szCs w:val="22"/>
        </w:rPr>
        <w:t xml:space="preserve">r in Connecticut; </w:t>
      </w:r>
    </w:p>
    <w:p w14:paraId="1773CCA3" w14:textId="7961477B" w:rsidR="009459B0" w:rsidRPr="00715394" w:rsidRDefault="009459B0" w:rsidP="009459B0">
      <w:pPr>
        <w:pStyle w:val="BodyText"/>
        <w:tabs>
          <w:tab w:val="left" w:pos="540"/>
          <w:tab w:val="left" w:pos="6840"/>
        </w:tabs>
        <w:rPr>
          <w:szCs w:val="22"/>
        </w:rPr>
      </w:pPr>
      <w:r w:rsidRPr="00715394">
        <w:tab/>
      </w:r>
      <w:r w:rsidRPr="00715394">
        <w:rPr>
          <w:b/>
        </w:rPr>
        <w:tab/>
      </w:r>
      <w:r w:rsidRPr="00715394">
        <w:rPr>
          <w:b/>
          <w:szCs w:val="22"/>
        </w:rPr>
        <w:t>WHEREAS,</w:t>
      </w:r>
      <w:r w:rsidRPr="00715394">
        <w:rPr>
          <w:szCs w:val="22"/>
        </w:rPr>
        <w:t xml:space="preserve"> </w:t>
      </w:r>
      <w:r w:rsidRPr="00C1221D">
        <w:rPr>
          <w:szCs w:val="22"/>
        </w:rPr>
        <w:t>on April 26, 2024, the</w:t>
      </w:r>
      <w:r w:rsidRPr="00715394">
        <w:rPr>
          <w:szCs w:val="22"/>
        </w:rPr>
        <w:t xml:space="preserve"> </w:t>
      </w:r>
      <w:r w:rsidRPr="00715394">
        <w:rPr>
          <w:rFonts w:eastAsiaTheme="minorHAnsi" w:cstheme="minorBidi"/>
          <w:szCs w:val="22"/>
        </w:rPr>
        <w:t xml:space="preserve">Notice was sent by certified mail, return receipt requested, </w:t>
      </w:r>
      <w:r w:rsidRPr="00715394">
        <w:rPr>
          <w:szCs w:val="22"/>
        </w:rPr>
        <w:t>to</w:t>
      </w:r>
      <w:r>
        <w:rPr>
          <w:szCs w:val="22"/>
          <w:highlight w:val="yellow"/>
        </w:rPr>
        <w:t xml:space="preserve"> </w:t>
      </w:r>
      <w:r w:rsidR="008E7EBB">
        <w:rPr>
          <w:szCs w:val="22"/>
        </w:rPr>
        <w:t>Phillips &amp; Company Securities Inc. at 521 SW 11</w:t>
      </w:r>
      <w:r w:rsidR="008E7EBB" w:rsidRPr="008E7EBB">
        <w:rPr>
          <w:szCs w:val="22"/>
          <w:vertAlign w:val="superscript"/>
        </w:rPr>
        <w:t>th</w:t>
      </w:r>
      <w:r w:rsidR="008E7EBB">
        <w:rPr>
          <w:szCs w:val="22"/>
        </w:rPr>
        <w:t xml:space="preserve">, Portland, Oregon </w:t>
      </w:r>
      <w:proofErr w:type="gramStart"/>
      <w:r w:rsidR="008E7EBB">
        <w:rPr>
          <w:szCs w:val="22"/>
        </w:rPr>
        <w:t>97205</w:t>
      </w:r>
      <w:r>
        <w:rPr>
          <w:szCs w:val="22"/>
        </w:rPr>
        <w:t>;</w:t>
      </w:r>
      <w:proofErr w:type="gramEnd"/>
    </w:p>
    <w:p w14:paraId="507E3559" w14:textId="2026D6E9" w:rsidR="009459B0" w:rsidRPr="000312BE" w:rsidRDefault="009459B0" w:rsidP="009459B0">
      <w:pPr>
        <w:pStyle w:val="BodyText"/>
        <w:tabs>
          <w:tab w:val="left" w:pos="540"/>
          <w:tab w:val="left" w:pos="6840"/>
        </w:tabs>
        <w:rPr>
          <w:b/>
          <w:bCs/>
          <w:szCs w:val="22"/>
        </w:rPr>
      </w:pPr>
      <w:r w:rsidRPr="00715394">
        <w:rPr>
          <w:szCs w:val="22"/>
        </w:rPr>
        <w:tab/>
      </w:r>
      <w:r w:rsidRPr="00A27D3A">
        <w:rPr>
          <w:b/>
          <w:bCs/>
          <w:szCs w:val="22"/>
        </w:rPr>
        <w:t xml:space="preserve">WHEREAS, </w:t>
      </w:r>
      <w:r w:rsidR="00672F9D" w:rsidRPr="00A27D3A">
        <w:rPr>
          <w:szCs w:val="22"/>
        </w:rPr>
        <w:t>United States Postal Service records show that, o</w:t>
      </w:r>
      <w:r w:rsidRPr="00A27D3A">
        <w:rPr>
          <w:szCs w:val="22"/>
        </w:rPr>
        <w:t xml:space="preserve">n </w:t>
      </w:r>
      <w:r w:rsidR="008E7EBB">
        <w:rPr>
          <w:szCs w:val="22"/>
        </w:rPr>
        <w:t>May 3</w:t>
      </w:r>
      <w:r w:rsidR="00672F9D" w:rsidRPr="00A27D3A">
        <w:rPr>
          <w:szCs w:val="22"/>
        </w:rPr>
        <w:t xml:space="preserve">, 2024, </w:t>
      </w:r>
      <w:r w:rsidR="002F4E65" w:rsidRPr="00A27D3A">
        <w:rPr>
          <w:szCs w:val="22"/>
        </w:rPr>
        <w:t>Respondent</w:t>
      </w:r>
      <w:r w:rsidRPr="00A27D3A">
        <w:rPr>
          <w:szCs w:val="22"/>
        </w:rPr>
        <w:t xml:space="preserve"> received the Notice mailed to </w:t>
      </w:r>
      <w:r w:rsidR="008E7EBB">
        <w:rPr>
          <w:szCs w:val="22"/>
        </w:rPr>
        <w:t>Phillips &amp; Company Securities Inc. at 521 SW 11</w:t>
      </w:r>
      <w:r w:rsidR="008E7EBB" w:rsidRPr="008E7EBB">
        <w:rPr>
          <w:szCs w:val="22"/>
          <w:vertAlign w:val="superscript"/>
        </w:rPr>
        <w:t>th</w:t>
      </w:r>
      <w:r w:rsidR="008E7EBB">
        <w:rPr>
          <w:szCs w:val="22"/>
        </w:rPr>
        <w:t>, Portland, Oregon 97205</w:t>
      </w:r>
      <w:r w:rsidR="008E7EBB" w:rsidRPr="00A27D3A">
        <w:rPr>
          <w:szCs w:val="22"/>
        </w:rPr>
        <w:t xml:space="preserve"> </w:t>
      </w:r>
      <w:r w:rsidR="00672F9D" w:rsidRPr="00A27D3A">
        <w:rPr>
          <w:szCs w:val="22"/>
        </w:rPr>
        <w:t xml:space="preserve">(Tracking No. </w:t>
      </w:r>
      <w:r w:rsidR="008E7EBB">
        <w:rPr>
          <w:szCs w:val="22"/>
        </w:rPr>
        <w:t>9589071052700567269312</w:t>
      </w:r>
      <w:proofErr w:type="gramStart"/>
      <w:r w:rsidR="00672F9D" w:rsidRPr="00A27D3A">
        <w:rPr>
          <w:szCs w:val="22"/>
        </w:rPr>
        <w:t>)</w:t>
      </w:r>
      <w:r w:rsidR="002F4E65" w:rsidRPr="00A27D3A">
        <w:rPr>
          <w:szCs w:val="22"/>
        </w:rPr>
        <w:t>;</w:t>
      </w:r>
      <w:proofErr w:type="gramEnd"/>
    </w:p>
    <w:p w14:paraId="14D170A6" w14:textId="7C1369C8" w:rsidR="009459B0" w:rsidRDefault="009459B0" w:rsidP="009459B0">
      <w:pPr>
        <w:tabs>
          <w:tab w:val="left" w:pos="540"/>
        </w:tabs>
        <w:spacing w:line="480" w:lineRule="auto"/>
        <w:rPr>
          <w:color w:val="000000"/>
          <w:sz w:val="22"/>
        </w:rPr>
      </w:pPr>
      <w:r w:rsidRPr="00715394">
        <w:rPr>
          <w:b/>
          <w:sz w:val="22"/>
        </w:rPr>
        <w:tab/>
        <w:t>WHEREAS,</w:t>
      </w:r>
      <w:r w:rsidRPr="00715394">
        <w:rPr>
          <w:sz w:val="22"/>
        </w:rPr>
        <w:t xml:space="preserve"> </w:t>
      </w:r>
      <w:r w:rsidRPr="00715394">
        <w:rPr>
          <w:color w:val="000000"/>
          <w:sz w:val="22"/>
        </w:rPr>
        <w:t xml:space="preserve">Respondent has failed to request a hearing on the allegations set forth in the Notice within </w:t>
      </w:r>
      <w:r w:rsidR="00167CA8">
        <w:rPr>
          <w:color w:val="000000"/>
          <w:sz w:val="22"/>
        </w:rPr>
        <w:t>fourteen (</w:t>
      </w:r>
      <w:r w:rsidRPr="00715394">
        <w:rPr>
          <w:color w:val="000000"/>
          <w:sz w:val="22"/>
        </w:rPr>
        <w:t>14</w:t>
      </w:r>
      <w:r w:rsidR="00167CA8">
        <w:rPr>
          <w:color w:val="000000"/>
          <w:sz w:val="22"/>
        </w:rPr>
        <w:t>)</w:t>
      </w:r>
      <w:r w:rsidRPr="00715394">
        <w:rPr>
          <w:color w:val="000000"/>
          <w:sz w:val="22"/>
        </w:rPr>
        <w:t xml:space="preserve"> days of its receipt or at any other </w:t>
      </w:r>
      <w:proofErr w:type="gramStart"/>
      <w:r w:rsidRPr="00715394">
        <w:rPr>
          <w:color w:val="000000"/>
          <w:sz w:val="22"/>
        </w:rPr>
        <w:t>time;</w:t>
      </w:r>
      <w:proofErr w:type="gramEnd"/>
    </w:p>
    <w:p w14:paraId="46EC9E5F" w14:textId="33855B3D" w:rsidR="00D50ACD" w:rsidRPr="008E7EBB" w:rsidRDefault="00D50ACD" w:rsidP="00D50ACD">
      <w:pPr>
        <w:tabs>
          <w:tab w:val="left" w:pos="540"/>
        </w:tabs>
        <w:spacing w:line="480" w:lineRule="auto"/>
        <w:rPr>
          <w:b/>
          <w:bCs/>
          <w:color w:val="000000"/>
          <w:sz w:val="22"/>
        </w:rPr>
      </w:pPr>
      <w:r>
        <w:rPr>
          <w:color w:val="000000"/>
          <w:sz w:val="22"/>
        </w:rPr>
        <w:tab/>
      </w:r>
      <w:r w:rsidR="002B296D" w:rsidRPr="002B296D">
        <w:rPr>
          <w:b/>
          <w:bCs/>
          <w:color w:val="000000"/>
          <w:sz w:val="22"/>
        </w:rPr>
        <w:tab/>
        <w:t xml:space="preserve">WHEREAS, </w:t>
      </w:r>
      <w:r w:rsidR="002B296D" w:rsidRPr="002B296D">
        <w:rPr>
          <w:color w:val="000000"/>
          <w:sz w:val="22"/>
        </w:rPr>
        <w:t xml:space="preserve">on May </w:t>
      </w:r>
      <w:r w:rsidR="008E7EBB">
        <w:rPr>
          <w:color w:val="000000"/>
          <w:sz w:val="22"/>
        </w:rPr>
        <w:t>3</w:t>
      </w:r>
      <w:r w:rsidR="002B296D" w:rsidRPr="002B296D">
        <w:rPr>
          <w:color w:val="000000"/>
          <w:sz w:val="22"/>
        </w:rPr>
        <w:t xml:space="preserve">, 2024, Respondent filed </w:t>
      </w:r>
      <w:r w:rsidR="008E7EBB">
        <w:rPr>
          <w:color w:val="000000"/>
          <w:sz w:val="22"/>
        </w:rPr>
        <w:t xml:space="preserve">a Uniform Request for Broker-Dealer Withdrawal (Form BDW) seeking to withdraw its broker-dealer registration in </w:t>
      </w:r>
      <w:proofErr w:type="gramStart"/>
      <w:r w:rsidR="008E7EBB">
        <w:rPr>
          <w:color w:val="000000"/>
          <w:sz w:val="22"/>
        </w:rPr>
        <w:t>Connecticut</w:t>
      </w:r>
      <w:r w:rsidR="002B296D" w:rsidRPr="002B296D">
        <w:rPr>
          <w:color w:val="000000"/>
          <w:sz w:val="22"/>
        </w:rPr>
        <w:t>;</w:t>
      </w:r>
      <w:proofErr w:type="gramEnd"/>
    </w:p>
    <w:p w14:paraId="39AF30DF" w14:textId="6BA1ACBD" w:rsidR="00D50ACD" w:rsidRDefault="00ED5093" w:rsidP="00ED5093">
      <w:pPr>
        <w:tabs>
          <w:tab w:val="left" w:pos="540"/>
        </w:tabs>
        <w:spacing w:line="480" w:lineRule="auto"/>
        <w:rPr>
          <w:color w:val="000000"/>
          <w:sz w:val="22"/>
        </w:rPr>
      </w:pPr>
      <w:r w:rsidRPr="00A27D3A">
        <w:rPr>
          <w:color w:val="000000"/>
          <w:sz w:val="22"/>
        </w:rPr>
        <w:tab/>
      </w:r>
      <w:r w:rsidRPr="00A27D3A">
        <w:rPr>
          <w:b/>
          <w:bCs/>
          <w:color w:val="000000"/>
          <w:sz w:val="22"/>
        </w:rPr>
        <w:t>WHEREAS</w:t>
      </w:r>
      <w:r w:rsidRPr="00A27D3A">
        <w:rPr>
          <w:color w:val="000000"/>
          <w:sz w:val="22"/>
        </w:rPr>
        <w:t>, Section 36b-15(e) of the Act provides, in part, that: 1) Withdrawal from registration as a broker-dealer . . .  becomes effective ninety days after receipt of an application to withdraw such registration . . . or within such shorter period of time as the commissioner may determine, unless a . . . revocation . . . proceeding is pending when the application . . . filed . . . If a proceeding is pending . . .  withdrawal becomes effective at such time and upon such conditions as the commissioner by order determines”</w:t>
      </w:r>
    </w:p>
    <w:p w14:paraId="3C8EF3E8" w14:textId="5B322FE1" w:rsidR="00ED5093" w:rsidRDefault="00ED5093" w:rsidP="00ED5093">
      <w:pPr>
        <w:tabs>
          <w:tab w:val="left" w:pos="540"/>
        </w:tabs>
        <w:spacing w:line="480" w:lineRule="auto"/>
        <w:rPr>
          <w:color w:val="000000"/>
          <w:sz w:val="22"/>
        </w:rPr>
      </w:pPr>
      <w:r>
        <w:rPr>
          <w:color w:val="000000"/>
          <w:sz w:val="22"/>
        </w:rPr>
        <w:tab/>
      </w:r>
      <w:r w:rsidRPr="00A27D3A">
        <w:rPr>
          <w:b/>
          <w:bCs/>
          <w:color w:val="000000"/>
          <w:sz w:val="22"/>
        </w:rPr>
        <w:t>WHEREAS</w:t>
      </w:r>
      <w:r w:rsidRPr="00A27D3A">
        <w:rPr>
          <w:color w:val="000000"/>
          <w:sz w:val="22"/>
        </w:rPr>
        <w:t xml:space="preserve">, a revocation proceeding against Respondent was pending at the time it sought to withdraw its Connecticut registration, and the Commissioner has not conditioned the </w:t>
      </w:r>
      <w:proofErr w:type="gramStart"/>
      <w:r w:rsidRPr="00A27D3A">
        <w:rPr>
          <w:color w:val="000000"/>
          <w:sz w:val="22"/>
        </w:rPr>
        <w:t>withdrawal;</w:t>
      </w:r>
      <w:proofErr w:type="gramEnd"/>
    </w:p>
    <w:p w14:paraId="41DB5790" w14:textId="77777777" w:rsidR="009459B0" w:rsidRPr="00715394" w:rsidRDefault="009459B0" w:rsidP="009459B0">
      <w:pPr>
        <w:tabs>
          <w:tab w:val="left" w:pos="540"/>
        </w:tabs>
        <w:spacing w:line="480" w:lineRule="auto"/>
        <w:rPr>
          <w:sz w:val="22"/>
          <w:szCs w:val="22"/>
        </w:rPr>
      </w:pPr>
      <w:r w:rsidRPr="00715394">
        <w:rPr>
          <w:sz w:val="22"/>
          <w:szCs w:val="22"/>
        </w:rPr>
        <w:lastRenderedPageBreak/>
        <w:tab/>
      </w:r>
      <w:r w:rsidRPr="00715394">
        <w:rPr>
          <w:b/>
          <w:sz w:val="22"/>
          <w:szCs w:val="22"/>
        </w:rPr>
        <w:t>WHEREAS,</w:t>
      </w:r>
      <w:r w:rsidRPr="00715394">
        <w:rPr>
          <w:sz w:val="22"/>
          <w:szCs w:val="22"/>
        </w:rPr>
        <w:t xml:space="preserve"> Section 36a-1-31(a) of the Regulations of Connecticut States Agencies provides, in pertinent part, that:</w:t>
      </w:r>
    </w:p>
    <w:p w14:paraId="16BAFF30" w14:textId="77777777" w:rsidR="009459B0" w:rsidRDefault="009459B0" w:rsidP="009459B0">
      <w:pPr>
        <w:tabs>
          <w:tab w:val="left" w:pos="540"/>
        </w:tabs>
        <w:ind w:left="1440" w:right="1440"/>
        <w:rPr>
          <w:sz w:val="22"/>
          <w:szCs w:val="22"/>
        </w:rPr>
      </w:pPr>
      <w:r w:rsidRPr="00715394">
        <w:rPr>
          <w:sz w:val="22"/>
          <w:szCs w:val="22"/>
        </w:rPr>
        <w:t>When a party fails to request a hearing within the time specified in the notice, the allegations against the party may be deemed admitted.  Without further proceedings or notice to the party, the commissioner shall issue a final decision in accordance with section 4-180 of the Connecticut General Statutes and section 36a-1-52 of the Regulations of Connecticut State Agencies . . . .</w:t>
      </w:r>
    </w:p>
    <w:p w14:paraId="1EDCA00B" w14:textId="77777777" w:rsidR="009459B0" w:rsidRPr="003A67E5" w:rsidRDefault="009459B0" w:rsidP="009459B0">
      <w:pPr>
        <w:tabs>
          <w:tab w:val="left" w:pos="540"/>
        </w:tabs>
        <w:ind w:left="1440" w:right="1440"/>
        <w:rPr>
          <w:sz w:val="22"/>
          <w:szCs w:val="22"/>
        </w:rPr>
      </w:pPr>
    </w:p>
    <w:p w14:paraId="10F4840A" w14:textId="77777777" w:rsidR="009459B0" w:rsidRPr="00715394" w:rsidRDefault="009459B0" w:rsidP="009459B0">
      <w:pPr>
        <w:tabs>
          <w:tab w:val="left" w:pos="540"/>
        </w:tabs>
        <w:spacing w:line="480" w:lineRule="auto"/>
        <w:rPr>
          <w:sz w:val="22"/>
        </w:rPr>
      </w:pPr>
      <w:r w:rsidRPr="00715394">
        <w:rPr>
          <w:sz w:val="22"/>
        </w:rPr>
        <w:tab/>
      </w:r>
      <w:r w:rsidRPr="00715394">
        <w:rPr>
          <w:b/>
          <w:sz w:val="22"/>
        </w:rPr>
        <w:t>WHEREAS,</w:t>
      </w:r>
      <w:r w:rsidRPr="00715394">
        <w:rPr>
          <w:sz w:val="22"/>
        </w:rPr>
        <w:t xml:space="preserve"> Section 36b-31(a) of the Act provides, in pertinent part, that “[t]he commissioner may from time to time make . . . such . . . orders as are necessary to carry out the provisions of sections 36b-2 to 36b-34, inclusive</w:t>
      </w:r>
      <w:proofErr w:type="gramStart"/>
      <w:r w:rsidRPr="00715394">
        <w:rPr>
          <w:sz w:val="22"/>
        </w:rPr>
        <w:t>”;</w:t>
      </w:r>
      <w:proofErr w:type="gramEnd"/>
    </w:p>
    <w:p w14:paraId="5A837D30" w14:textId="205A227C" w:rsidR="009459B0" w:rsidRPr="00715394" w:rsidRDefault="009459B0" w:rsidP="009459B0">
      <w:pPr>
        <w:tabs>
          <w:tab w:val="left" w:pos="540"/>
        </w:tabs>
        <w:spacing w:line="480" w:lineRule="auto"/>
        <w:rPr>
          <w:sz w:val="22"/>
        </w:rPr>
      </w:pPr>
      <w:r w:rsidRPr="00715394">
        <w:rPr>
          <w:sz w:val="22"/>
        </w:rPr>
        <w:tab/>
      </w:r>
      <w:r w:rsidRPr="00715394">
        <w:rPr>
          <w:b/>
          <w:sz w:val="22"/>
        </w:rPr>
        <w:t>AND WHEREAS,</w:t>
      </w:r>
      <w:r w:rsidRPr="00715394">
        <w:rPr>
          <w:sz w:val="22"/>
        </w:rPr>
        <w:t xml:space="preserve"> Section 36b-31(b) of the Act provides, in pertinent part, that “[n]o . . . order may be made . . . unless the commissioner finds that the action is necessary or appropriate in the public interest or for the protection of investors and consistent with the purposes fairly intended by the policy and provisions of sections 36b-2 to 36b-34, inclusive.”</w:t>
      </w:r>
    </w:p>
    <w:p w14:paraId="5E859476" w14:textId="77777777" w:rsidR="009459B0" w:rsidRPr="00715394" w:rsidRDefault="009459B0" w:rsidP="009459B0">
      <w:pPr>
        <w:tabs>
          <w:tab w:val="left" w:pos="540"/>
        </w:tabs>
        <w:spacing w:line="480" w:lineRule="auto"/>
        <w:jc w:val="center"/>
        <w:rPr>
          <w:b/>
          <w:sz w:val="22"/>
        </w:rPr>
      </w:pPr>
      <w:r w:rsidRPr="00715394">
        <w:rPr>
          <w:b/>
          <w:sz w:val="22"/>
          <w:szCs w:val="22"/>
        </w:rPr>
        <w:t>II. FINDINGS OF FACT AND CONCLUSIONS OF LAW</w:t>
      </w:r>
    </w:p>
    <w:p w14:paraId="459D4F8E" w14:textId="42536656" w:rsidR="009459B0" w:rsidRPr="00715394" w:rsidRDefault="009459B0" w:rsidP="009459B0">
      <w:pPr>
        <w:tabs>
          <w:tab w:val="left" w:pos="540"/>
        </w:tabs>
        <w:spacing w:line="480" w:lineRule="auto"/>
        <w:rPr>
          <w:color w:val="000000"/>
          <w:sz w:val="22"/>
        </w:rPr>
      </w:pPr>
      <w:r w:rsidRPr="00715394">
        <w:rPr>
          <w:sz w:val="22"/>
        </w:rPr>
        <w:tab/>
        <w:t>1. T</w:t>
      </w:r>
      <w:r w:rsidRPr="00715394">
        <w:rPr>
          <w:color w:val="000000"/>
          <w:sz w:val="22"/>
        </w:rPr>
        <w:t xml:space="preserve">he Commissioner finds that the facts as set forth in paragraphs </w:t>
      </w:r>
      <w:r w:rsidRPr="00C1221D">
        <w:rPr>
          <w:color w:val="000000"/>
          <w:sz w:val="22"/>
        </w:rPr>
        <w:t xml:space="preserve">5 through </w:t>
      </w:r>
      <w:r w:rsidR="00B6019E">
        <w:rPr>
          <w:color w:val="000000"/>
          <w:sz w:val="22"/>
        </w:rPr>
        <w:t>9</w:t>
      </w:r>
      <w:r w:rsidRPr="00C1221D">
        <w:rPr>
          <w:rStyle w:val="CommentReference"/>
        </w:rPr>
        <w:t xml:space="preserve"> </w:t>
      </w:r>
      <w:r w:rsidRPr="00C1221D">
        <w:rPr>
          <w:color w:val="000000"/>
          <w:sz w:val="22"/>
        </w:rPr>
        <w:t>inclusive</w:t>
      </w:r>
      <w:r w:rsidRPr="00715394">
        <w:rPr>
          <w:color w:val="000000"/>
          <w:sz w:val="22"/>
        </w:rPr>
        <w:t>, of the Notice shall constitute findings of fact</w:t>
      </w:r>
      <w:r w:rsidRPr="00715394">
        <w:rPr>
          <w:color w:val="000000"/>
          <w:sz w:val="22"/>
          <w:szCs w:val="22"/>
        </w:rPr>
        <w:t xml:space="preserve"> within the meaning of Section 4-180(c) of the General Statutes of Connecticut and Section 36a-1-52 of the Regulations of Connecticut State Agencies</w:t>
      </w:r>
      <w:r w:rsidRPr="00715394">
        <w:rPr>
          <w:color w:val="000000"/>
          <w:sz w:val="22"/>
        </w:rPr>
        <w:t xml:space="preserve">, and that the Statutory Basis for Revocation of Registration as </w:t>
      </w:r>
      <w:r>
        <w:rPr>
          <w:color w:val="000000"/>
          <w:sz w:val="22"/>
        </w:rPr>
        <w:t xml:space="preserve">a Broker Dealer </w:t>
      </w:r>
      <w:r w:rsidRPr="00715394">
        <w:rPr>
          <w:color w:val="000000"/>
          <w:sz w:val="22"/>
        </w:rPr>
        <w:t xml:space="preserve">set forth in </w:t>
      </w:r>
      <w:r w:rsidRPr="0062459E">
        <w:rPr>
          <w:color w:val="000000"/>
          <w:sz w:val="22"/>
        </w:rPr>
        <w:t>Section IV</w:t>
      </w:r>
      <w:r>
        <w:rPr>
          <w:color w:val="000000"/>
          <w:sz w:val="22"/>
        </w:rPr>
        <w:t xml:space="preserve"> </w:t>
      </w:r>
      <w:r w:rsidRPr="00715394">
        <w:rPr>
          <w:color w:val="000000"/>
          <w:sz w:val="22"/>
        </w:rPr>
        <w:t xml:space="preserve">of the Notice shall constitute conclusions of law </w:t>
      </w:r>
      <w:r w:rsidRPr="00715394">
        <w:rPr>
          <w:color w:val="000000"/>
          <w:sz w:val="22"/>
          <w:szCs w:val="22"/>
        </w:rPr>
        <w:t>within the meaning of Section</w:t>
      </w:r>
      <w:r w:rsidR="00C94D07">
        <w:rPr>
          <w:color w:val="000000"/>
          <w:sz w:val="22"/>
          <w:szCs w:val="22"/>
        </w:rPr>
        <w:t xml:space="preserve"> </w:t>
      </w:r>
      <w:r w:rsidRPr="00715394">
        <w:rPr>
          <w:color w:val="000000"/>
          <w:sz w:val="22"/>
          <w:szCs w:val="22"/>
        </w:rPr>
        <w:t xml:space="preserve">4-180(c) of the General Statutes of Connecticut and Section 36a-1-52 of the Regulations of Connecticut State Agencies. </w:t>
      </w:r>
    </w:p>
    <w:p w14:paraId="3F01C883" w14:textId="61312723" w:rsidR="009459B0" w:rsidRPr="00715394" w:rsidRDefault="009459B0" w:rsidP="009459B0">
      <w:pPr>
        <w:tabs>
          <w:tab w:val="left" w:pos="540"/>
        </w:tabs>
        <w:spacing w:line="480" w:lineRule="auto"/>
        <w:rPr>
          <w:sz w:val="22"/>
        </w:rPr>
      </w:pPr>
      <w:r w:rsidRPr="00715394">
        <w:rPr>
          <w:sz w:val="22"/>
        </w:rPr>
        <w:tab/>
        <w:t xml:space="preserve">2. The Commissioner finds that </w:t>
      </w:r>
      <w:r w:rsidRPr="00715394">
        <w:rPr>
          <w:sz w:val="22"/>
          <w:szCs w:val="22"/>
        </w:rPr>
        <w:t xml:space="preserve">Respondent's </w:t>
      </w:r>
      <w:r w:rsidRPr="00715394">
        <w:rPr>
          <w:rFonts w:ascii="TimesNewRomanPSMT" w:eastAsiaTheme="minorHAnsi" w:hAnsi="TimesNewRomanPSMT" w:cs="TimesNewRomanPSMT"/>
          <w:sz w:val="22"/>
          <w:szCs w:val="22"/>
        </w:rPr>
        <w:t xml:space="preserve">failure to </w:t>
      </w:r>
      <w:r w:rsidR="000A4CAA">
        <w:rPr>
          <w:rFonts w:ascii="TimesNewRomanPSMT" w:eastAsiaTheme="minorHAnsi" w:hAnsi="TimesNewRomanPSMT" w:cs="TimesNewRomanPSMT"/>
          <w:sz w:val="22"/>
          <w:szCs w:val="22"/>
        </w:rPr>
        <w:t>register at least one broker-dealer agent under the Act</w:t>
      </w:r>
      <w:r w:rsidRPr="00715394">
        <w:rPr>
          <w:rFonts w:ascii="TimesNewRomanPSMT" w:eastAsiaTheme="minorHAnsi" w:hAnsi="TimesNewRomanPSMT" w:cs="TimesNewRomanPSMT"/>
          <w:sz w:val="22"/>
          <w:szCs w:val="22"/>
        </w:rPr>
        <w:t xml:space="preserve"> forms</w:t>
      </w:r>
      <w:r w:rsidRPr="00715394">
        <w:rPr>
          <w:rFonts w:ascii="TimesNewRomanPSMT" w:eastAsiaTheme="minorHAnsi" w:hAnsi="TimesNewRomanPSMT" w:cs="TimesNewRomanPSMT"/>
          <w:b/>
          <w:bCs/>
          <w:sz w:val="22"/>
          <w:szCs w:val="22"/>
        </w:rPr>
        <w:t xml:space="preserve"> </w:t>
      </w:r>
      <w:r w:rsidRPr="00715394">
        <w:rPr>
          <w:rFonts w:ascii="TimesNewRomanPSMT" w:eastAsiaTheme="minorHAnsi" w:hAnsi="TimesNewRomanPSMT" w:cs="TimesNewRomanPSMT"/>
          <w:sz w:val="22"/>
          <w:szCs w:val="22"/>
        </w:rPr>
        <w:t>a basis for the revocation of Respondent’s registration a</w:t>
      </w:r>
      <w:r>
        <w:rPr>
          <w:rFonts w:ascii="TimesNewRomanPSMT" w:eastAsiaTheme="minorHAnsi" w:hAnsi="TimesNewRomanPSMT" w:cs="TimesNewRomanPSMT"/>
          <w:sz w:val="22"/>
          <w:szCs w:val="22"/>
        </w:rPr>
        <w:t>s a broker-deale</w:t>
      </w:r>
      <w:r w:rsidRPr="00715394">
        <w:rPr>
          <w:rFonts w:ascii="TimesNewRomanPSMT" w:eastAsiaTheme="minorHAnsi" w:hAnsi="TimesNewRomanPSMT" w:cs="TimesNewRomanPSMT"/>
          <w:sz w:val="22"/>
          <w:szCs w:val="22"/>
        </w:rPr>
        <w:t>r in Connecticut pursuant to Section 36b-15(a)(2)(B) of the Act.</w:t>
      </w:r>
      <w:r w:rsidRPr="00715394">
        <w:rPr>
          <w:sz w:val="22"/>
        </w:rPr>
        <w:tab/>
      </w:r>
    </w:p>
    <w:p w14:paraId="42761FD5" w14:textId="77777777" w:rsidR="009459B0" w:rsidRPr="00715394" w:rsidRDefault="009459B0" w:rsidP="009459B0">
      <w:pPr>
        <w:tabs>
          <w:tab w:val="left" w:pos="540"/>
        </w:tabs>
        <w:spacing w:line="480" w:lineRule="auto"/>
        <w:rPr>
          <w:sz w:val="22"/>
        </w:rPr>
      </w:pPr>
      <w:r w:rsidRPr="00715394">
        <w:rPr>
          <w:sz w:val="22"/>
        </w:rPr>
        <w:tab/>
        <w:t>3. The</w:t>
      </w:r>
      <w:r w:rsidRPr="00715394">
        <w:rPr>
          <w:color w:val="000000"/>
          <w:sz w:val="22"/>
        </w:rPr>
        <w:t xml:space="preserve"> Commissioner finds that the Notice was given in compliance with Section 36b-15(f) of the Act and Section </w:t>
      </w:r>
      <w:r w:rsidRPr="00715394">
        <w:rPr>
          <w:sz w:val="22"/>
        </w:rPr>
        <w:t>4-182(c) of the Connecticut General Statutes.</w:t>
      </w:r>
    </w:p>
    <w:p w14:paraId="1C8864A5" w14:textId="3CE9B87A" w:rsidR="009459B0" w:rsidRDefault="009459B0" w:rsidP="009459B0">
      <w:pPr>
        <w:tabs>
          <w:tab w:val="left" w:pos="540"/>
        </w:tabs>
        <w:spacing w:line="480" w:lineRule="auto"/>
        <w:rPr>
          <w:b/>
          <w:bCs/>
          <w:sz w:val="22"/>
        </w:rPr>
      </w:pPr>
      <w:r w:rsidRPr="00715394">
        <w:rPr>
          <w:sz w:val="22"/>
        </w:rPr>
        <w:lastRenderedPageBreak/>
        <w:tab/>
        <w:t>4. The Commissioner finds that this action is necessary and appropriate in the public interest and for the protection of investors and consistent with the purposes fairly intended by the policy and provisions of Sections 36b-2 to 36b-34, inclusive, of the Act</w:t>
      </w:r>
      <w:r w:rsidRPr="00715394">
        <w:rPr>
          <w:b/>
          <w:bCs/>
          <w:sz w:val="22"/>
        </w:rPr>
        <w:t>.</w:t>
      </w:r>
    </w:p>
    <w:p w14:paraId="7A0EC64E" w14:textId="77777777" w:rsidR="009459B0" w:rsidRPr="00715394" w:rsidRDefault="009459B0" w:rsidP="009459B0">
      <w:pPr>
        <w:keepNext/>
        <w:tabs>
          <w:tab w:val="left" w:pos="540"/>
          <w:tab w:val="left" w:pos="720"/>
        </w:tabs>
        <w:jc w:val="center"/>
        <w:outlineLvl w:val="3"/>
        <w:rPr>
          <w:b/>
          <w:sz w:val="22"/>
        </w:rPr>
      </w:pPr>
      <w:r w:rsidRPr="00715394">
        <w:rPr>
          <w:b/>
          <w:sz w:val="22"/>
        </w:rPr>
        <w:t>III. ORDER</w:t>
      </w:r>
    </w:p>
    <w:p w14:paraId="23DA9A92" w14:textId="77777777" w:rsidR="009459B0" w:rsidRPr="00715394" w:rsidRDefault="009459B0" w:rsidP="009459B0">
      <w:pPr>
        <w:rPr>
          <w:sz w:val="22"/>
        </w:rPr>
      </w:pPr>
    </w:p>
    <w:p w14:paraId="14688CD0" w14:textId="77777777" w:rsidR="009459B0" w:rsidRPr="00715394" w:rsidRDefault="009459B0" w:rsidP="009459B0">
      <w:pPr>
        <w:tabs>
          <w:tab w:val="left" w:pos="540"/>
        </w:tabs>
        <w:spacing w:line="480" w:lineRule="auto"/>
        <w:rPr>
          <w:sz w:val="22"/>
          <w:szCs w:val="22"/>
        </w:rPr>
      </w:pPr>
      <w:r w:rsidRPr="00715394">
        <w:rPr>
          <w:sz w:val="22"/>
          <w:szCs w:val="22"/>
        </w:rPr>
        <w:tab/>
        <w:t xml:space="preserve">Having read the record, </w:t>
      </w:r>
      <w:r w:rsidRPr="00715394">
        <w:rPr>
          <w:b/>
          <w:sz w:val="22"/>
          <w:szCs w:val="22"/>
        </w:rPr>
        <w:t>I HEREBY ORDER</w:t>
      </w:r>
      <w:r w:rsidRPr="00715394">
        <w:rPr>
          <w:sz w:val="22"/>
          <w:szCs w:val="22"/>
        </w:rPr>
        <w:t xml:space="preserve">, pursuant to Sections </w:t>
      </w:r>
      <w:r w:rsidRPr="00715394">
        <w:rPr>
          <w:sz w:val="22"/>
        </w:rPr>
        <w:t>36b-15</w:t>
      </w:r>
      <w:r w:rsidRPr="00715394">
        <w:rPr>
          <w:sz w:val="22"/>
          <w:szCs w:val="22"/>
        </w:rPr>
        <w:t xml:space="preserve"> of the Act, that:</w:t>
      </w:r>
    </w:p>
    <w:p w14:paraId="09EEBCC4" w14:textId="6366F1CE" w:rsidR="009459B0" w:rsidRPr="00ED5093" w:rsidRDefault="009459B0" w:rsidP="009459B0">
      <w:pPr>
        <w:ind w:left="907" w:hanging="360"/>
        <w:rPr>
          <w:b/>
          <w:bCs/>
          <w:i/>
          <w:iCs/>
          <w:sz w:val="22"/>
        </w:rPr>
      </w:pPr>
      <w:r w:rsidRPr="00715394">
        <w:rPr>
          <w:sz w:val="22"/>
        </w:rPr>
        <w:t>1.</w:t>
      </w:r>
      <w:r w:rsidRPr="00715394">
        <w:rPr>
          <w:sz w:val="22"/>
        </w:rPr>
        <w:tab/>
        <w:t>The registration of</w:t>
      </w:r>
      <w:r w:rsidR="00A54822">
        <w:rPr>
          <w:sz w:val="22"/>
          <w:szCs w:val="22"/>
        </w:rPr>
        <w:t xml:space="preserve"> Phillips &amp; Company</w:t>
      </w:r>
      <w:r w:rsidRPr="00E82E04">
        <w:rPr>
          <w:sz w:val="22"/>
          <w:szCs w:val="22"/>
        </w:rPr>
        <w:t xml:space="preserve"> Securities</w:t>
      </w:r>
      <w:r w:rsidR="00A54822">
        <w:rPr>
          <w:sz w:val="22"/>
          <w:szCs w:val="22"/>
        </w:rPr>
        <w:t xml:space="preserve"> Inc</w:t>
      </w:r>
      <w:r w:rsidRPr="00E82E04">
        <w:rPr>
          <w:sz w:val="22"/>
          <w:szCs w:val="22"/>
        </w:rPr>
        <w:t>.</w:t>
      </w:r>
      <w:r>
        <w:rPr>
          <w:sz w:val="22"/>
          <w:szCs w:val="22"/>
        </w:rPr>
        <w:t>,</w:t>
      </w:r>
      <w:r w:rsidRPr="00715394">
        <w:rPr>
          <w:sz w:val="22"/>
        </w:rPr>
        <w:t xml:space="preserve"> as a</w:t>
      </w:r>
      <w:r>
        <w:rPr>
          <w:sz w:val="22"/>
        </w:rPr>
        <w:t xml:space="preserve"> broker-deale</w:t>
      </w:r>
      <w:r w:rsidRPr="00715394">
        <w:rPr>
          <w:sz w:val="22"/>
        </w:rPr>
        <w:t xml:space="preserve">r in Connecticut is hereby </w:t>
      </w:r>
      <w:r w:rsidRPr="00715394">
        <w:rPr>
          <w:b/>
          <w:sz w:val="22"/>
        </w:rPr>
        <w:t>REVOKED</w:t>
      </w:r>
      <w:r w:rsidRPr="00715394">
        <w:rPr>
          <w:sz w:val="22"/>
        </w:rPr>
        <w:t>; and</w:t>
      </w:r>
    </w:p>
    <w:p w14:paraId="26CC5D55" w14:textId="77777777" w:rsidR="009459B0" w:rsidRPr="00715394" w:rsidRDefault="009459B0" w:rsidP="009459B0">
      <w:pPr>
        <w:rPr>
          <w:sz w:val="22"/>
        </w:rPr>
      </w:pPr>
    </w:p>
    <w:p w14:paraId="09254D37" w14:textId="77777777" w:rsidR="009459B0" w:rsidRPr="00715394" w:rsidRDefault="009459B0" w:rsidP="009459B0">
      <w:pPr>
        <w:ind w:left="900" w:hanging="360"/>
        <w:rPr>
          <w:sz w:val="22"/>
        </w:rPr>
      </w:pPr>
      <w:r w:rsidRPr="00715394">
        <w:rPr>
          <w:sz w:val="22"/>
        </w:rPr>
        <w:t>2.</w:t>
      </w:r>
      <w:r w:rsidRPr="00715394">
        <w:rPr>
          <w:sz w:val="22"/>
        </w:rPr>
        <w:tab/>
        <w:t xml:space="preserve">This Order shall become final when </w:t>
      </w:r>
      <w:r w:rsidRPr="00715394">
        <w:rPr>
          <w:sz w:val="22"/>
          <w:szCs w:val="22"/>
        </w:rPr>
        <w:t>mailed.</w:t>
      </w:r>
    </w:p>
    <w:p w14:paraId="770FE775" w14:textId="77777777" w:rsidR="009459B0" w:rsidRPr="00715394" w:rsidRDefault="009459B0" w:rsidP="009459B0">
      <w:pPr>
        <w:rPr>
          <w:sz w:val="22"/>
        </w:rPr>
      </w:pPr>
    </w:p>
    <w:p w14:paraId="382F6159" w14:textId="77777777" w:rsidR="009459B0" w:rsidRPr="00715394" w:rsidRDefault="009459B0" w:rsidP="009459B0">
      <w:pPr>
        <w:rPr>
          <w:sz w:val="22"/>
        </w:rPr>
      </w:pPr>
    </w:p>
    <w:p w14:paraId="0CB67844" w14:textId="1A7E4B07" w:rsidR="009459B0" w:rsidRPr="00F96716" w:rsidRDefault="009459B0" w:rsidP="009459B0">
      <w:pPr>
        <w:rPr>
          <w:sz w:val="22"/>
        </w:rPr>
      </w:pPr>
      <w:r w:rsidRPr="00F96716">
        <w:rPr>
          <w:sz w:val="22"/>
          <w:szCs w:val="22"/>
        </w:rPr>
        <w:t>Dated at Hartford, Connecticut,</w:t>
      </w:r>
    </w:p>
    <w:p w14:paraId="4F306F84" w14:textId="3DF52E97" w:rsidR="009459B0" w:rsidRPr="00715394" w:rsidRDefault="0038627A" w:rsidP="009459B0">
      <w:pPr>
        <w:tabs>
          <w:tab w:val="left" w:pos="4680"/>
        </w:tabs>
        <w:rPr>
          <w:sz w:val="22"/>
        </w:rPr>
      </w:pPr>
      <w:r w:rsidRPr="00F96716">
        <w:rPr>
          <w:sz w:val="22"/>
        </w:rPr>
        <w:t>T</w:t>
      </w:r>
      <w:r w:rsidR="009459B0" w:rsidRPr="00F96716">
        <w:rPr>
          <w:sz w:val="22"/>
        </w:rPr>
        <w:t>his</w:t>
      </w:r>
      <w:r>
        <w:rPr>
          <w:sz w:val="22"/>
        </w:rPr>
        <w:t xml:space="preserve"> 22nd</w:t>
      </w:r>
      <w:r w:rsidR="00C94D07">
        <w:rPr>
          <w:sz w:val="22"/>
        </w:rPr>
        <w:t xml:space="preserve"> </w:t>
      </w:r>
      <w:r w:rsidR="009459B0" w:rsidRPr="00F96716">
        <w:rPr>
          <w:sz w:val="22"/>
        </w:rPr>
        <w:t xml:space="preserve"> day of </w:t>
      </w:r>
      <w:r w:rsidR="008432D7">
        <w:rPr>
          <w:sz w:val="22"/>
        </w:rPr>
        <w:t xml:space="preserve">August </w:t>
      </w:r>
      <w:r w:rsidR="009459B0" w:rsidRPr="00F96716">
        <w:rPr>
          <w:sz w:val="22"/>
        </w:rPr>
        <w:t>202</w:t>
      </w:r>
      <w:r w:rsidR="004359B6" w:rsidRPr="00F96716">
        <w:rPr>
          <w:sz w:val="22"/>
        </w:rPr>
        <w:t>5</w:t>
      </w:r>
      <w:r w:rsidR="009459B0" w:rsidRPr="00F96716">
        <w:rPr>
          <w:sz w:val="22"/>
        </w:rPr>
        <w:t>.</w:t>
      </w:r>
      <w:r w:rsidR="009459B0" w:rsidRPr="00F96716">
        <w:rPr>
          <w:sz w:val="22"/>
        </w:rPr>
        <w:tab/>
        <w:t>_____</w:t>
      </w:r>
      <w:r>
        <w:rPr>
          <w:sz w:val="22"/>
        </w:rPr>
        <w:t>/s/</w:t>
      </w:r>
      <w:r w:rsidR="009459B0" w:rsidRPr="00F96716">
        <w:rPr>
          <w:sz w:val="22"/>
        </w:rPr>
        <w:t>________________________</w:t>
      </w:r>
    </w:p>
    <w:p w14:paraId="1032F83E" w14:textId="77777777" w:rsidR="009459B0" w:rsidRPr="00715394" w:rsidRDefault="009459B0" w:rsidP="009459B0">
      <w:pPr>
        <w:tabs>
          <w:tab w:val="left" w:pos="4680"/>
        </w:tabs>
        <w:rPr>
          <w:sz w:val="22"/>
        </w:rPr>
      </w:pPr>
      <w:r w:rsidRPr="00715394">
        <w:rPr>
          <w:sz w:val="22"/>
        </w:rPr>
        <w:tab/>
      </w:r>
      <w:r w:rsidRPr="00715394">
        <w:rPr>
          <w:sz w:val="22"/>
          <w:szCs w:val="22"/>
        </w:rPr>
        <w:t>Jorge L. Perez</w:t>
      </w:r>
    </w:p>
    <w:p w14:paraId="0E6A1B79" w14:textId="77777777" w:rsidR="009459B0" w:rsidRPr="00715394" w:rsidRDefault="009459B0" w:rsidP="009459B0">
      <w:pPr>
        <w:tabs>
          <w:tab w:val="left" w:pos="4680"/>
        </w:tabs>
        <w:rPr>
          <w:sz w:val="22"/>
        </w:rPr>
      </w:pPr>
      <w:r w:rsidRPr="00715394">
        <w:rPr>
          <w:sz w:val="22"/>
        </w:rPr>
        <w:tab/>
        <w:t>Banking Commissioner</w:t>
      </w:r>
    </w:p>
    <w:p w14:paraId="17ACA63C" w14:textId="77777777" w:rsidR="009459B0" w:rsidRPr="00715394" w:rsidRDefault="009459B0" w:rsidP="009459B0">
      <w:pPr>
        <w:tabs>
          <w:tab w:val="left" w:pos="4680"/>
        </w:tabs>
        <w:rPr>
          <w:sz w:val="22"/>
        </w:rPr>
      </w:pPr>
    </w:p>
    <w:p w14:paraId="557204E4" w14:textId="77777777" w:rsidR="009459B0" w:rsidRPr="00715394" w:rsidRDefault="009459B0" w:rsidP="009459B0">
      <w:pPr>
        <w:rPr>
          <w:sz w:val="22"/>
        </w:rPr>
      </w:pPr>
    </w:p>
    <w:p w14:paraId="12328868" w14:textId="77777777" w:rsidR="009459B0" w:rsidRPr="00715394" w:rsidRDefault="009459B0" w:rsidP="009459B0">
      <w:pPr>
        <w:rPr>
          <w:sz w:val="22"/>
        </w:rPr>
      </w:pPr>
    </w:p>
    <w:p w14:paraId="37A7AEA3" w14:textId="77777777" w:rsidR="009459B0" w:rsidRPr="00F96716" w:rsidRDefault="009459B0" w:rsidP="009459B0">
      <w:pPr>
        <w:tabs>
          <w:tab w:val="left" w:pos="720"/>
          <w:tab w:val="left" w:pos="9360"/>
        </w:tabs>
        <w:rPr>
          <w:sz w:val="22"/>
        </w:rPr>
      </w:pPr>
      <w:r w:rsidRPr="00F96716">
        <w:rPr>
          <w:sz w:val="22"/>
        </w:rPr>
        <w:t>This Order was sent by certified mail,</w:t>
      </w:r>
    </w:p>
    <w:p w14:paraId="36E3672D" w14:textId="77777777" w:rsidR="009459B0" w:rsidRPr="00F96716" w:rsidRDefault="009459B0" w:rsidP="009459B0">
      <w:pPr>
        <w:tabs>
          <w:tab w:val="left" w:pos="720"/>
          <w:tab w:val="left" w:pos="9360"/>
        </w:tabs>
        <w:rPr>
          <w:sz w:val="22"/>
        </w:rPr>
      </w:pPr>
      <w:r w:rsidRPr="00F96716">
        <w:rPr>
          <w:sz w:val="22"/>
        </w:rPr>
        <w:t>return receipt requested, to Respondent</w:t>
      </w:r>
    </w:p>
    <w:p w14:paraId="4CF9F985" w14:textId="23DE4537" w:rsidR="009459B0" w:rsidRPr="00715394" w:rsidRDefault="009459B0" w:rsidP="009459B0">
      <w:pPr>
        <w:tabs>
          <w:tab w:val="left" w:pos="720"/>
          <w:tab w:val="left" w:pos="9360"/>
        </w:tabs>
        <w:rPr>
          <w:sz w:val="22"/>
        </w:rPr>
      </w:pPr>
      <w:r w:rsidRPr="00F96716">
        <w:rPr>
          <w:sz w:val="22"/>
        </w:rPr>
        <w:t xml:space="preserve">on </w:t>
      </w:r>
      <w:r w:rsidR="008432D7">
        <w:rPr>
          <w:sz w:val="22"/>
        </w:rPr>
        <w:t>August</w:t>
      </w:r>
      <w:r w:rsidR="0038627A">
        <w:rPr>
          <w:sz w:val="22"/>
        </w:rPr>
        <w:t xml:space="preserve"> 22</w:t>
      </w:r>
      <w:r w:rsidRPr="00F96716">
        <w:rPr>
          <w:sz w:val="22"/>
        </w:rPr>
        <w:t>, 202</w:t>
      </w:r>
      <w:r w:rsidR="004359B6" w:rsidRPr="00F96716">
        <w:rPr>
          <w:sz w:val="22"/>
        </w:rPr>
        <w:t>5</w:t>
      </w:r>
      <w:r w:rsidRPr="00F96716">
        <w:rPr>
          <w:sz w:val="22"/>
        </w:rPr>
        <w:t>.</w:t>
      </w:r>
    </w:p>
    <w:p w14:paraId="2CE64ACB" w14:textId="77777777" w:rsidR="009459B0" w:rsidRPr="00715394" w:rsidRDefault="009459B0" w:rsidP="009459B0">
      <w:pPr>
        <w:tabs>
          <w:tab w:val="left" w:pos="720"/>
          <w:tab w:val="left" w:pos="9360"/>
        </w:tabs>
        <w:rPr>
          <w:sz w:val="22"/>
        </w:rPr>
      </w:pPr>
    </w:p>
    <w:p w14:paraId="19D021AB" w14:textId="77777777" w:rsidR="009459B0" w:rsidRPr="00715394" w:rsidRDefault="009459B0" w:rsidP="009459B0">
      <w:pPr>
        <w:tabs>
          <w:tab w:val="left" w:pos="720"/>
          <w:tab w:val="left" w:pos="9360"/>
        </w:tabs>
        <w:rPr>
          <w:sz w:val="22"/>
        </w:rPr>
      </w:pPr>
    </w:p>
    <w:p w14:paraId="60A86161" w14:textId="33F08A47" w:rsidR="009459B0" w:rsidRPr="00F96716" w:rsidRDefault="008E7EBB" w:rsidP="009459B0">
      <w:pPr>
        <w:tabs>
          <w:tab w:val="left" w:pos="720"/>
          <w:tab w:val="left" w:pos="9360"/>
        </w:tabs>
        <w:rPr>
          <w:sz w:val="22"/>
        </w:rPr>
      </w:pPr>
      <w:r>
        <w:rPr>
          <w:sz w:val="22"/>
          <w:szCs w:val="22"/>
        </w:rPr>
        <w:t>Philips &amp; Company Securities Inc.</w:t>
      </w:r>
      <w:r w:rsidR="009459B0" w:rsidRPr="00715394">
        <w:rPr>
          <w:sz w:val="22"/>
          <w:szCs w:val="22"/>
        </w:rPr>
        <w:t xml:space="preserve"> </w:t>
      </w:r>
      <w:r w:rsidR="009459B0">
        <w:rPr>
          <w:sz w:val="22"/>
          <w:szCs w:val="22"/>
        </w:rPr>
        <w:t xml:space="preserve">                           </w:t>
      </w:r>
      <w:r w:rsidR="009459B0" w:rsidRPr="00F96716">
        <w:rPr>
          <w:sz w:val="22"/>
        </w:rPr>
        <w:t xml:space="preserve">Certified Mail No. </w:t>
      </w:r>
      <w:r w:rsidR="008432D7">
        <w:rPr>
          <w:sz w:val="22"/>
        </w:rPr>
        <w:t>7015 1520 0000 1824 9016</w:t>
      </w:r>
    </w:p>
    <w:p w14:paraId="4B63BC11" w14:textId="6C6533BA" w:rsidR="00163CB8" w:rsidRDefault="008E7EBB" w:rsidP="008E7EBB">
      <w:pPr>
        <w:tabs>
          <w:tab w:val="left" w:pos="4680"/>
        </w:tabs>
        <w:rPr>
          <w:b/>
          <w:bCs/>
          <w:sz w:val="22"/>
          <w:szCs w:val="22"/>
        </w:rPr>
      </w:pPr>
      <w:r>
        <w:rPr>
          <w:sz w:val="22"/>
          <w:szCs w:val="22"/>
        </w:rPr>
        <w:t>521 SW 11</w:t>
      </w:r>
      <w:r w:rsidRPr="008E7EBB">
        <w:rPr>
          <w:sz w:val="22"/>
          <w:szCs w:val="22"/>
          <w:vertAlign w:val="superscript"/>
        </w:rPr>
        <w:t>th</w:t>
      </w:r>
      <w:r>
        <w:rPr>
          <w:sz w:val="22"/>
          <w:szCs w:val="22"/>
        </w:rPr>
        <w:t>, Suite 200</w:t>
      </w:r>
    </w:p>
    <w:p w14:paraId="64BBBF68" w14:textId="54E3CF08" w:rsidR="008E7EBB" w:rsidRPr="008E7EBB" w:rsidRDefault="008E7EBB" w:rsidP="008E7EBB">
      <w:pPr>
        <w:tabs>
          <w:tab w:val="left" w:pos="4680"/>
        </w:tabs>
        <w:rPr>
          <w:sz w:val="22"/>
          <w:szCs w:val="22"/>
        </w:rPr>
      </w:pPr>
      <w:r w:rsidRPr="008E7EBB">
        <w:rPr>
          <w:sz w:val="22"/>
          <w:szCs w:val="22"/>
        </w:rPr>
        <w:t>Portland, Oregon 97205</w:t>
      </w:r>
    </w:p>
    <w:sectPr w:rsidR="008E7EBB" w:rsidRPr="008E7EBB" w:rsidSect="009459B0">
      <w:footerReference w:type="even" r:id="rId6"/>
      <w:footerReference w:type="default" r:id="rId7"/>
      <w:headerReference w:type="first" r:id="rId8"/>
      <w:pgSz w:w="12240" w:h="15840" w:code="1"/>
      <w:pgMar w:top="1440" w:right="1440" w:bottom="1440" w:left="1440" w:header="720" w:footer="720" w:gutter="0"/>
      <w:paperSrc w:first="15" w:other="15"/>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48325" w14:textId="77777777" w:rsidR="00AE4EB6" w:rsidRDefault="00AE4EB6" w:rsidP="00BA2C47">
      <w:r>
        <w:separator/>
      </w:r>
    </w:p>
  </w:endnote>
  <w:endnote w:type="continuationSeparator" w:id="0">
    <w:p w14:paraId="5D7F5EC6" w14:textId="77777777" w:rsidR="00AE4EB6" w:rsidRDefault="00AE4EB6" w:rsidP="00BA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DBC5" w14:textId="77777777" w:rsidR="00BA2C47" w:rsidRDefault="00BA2C4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03FC62B" w14:textId="77777777" w:rsidR="00BA2C47" w:rsidRDefault="00BA2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448956"/>
      <w:docPartObj>
        <w:docPartGallery w:val="Page Numbers (Bottom of Page)"/>
        <w:docPartUnique/>
      </w:docPartObj>
    </w:sdtPr>
    <w:sdtEndPr>
      <w:rPr>
        <w:noProof/>
      </w:rPr>
    </w:sdtEndPr>
    <w:sdtContent>
      <w:p w14:paraId="20ED653F" w14:textId="77777777" w:rsidR="00BA2C47" w:rsidRDefault="00BA2C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51E6BF" w14:textId="77777777" w:rsidR="00BA2C47" w:rsidRPr="00E50077" w:rsidRDefault="00BA2C47">
    <w:pPr>
      <w:pStyle w:val="Footer"/>
      <w:tabs>
        <w:tab w:val="clear" w:pos="4320"/>
        <w:tab w:val="clear" w:pos="8640"/>
        <w:tab w:val="center" w:pos="4680"/>
      </w:tabs>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42C1" w14:textId="77777777" w:rsidR="00AE4EB6" w:rsidRDefault="00AE4EB6" w:rsidP="00BA2C47">
      <w:r>
        <w:separator/>
      </w:r>
    </w:p>
  </w:footnote>
  <w:footnote w:type="continuationSeparator" w:id="0">
    <w:p w14:paraId="39E45788" w14:textId="77777777" w:rsidR="00AE4EB6" w:rsidRDefault="00AE4EB6" w:rsidP="00BA2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5FC39" w14:textId="77777777" w:rsidR="00BA2C47" w:rsidRDefault="00BA2C47">
    <w:pPr>
      <w:pStyle w:val="Header"/>
    </w:pPr>
  </w:p>
  <w:p w14:paraId="7DE47916" w14:textId="77777777" w:rsidR="0038627A" w:rsidRDefault="0038627A">
    <w:pPr>
      <w:pStyle w:val="Header"/>
    </w:pPr>
  </w:p>
  <w:p w14:paraId="25314D3F" w14:textId="77777777" w:rsidR="0038627A" w:rsidRDefault="0038627A">
    <w:pPr>
      <w:pStyle w:val="Header"/>
    </w:pPr>
  </w:p>
  <w:p w14:paraId="4831A8C7" w14:textId="77777777" w:rsidR="0038627A" w:rsidRDefault="0038627A">
    <w:pPr>
      <w:pStyle w:val="Header"/>
    </w:pPr>
  </w:p>
  <w:p w14:paraId="7CC968EB" w14:textId="77777777" w:rsidR="0038627A" w:rsidRDefault="0038627A">
    <w:pPr>
      <w:pStyle w:val="Header"/>
    </w:pPr>
  </w:p>
  <w:p w14:paraId="69A42629" w14:textId="77777777" w:rsidR="0038627A" w:rsidRDefault="0038627A">
    <w:pPr>
      <w:pStyle w:val="Header"/>
    </w:pPr>
  </w:p>
  <w:p w14:paraId="43EBBDD5" w14:textId="77777777" w:rsidR="0038627A" w:rsidRDefault="0038627A">
    <w:pPr>
      <w:pStyle w:val="Header"/>
    </w:pPr>
  </w:p>
  <w:p w14:paraId="016DC990" w14:textId="77777777" w:rsidR="0038627A" w:rsidRDefault="003862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9B0"/>
    <w:rsid w:val="00001D4D"/>
    <w:rsid w:val="00020DD4"/>
    <w:rsid w:val="000306AC"/>
    <w:rsid w:val="000312BE"/>
    <w:rsid w:val="0003455B"/>
    <w:rsid w:val="00042387"/>
    <w:rsid w:val="000A4CAA"/>
    <w:rsid w:val="000D541A"/>
    <w:rsid w:val="0012167F"/>
    <w:rsid w:val="00163CB8"/>
    <w:rsid w:val="00167CA8"/>
    <w:rsid w:val="0025142F"/>
    <w:rsid w:val="002829E7"/>
    <w:rsid w:val="002B296D"/>
    <w:rsid w:val="002C2114"/>
    <w:rsid w:val="002F4E65"/>
    <w:rsid w:val="00351E03"/>
    <w:rsid w:val="00365800"/>
    <w:rsid w:val="0038627A"/>
    <w:rsid w:val="003A599A"/>
    <w:rsid w:val="004359B6"/>
    <w:rsid w:val="004704C1"/>
    <w:rsid w:val="004E3A10"/>
    <w:rsid w:val="005A7891"/>
    <w:rsid w:val="006126A9"/>
    <w:rsid w:val="00672F9D"/>
    <w:rsid w:val="006A32AB"/>
    <w:rsid w:val="006A448E"/>
    <w:rsid w:val="006F1EA0"/>
    <w:rsid w:val="008432D7"/>
    <w:rsid w:val="00862460"/>
    <w:rsid w:val="008E554C"/>
    <w:rsid w:val="008E7EBB"/>
    <w:rsid w:val="008F1CF9"/>
    <w:rsid w:val="009459B0"/>
    <w:rsid w:val="009D6571"/>
    <w:rsid w:val="00A27D3A"/>
    <w:rsid w:val="00A54822"/>
    <w:rsid w:val="00AA00B3"/>
    <w:rsid w:val="00AD7920"/>
    <w:rsid w:val="00AE4EB6"/>
    <w:rsid w:val="00B35180"/>
    <w:rsid w:val="00B5193A"/>
    <w:rsid w:val="00B6019E"/>
    <w:rsid w:val="00BA2C47"/>
    <w:rsid w:val="00BB46A7"/>
    <w:rsid w:val="00BF4F96"/>
    <w:rsid w:val="00C94D07"/>
    <w:rsid w:val="00D072C2"/>
    <w:rsid w:val="00D174F4"/>
    <w:rsid w:val="00D50ACD"/>
    <w:rsid w:val="00D54FD3"/>
    <w:rsid w:val="00E13F44"/>
    <w:rsid w:val="00E83959"/>
    <w:rsid w:val="00ED5093"/>
    <w:rsid w:val="00F3704C"/>
    <w:rsid w:val="00F9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E452"/>
  <w15:chartTrackingRefBased/>
  <w15:docId w15:val="{C09C756C-29AD-4462-8CAD-D29A9239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9B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459B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59B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459B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459B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459B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459B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459B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459B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459B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9B0"/>
    <w:rPr>
      <w:rFonts w:eastAsiaTheme="majorEastAsia" w:cstheme="majorBidi"/>
      <w:color w:val="272727" w:themeColor="text1" w:themeTint="D8"/>
    </w:rPr>
  </w:style>
  <w:style w:type="paragraph" w:styleId="Title">
    <w:name w:val="Title"/>
    <w:basedOn w:val="Normal"/>
    <w:next w:val="Normal"/>
    <w:link w:val="TitleChar"/>
    <w:uiPriority w:val="10"/>
    <w:qFormat/>
    <w:rsid w:val="009459B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5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9B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45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9B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459B0"/>
    <w:rPr>
      <w:i/>
      <w:iCs/>
      <w:color w:val="404040" w:themeColor="text1" w:themeTint="BF"/>
    </w:rPr>
  </w:style>
  <w:style w:type="paragraph" w:styleId="ListParagraph">
    <w:name w:val="List Paragraph"/>
    <w:basedOn w:val="Normal"/>
    <w:uiPriority w:val="34"/>
    <w:qFormat/>
    <w:rsid w:val="009459B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459B0"/>
    <w:rPr>
      <w:i/>
      <w:iCs/>
      <w:color w:val="0F4761" w:themeColor="accent1" w:themeShade="BF"/>
    </w:rPr>
  </w:style>
  <w:style w:type="paragraph" w:styleId="IntenseQuote">
    <w:name w:val="Intense Quote"/>
    <w:basedOn w:val="Normal"/>
    <w:next w:val="Normal"/>
    <w:link w:val="IntenseQuoteChar"/>
    <w:uiPriority w:val="30"/>
    <w:qFormat/>
    <w:rsid w:val="009459B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459B0"/>
    <w:rPr>
      <w:i/>
      <w:iCs/>
      <w:color w:val="0F4761" w:themeColor="accent1" w:themeShade="BF"/>
    </w:rPr>
  </w:style>
  <w:style w:type="character" w:styleId="IntenseReference">
    <w:name w:val="Intense Reference"/>
    <w:basedOn w:val="DefaultParagraphFont"/>
    <w:uiPriority w:val="32"/>
    <w:qFormat/>
    <w:rsid w:val="009459B0"/>
    <w:rPr>
      <w:b/>
      <w:bCs/>
      <w:smallCaps/>
      <w:color w:val="0F4761" w:themeColor="accent1" w:themeShade="BF"/>
      <w:spacing w:val="5"/>
    </w:rPr>
  </w:style>
  <w:style w:type="paragraph" w:styleId="Footer">
    <w:name w:val="footer"/>
    <w:basedOn w:val="Normal"/>
    <w:link w:val="FooterChar"/>
    <w:uiPriority w:val="99"/>
    <w:rsid w:val="009459B0"/>
    <w:pPr>
      <w:tabs>
        <w:tab w:val="center" w:pos="4320"/>
        <w:tab w:val="right" w:pos="8640"/>
      </w:tabs>
    </w:pPr>
  </w:style>
  <w:style w:type="character" w:customStyle="1" w:styleId="FooterChar">
    <w:name w:val="Footer Char"/>
    <w:basedOn w:val="DefaultParagraphFont"/>
    <w:link w:val="Footer"/>
    <w:uiPriority w:val="99"/>
    <w:rsid w:val="009459B0"/>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9459B0"/>
  </w:style>
  <w:style w:type="paragraph" w:styleId="BodyText">
    <w:name w:val="Body Text"/>
    <w:basedOn w:val="Normal"/>
    <w:link w:val="BodyTextChar"/>
    <w:rsid w:val="009459B0"/>
    <w:pPr>
      <w:tabs>
        <w:tab w:val="left" w:pos="720"/>
        <w:tab w:val="left" w:pos="1080"/>
      </w:tabs>
      <w:spacing w:line="480" w:lineRule="auto"/>
    </w:pPr>
    <w:rPr>
      <w:color w:val="000000"/>
      <w:sz w:val="22"/>
    </w:rPr>
  </w:style>
  <w:style w:type="character" w:customStyle="1" w:styleId="BodyTextChar">
    <w:name w:val="Body Text Char"/>
    <w:basedOn w:val="DefaultParagraphFont"/>
    <w:link w:val="BodyText"/>
    <w:rsid w:val="009459B0"/>
    <w:rPr>
      <w:rFonts w:ascii="Times New Roman" w:eastAsia="Times New Roman" w:hAnsi="Times New Roman" w:cs="Times New Roman"/>
      <w:color w:val="000000"/>
      <w:kern w:val="0"/>
      <w:sz w:val="22"/>
      <w:szCs w:val="20"/>
      <w14:ligatures w14:val="none"/>
    </w:rPr>
  </w:style>
  <w:style w:type="paragraph" w:styleId="Header">
    <w:name w:val="header"/>
    <w:basedOn w:val="Normal"/>
    <w:link w:val="HeaderChar"/>
    <w:rsid w:val="009459B0"/>
    <w:pPr>
      <w:tabs>
        <w:tab w:val="center" w:pos="4320"/>
        <w:tab w:val="right" w:pos="8640"/>
      </w:tabs>
    </w:pPr>
    <w:rPr>
      <w:sz w:val="22"/>
    </w:rPr>
  </w:style>
  <w:style w:type="character" w:customStyle="1" w:styleId="HeaderChar">
    <w:name w:val="Header Char"/>
    <w:basedOn w:val="DefaultParagraphFont"/>
    <w:link w:val="Header"/>
    <w:rsid w:val="009459B0"/>
    <w:rPr>
      <w:rFonts w:ascii="Times New Roman" w:eastAsia="Times New Roman" w:hAnsi="Times New Roman" w:cs="Times New Roman"/>
      <w:kern w:val="0"/>
      <w:sz w:val="22"/>
      <w:szCs w:val="20"/>
      <w14:ligatures w14:val="none"/>
    </w:rPr>
  </w:style>
  <w:style w:type="character" w:styleId="CommentReference">
    <w:name w:val="annotation reference"/>
    <w:basedOn w:val="DefaultParagraphFont"/>
    <w:uiPriority w:val="99"/>
    <w:semiHidden/>
    <w:unhideWhenUsed/>
    <w:rsid w:val="009459B0"/>
    <w:rPr>
      <w:sz w:val="16"/>
      <w:szCs w:val="16"/>
    </w:rPr>
  </w:style>
  <w:style w:type="paragraph" w:styleId="CommentText">
    <w:name w:val="annotation text"/>
    <w:basedOn w:val="Normal"/>
    <w:link w:val="CommentTextChar"/>
    <w:uiPriority w:val="99"/>
    <w:unhideWhenUsed/>
    <w:rsid w:val="009459B0"/>
  </w:style>
  <w:style w:type="character" w:customStyle="1" w:styleId="CommentTextChar">
    <w:name w:val="Comment Text Char"/>
    <w:basedOn w:val="DefaultParagraphFont"/>
    <w:link w:val="CommentText"/>
    <w:uiPriority w:val="99"/>
    <w:rsid w:val="009459B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359B6"/>
    <w:rPr>
      <w:b/>
      <w:bCs/>
    </w:rPr>
  </w:style>
  <w:style w:type="character" w:customStyle="1" w:styleId="CommentSubjectChar">
    <w:name w:val="Comment Subject Char"/>
    <w:basedOn w:val="CommentTextChar"/>
    <w:link w:val="CommentSubject"/>
    <w:uiPriority w:val="99"/>
    <w:semiHidden/>
    <w:rsid w:val="004359B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1027</Words>
  <Characters>5745</Characters>
  <Application>Microsoft Office Word</Application>
  <DocSecurity>0</DocSecurity>
  <Lines>140</Lines>
  <Paragraphs>67</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Thibodeau, Tiffany</dc:creator>
  <cp:keywords/>
  <dc:description/>
  <cp:lastModifiedBy>Antanaitis, Cynthia</cp:lastModifiedBy>
  <cp:revision>2</cp:revision>
  <cp:lastPrinted>2025-05-08T13:21:00Z</cp:lastPrinted>
  <dcterms:created xsi:type="dcterms:W3CDTF">2025-08-23T22:51:00Z</dcterms:created>
  <dcterms:modified xsi:type="dcterms:W3CDTF">2025-08-23T22:51:00Z</dcterms:modified>
</cp:coreProperties>
</file>