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66215" w14:textId="77777777" w:rsidR="004F33DA" w:rsidRPr="00A321CA" w:rsidRDefault="004F33DA" w:rsidP="004F33DA">
      <w:pPr>
        <w:pStyle w:val="Default"/>
        <w:spacing w:line="240" w:lineRule="auto"/>
        <w:jc w:val="center"/>
        <w:rPr>
          <w:rFonts w:ascii="Calibri" w:eastAsia="Calibri" w:hAnsi="Calibri" w:cs="Calibri"/>
          <w:b/>
          <w:smallCaps/>
          <w:color w:val="auto"/>
          <w:sz w:val="30"/>
          <w:szCs w:val="30"/>
        </w:rPr>
      </w:pPr>
      <w:r w:rsidRPr="00A321CA">
        <w:rPr>
          <w:rFonts w:ascii="Calibri" w:eastAsia="Calibri" w:hAnsi="Calibri" w:cs="Calibri"/>
          <w:b/>
          <w:smallCaps/>
          <w:color w:val="auto"/>
          <w:sz w:val="30"/>
          <w:szCs w:val="30"/>
        </w:rPr>
        <w:t>APPENDIX A</w:t>
      </w:r>
    </w:p>
    <w:p w14:paraId="7DDDA0BC" w14:textId="77777777" w:rsidR="004F33DA" w:rsidRPr="00A321CA" w:rsidRDefault="004F33DA" w:rsidP="004F33DA">
      <w:pPr>
        <w:pStyle w:val="Default"/>
        <w:spacing w:line="240" w:lineRule="auto"/>
        <w:jc w:val="center"/>
        <w:rPr>
          <w:rFonts w:ascii="Calibri" w:eastAsia="Calibri" w:hAnsi="Calibri" w:cs="Calibri"/>
          <w:b/>
          <w:smallCaps/>
          <w:color w:val="auto"/>
        </w:rPr>
      </w:pPr>
      <w:r w:rsidRPr="00A321CA">
        <w:rPr>
          <w:rFonts w:ascii="Calibri" w:eastAsia="Calibri" w:hAnsi="Calibri" w:cs="Calibri"/>
          <w:b/>
          <w:smallCaps/>
          <w:color w:val="auto"/>
        </w:rPr>
        <w:t>ALLOWABLE AND UNALLOWABLE COSTS AND ACTIVITIES</w:t>
      </w:r>
    </w:p>
    <w:p w14:paraId="3A6C35B9" w14:textId="77777777" w:rsidR="004F33DA" w:rsidRPr="00A321CA" w:rsidRDefault="004F33DA" w:rsidP="004F33DA">
      <w:pPr>
        <w:pStyle w:val="Default"/>
        <w:spacing w:line="240" w:lineRule="auto"/>
        <w:jc w:val="center"/>
        <w:rPr>
          <w:rFonts w:ascii="Calibri" w:hAnsi="Calibri" w:cs="Calibri"/>
          <w:sz w:val="20"/>
          <w:szCs w:val="20"/>
        </w:rPr>
      </w:pPr>
    </w:p>
    <w:p w14:paraId="6455C38F" w14:textId="77777777" w:rsidR="004F33DA" w:rsidRPr="00A321CA" w:rsidRDefault="004F33DA" w:rsidP="004F33DA">
      <w:pPr>
        <w:pStyle w:val="Default"/>
        <w:spacing w:line="240" w:lineRule="auto"/>
        <w:jc w:val="center"/>
        <w:rPr>
          <w:rFonts w:ascii="Calibri" w:hAnsi="Calibri" w:cs="Calibri"/>
          <w:sz w:val="20"/>
          <w:szCs w:val="20"/>
        </w:rPr>
      </w:pP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8100"/>
      </w:tblGrid>
      <w:tr w:rsidR="004F33DA" w:rsidRPr="00A321CA" w14:paraId="59D2D33A" w14:textId="77777777" w:rsidTr="00F3479E">
        <w:trPr>
          <w:trHeight w:val="240"/>
        </w:trPr>
        <w:tc>
          <w:tcPr>
            <w:tcW w:w="2250" w:type="dxa"/>
          </w:tcPr>
          <w:p w14:paraId="493C3E7C" w14:textId="77777777" w:rsidR="004F33DA" w:rsidRPr="00A321CA" w:rsidRDefault="004F33DA" w:rsidP="00F3479E">
            <w:pPr>
              <w:widowControl/>
              <w:autoSpaceDE w:val="0"/>
              <w:autoSpaceDN w:val="0"/>
              <w:spacing w:line="240" w:lineRule="auto"/>
              <w:jc w:val="right"/>
              <w:textAlignment w:val="auto"/>
              <w:rPr>
                <w:rFonts w:ascii="Calibri" w:hAnsi="Calibri" w:cs="Calibri"/>
                <w:b/>
                <w:bCs/>
                <w:color w:val="000000"/>
                <w:sz w:val="20"/>
                <w:szCs w:val="20"/>
              </w:rPr>
            </w:pPr>
            <w:r w:rsidRPr="00A321CA">
              <w:rPr>
                <w:rFonts w:ascii="Calibri" w:hAnsi="Calibri" w:cs="Calibri"/>
                <w:b/>
                <w:bCs/>
                <w:color w:val="000000"/>
                <w:sz w:val="20"/>
                <w:szCs w:val="20"/>
              </w:rPr>
              <w:t>Advisory Councils</w:t>
            </w:r>
          </w:p>
        </w:tc>
        <w:tc>
          <w:tcPr>
            <w:tcW w:w="8100" w:type="dxa"/>
          </w:tcPr>
          <w:p w14:paraId="2735E65A" w14:textId="77777777" w:rsidR="004F33DA" w:rsidRPr="00A321CA" w:rsidRDefault="004F33DA" w:rsidP="00F3479E">
            <w:pPr>
              <w:widowControl/>
              <w:autoSpaceDE w:val="0"/>
              <w:autoSpaceDN w:val="0"/>
              <w:spacing w:line="240" w:lineRule="auto"/>
              <w:jc w:val="left"/>
              <w:textAlignment w:val="auto"/>
              <w:rPr>
                <w:rFonts w:ascii="Calibri" w:hAnsi="Calibri" w:cs="Calibri"/>
                <w:iCs/>
                <w:color w:val="000000"/>
                <w:sz w:val="20"/>
                <w:szCs w:val="20"/>
              </w:rPr>
            </w:pPr>
            <w:r w:rsidRPr="00A321CA">
              <w:rPr>
                <w:rFonts w:ascii="Calibri" w:hAnsi="Calibri" w:cs="Calibri"/>
                <w:i/>
                <w:iCs/>
                <w:color w:val="000000"/>
                <w:sz w:val="20"/>
                <w:szCs w:val="20"/>
              </w:rPr>
              <w:t>Unallowable</w:t>
            </w:r>
            <w:r w:rsidRPr="00A321CA">
              <w:rPr>
                <w:rFonts w:ascii="Calibri" w:hAnsi="Calibri" w:cs="Calibri"/>
                <w:iCs/>
                <w:color w:val="000000"/>
                <w:sz w:val="20"/>
                <w:szCs w:val="20"/>
              </w:rPr>
              <w:t xml:space="preserve"> for costs incurred by advisory councils or committees.</w:t>
            </w:r>
          </w:p>
        </w:tc>
      </w:tr>
      <w:tr w:rsidR="004F33DA" w:rsidRPr="00A321CA" w14:paraId="2F45C473" w14:textId="77777777" w:rsidTr="00F3479E">
        <w:trPr>
          <w:trHeight w:val="240"/>
        </w:trPr>
        <w:tc>
          <w:tcPr>
            <w:tcW w:w="2250" w:type="dxa"/>
          </w:tcPr>
          <w:p w14:paraId="07FE2B52" w14:textId="77777777" w:rsidR="004F33DA" w:rsidRPr="00A321CA" w:rsidRDefault="004F33DA" w:rsidP="00F3479E">
            <w:pPr>
              <w:widowControl/>
              <w:autoSpaceDE w:val="0"/>
              <w:autoSpaceDN w:val="0"/>
              <w:spacing w:line="240" w:lineRule="auto"/>
              <w:jc w:val="right"/>
              <w:textAlignment w:val="auto"/>
              <w:rPr>
                <w:rFonts w:ascii="Calibri" w:hAnsi="Calibri" w:cs="Calibri"/>
                <w:color w:val="000000"/>
                <w:sz w:val="20"/>
                <w:szCs w:val="20"/>
              </w:rPr>
            </w:pPr>
            <w:r w:rsidRPr="00A321CA">
              <w:rPr>
                <w:rFonts w:ascii="Calibri" w:hAnsi="Calibri" w:cs="Calibri"/>
                <w:b/>
                <w:bCs/>
                <w:color w:val="000000"/>
                <w:sz w:val="20"/>
                <w:szCs w:val="20"/>
              </w:rPr>
              <w:t xml:space="preserve">Alcoholic Beverages </w:t>
            </w:r>
          </w:p>
        </w:tc>
        <w:tc>
          <w:tcPr>
            <w:tcW w:w="8100" w:type="dxa"/>
          </w:tcPr>
          <w:p w14:paraId="3CD094B3" w14:textId="77777777" w:rsidR="004F33DA" w:rsidRPr="00B57E41" w:rsidRDefault="004F33DA" w:rsidP="00F3479E">
            <w:pPr>
              <w:widowControl/>
              <w:autoSpaceDE w:val="0"/>
              <w:autoSpaceDN w:val="0"/>
              <w:spacing w:line="240" w:lineRule="auto"/>
              <w:jc w:val="left"/>
              <w:textAlignment w:val="auto"/>
              <w:rPr>
                <w:rFonts w:ascii="Calibri" w:hAnsi="Calibri" w:cs="Calibri"/>
                <w:color w:val="000000"/>
                <w:sz w:val="20"/>
                <w:szCs w:val="20"/>
              </w:rPr>
            </w:pPr>
            <w:r w:rsidRPr="00A321CA">
              <w:rPr>
                <w:rFonts w:ascii="Calibri" w:hAnsi="Calibri" w:cs="Calibri"/>
                <w:i/>
                <w:iCs/>
                <w:color w:val="000000"/>
                <w:sz w:val="20"/>
                <w:szCs w:val="20"/>
              </w:rPr>
              <w:t xml:space="preserve">Unallowable </w:t>
            </w:r>
            <w:r w:rsidRPr="00B57E41">
              <w:rPr>
                <w:rFonts w:ascii="Calibri" w:hAnsi="Calibri" w:cs="Calibri"/>
                <w:color w:val="000000"/>
                <w:sz w:val="20"/>
                <w:szCs w:val="20"/>
              </w:rPr>
              <w:t>for alcoholic beverages unless the cost is associated with</w:t>
            </w:r>
          </w:p>
          <w:p w14:paraId="28E55B70" w14:textId="77777777" w:rsidR="004F33DA" w:rsidRPr="00B57E41" w:rsidRDefault="004F33DA" w:rsidP="00F3479E">
            <w:pPr>
              <w:widowControl/>
              <w:autoSpaceDE w:val="0"/>
              <w:autoSpaceDN w:val="0"/>
              <w:spacing w:line="240" w:lineRule="auto"/>
              <w:jc w:val="left"/>
              <w:textAlignment w:val="auto"/>
              <w:rPr>
                <w:rFonts w:ascii="Calibri" w:hAnsi="Calibri" w:cs="Calibri"/>
                <w:color w:val="000000"/>
                <w:sz w:val="20"/>
                <w:szCs w:val="20"/>
              </w:rPr>
            </w:pPr>
            <w:r w:rsidRPr="00B57E41">
              <w:rPr>
                <w:rFonts w:ascii="Calibri" w:hAnsi="Calibri" w:cs="Calibri"/>
                <w:color w:val="000000"/>
                <w:sz w:val="20"/>
                <w:szCs w:val="20"/>
              </w:rPr>
              <w:t>fulfilling the purpose of the grant program and either approved in the</w:t>
            </w:r>
          </w:p>
          <w:p w14:paraId="01F1AB50" w14:textId="77777777" w:rsidR="004F33DA" w:rsidRPr="00A321CA" w:rsidRDefault="004F33DA" w:rsidP="00F3479E">
            <w:pPr>
              <w:widowControl/>
              <w:autoSpaceDE w:val="0"/>
              <w:autoSpaceDN w:val="0"/>
              <w:spacing w:line="240" w:lineRule="auto"/>
              <w:jc w:val="left"/>
              <w:textAlignment w:val="auto"/>
              <w:rPr>
                <w:rFonts w:ascii="Calibri" w:hAnsi="Calibri" w:cs="Calibri"/>
                <w:color w:val="000000"/>
                <w:sz w:val="20"/>
                <w:szCs w:val="20"/>
              </w:rPr>
            </w:pPr>
            <w:r w:rsidRPr="00B57E41">
              <w:rPr>
                <w:rFonts w:ascii="Calibri" w:hAnsi="Calibri" w:cs="Calibri"/>
                <w:color w:val="000000"/>
                <w:sz w:val="20"/>
                <w:szCs w:val="20"/>
              </w:rPr>
              <w:t>application or with prior written approval</w:t>
            </w:r>
          </w:p>
        </w:tc>
      </w:tr>
      <w:tr w:rsidR="004F33DA" w:rsidRPr="00A321CA" w14:paraId="6ED4E12A" w14:textId="77777777" w:rsidTr="00F3479E">
        <w:trPr>
          <w:trHeight w:val="1965"/>
        </w:trPr>
        <w:tc>
          <w:tcPr>
            <w:tcW w:w="2250" w:type="dxa"/>
          </w:tcPr>
          <w:p w14:paraId="228E45F3" w14:textId="77777777" w:rsidR="004F33DA" w:rsidRPr="00A321CA" w:rsidRDefault="004F33DA" w:rsidP="00F3479E">
            <w:pPr>
              <w:widowControl/>
              <w:autoSpaceDE w:val="0"/>
              <w:autoSpaceDN w:val="0"/>
              <w:spacing w:line="240" w:lineRule="auto"/>
              <w:jc w:val="right"/>
              <w:textAlignment w:val="auto"/>
              <w:rPr>
                <w:rFonts w:ascii="Calibri" w:hAnsi="Calibri" w:cs="Calibri"/>
                <w:color w:val="000000"/>
                <w:sz w:val="20"/>
                <w:szCs w:val="20"/>
              </w:rPr>
            </w:pPr>
            <w:r w:rsidRPr="00A321CA">
              <w:rPr>
                <w:rFonts w:ascii="Calibri" w:hAnsi="Calibri" w:cs="Calibri"/>
                <w:b/>
                <w:bCs/>
                <w:color w:val="000000"/>
                <w:sz w:val="20"/>
                <w:szCs w:val="20"/>
              </w:rPr>
              <w:t>Building and Land - Construction</w:t>
            </w:r>
          </w:p>
        </w:tc>
        <w:tc>
          <w:tcPr>
            <w:tcW w:w="8100" w:type="dxa"/>
          </w:tcPr>
          <w:p w14:paraId="471E4169" w14:textId="77777777" w:rsidR="004F33DA" w:rsidRPr="00A321CA" w:rsidRDefault="004F33DA" w:rsidP="00F3479E">
            <w:pPr>
              <w:pStyle w:val="Default"/>
              <w:spacing w:line="240" w:lineRule="auto"/>
              <w:jc w:val="left"/>
              <w:rPr>
                <w:rFonts w:ascii="Calibri" w:hAnsi="Calibri" w:cs="Calibri"/>
                <w:sz w:val="20"/>
                <w:szCs w:val="20"/>
              </w:rPr>
            </w:pPr>
            <w:r w:rsidRPr="00A321CA">
              <w:rPr>
                <w:rFonts w:ascii="Calibri" w:hAnsi="Calibri" w:cs="Calibri"/>
                <w:i/>
                <w:iCs/>
                <w:sz w:val="20"/>
                <w:szCs w:val="20"/>
              </w:rPr>
              <w:t xml:space="preserve">Unallowable </w:t>
            </w:r>
            <w:r w:rsidRPr="00A321CA">
              <w:rPr>
                <w:rFonts w:ascii="Calibri" w:hAnsi="Calibri" w:cs="Calibri"/>
                <w:sz w:val="20"/>
                <w:szCs w:val="20"/>
              </w:rPr>
              <w:t xml:space="preserve">for the acquisition of buildings, facilities, or land or to make additions, improvements, modifications, replacements, rearrangements, reinstallations, renovations or alterations of an existing building or facility (including site grading and improvement, and architecture fees). This also includes construction and construction-related materials, which may include, but are not limited to, the purchase of building materials such as wood, nails, concrete, asphalt, roofing, gravel, sand, paint, insulation, drywall, or plumbing. </w:t>
            </w:r>
          </w:p>
          <w:p w14:paraId="6EC03395" w14:textId="77777777" w:rsidR="004F33DA" w:rsidRPr="00A321CA" w:rsidRDefault="004F33DA" w:rsidP="00F3479E">
            <w:pPr>
              <w:pStyle w:val="Default"/>
              <w:spacing w:line="240" w:lineRule="auto"/>
              <w:jc w:val="left"/>
              <w:rPr>
                <w:rFonts w:ascii="Calibri" w:hAnsi="Calibri" w:cs="Calibri"/>
                <w:i/>
                <w:iCs/>
                <w:sz w:val="20"/>
                <w:szCs w:val="20"/>
              </w:rPr>
            </w:pPr>
          </w:p>
          <w:p w14:paraId="5E87BE2F" w14:textId="77777777" w:rsidR="004F33DA" w:rsidRPr="00A321CA" w:rsidRDefault="004F33DA" w:rsidP="00F3479E">
            <w:pPr>
              <w:pStyle w:val="Default"/>
              <w:spacing w:line="240" w:lineRule="auto"/>
              <w:jc w:val="left"/>
              <w:rPr>
                <w:rFonts w:ascii="Calibri" w:hAnsi="Calibri" w:cs="Calibri"/>
                <w:sz w:val="20"/>
                <w:szCs w:val="20"/>
              </w:rPr>
            </w:pPr>
            <w:r w:rsidRPr="00A321CA">
              <w:rPr>
                <w:rFonts w:ascii="Calibri" w:hAnsi="Calibri" w:cs="Calibri"/>
                <w:i/>
                <w:iCs/>
                <w:sz w:val="20"/>
                <w:szCs w:val="20"/>
              </w:rPr>
              <w:t xml:space="preserve">Allowable </w:t>
            </w:r>
            <w:r w:rsidRPr="00A321CA">
              <w:rPr>
                <w:rFonts w:ascii="Calibri" w:hAnsi="Calibri" w:cs="Calibri"/>
                <w:sz w:val="20"/>
                <w:szCs w:val="20"/>
              </w:rPr>
              <w:t>for rental costs of land and building space. However, lease to own agreements (i.e., lease-to-</w:t>
            </w:r>
            <w:proofErr w:type="gramStart"/>
            <w:r w:rsidRPr="00A321CA">
              <w:rPr>
                <w:rFonts w:ascii="Calibri" w:hAnsi="Calibri" w:cs="Calibri"/>
                <w:sz w:val="20"/>
                <w:szCs w:val="20"/>
              </w:rPr>
              <w:t>own</w:t>
            </w:r>
            <w:proofErr w:type="gramEnd"/>
            <w:r w:rsidRPr="00A321CA">
              <w:rPr>
                <w:rFonts w:ascii="Calibri" w:hAnsi="Calibri" w:cs="Calibri"/>
                <w:sz w:val="20"/>
                <w:szCs w:val="20"/>
              </w:rPr>
              <w:t xml:space="preserve"> or rent-to-own) are not allowable. The lease or rental agreement must terminate at the end of the grant cycle. </w:t>
            </w:r>
          </w:p>
          <w:p w14:paraId="1897F003" w14:textId="77777777" w:rsidR="004F33DA" w:rsidRPr="00A321CA" w:rsidRDefault="004F33DA" w:rsidP="00F3479E">
            <w:pPr>
              <w:pStyle w:val="Default"/>
              <w:spacing w:line="240" w:lineRule="auto"/>
              <w:jc w:val="left"/>
              <w:rPr>
                <w:rFonts w:ascii="Calibri" w:hAnsi="Calibri" w:cs="Calibri"/>
                <w:sz w:val="20"/>
                <w:szCs w:val="20"/>
              </w:rPr>
            </w:pPr>
          </w:p>
          <w:p w14:paraId="17DF5BE3" w14:textId="77777777" w:rsidR="004F33DA" w:rsidRPr="00A321CA" w:rsidRDefault="004F33DA" w:rsidP="00F3479E">
            <w:pPr>
              <w:widowControl/>
              <w:autoSpaceDE w:val="0"/>
              <w:autoSpaceDN w:val="0"/>
              <w:spacing w:line="240" w:lineRule="auto"/>
              <w:jc w:val="left"/>
              <w:textAlignment w:val="auto"/>
              <w:rPr>
                <w:rFonts w:ascii="Calibri" w:hAnsi="Calibri" w:cs="Calibri"/>
                <w:color w:val="000000"/>
                <w:sz w:val="20"/>
                <w:szCs w:val="20"/>
              </w:rPr>
            </w:pPr>
            <w:r w:rsidRPr="00A321CA">
              <w:rPr>
                <w:rFonts w:ascii="Calibri" w:hAnsi="Calibri" w:cs="Calibri"/>
                <w:sz w:val="20"/>
                <w:szCs w:val="20"/>
              </w:rPr>
              <w:t xml:space="preserve">A </w:t>
            </w:r>
            <w:r w:rsidRPr="00A321CA">
              <w:rPr>
                <w:rFonts w:ascii="Calibri" w:hAnsi="Calibri" w:cs="Calibri"/>
                <w:i/>
                <w:iCs/>
                <w:sz w:val="20"/>
                <w:szCs w:val="20"/>
              </w:rPr>
              <w:t xml:space="preserve">building </w:t>
            </w:r>
            <w:r w:rsidRPr="00A321CA">
              <w:rPr>
                <w:rFonts w:ascii="Calibri" w:hAnsi="Calibri" w:cs="Calibri"/>
                <w:sz w:val="20"/>
                <w:szCs w:val="20"/>
              </w:rPr>
              <w:t xml:space="preserve">is any permanent structure designed or intended for support, enclosure, shelter or protection of people, animals, or property and having a permanent roof supported by columns or walls. </w:t>
            </w:r>
          </w:p>
        </w:tc>
      </w:tr>
      <w:tr w:rsidR="004F33DA" w:rsidRPr="00A321CA" w14:paraId="06B564C5" w14:textId="77777777" w:rsidTr="00F3479E">
        <w:trPr>
          <w:trHeight w:val="1965"/>
        </w:trPr>
        <w:tc>
          <w:tcPr>
            <w:tcW w:w="2250" w:type="dxa"/>
          </w:tcPr>
          <w:p w14:paraId="77CEEFF5" w14:textId="77777777" w:rsidR="004F33DA" w:rsidRDefault="004F33DA" w:rsidP="00F3479E">
            <w:pPr>
              <w:widowControl/>
              <w:autoSpaceDE w:val="0"/>
              <w:autoSpaceDN w:val="0"/>
              <w:spacing w:line="240" w:lineRule="auto"/>
              <w:jc w:val="right"/>
              <w:textAlignment w:val="auto"/>
              <w:rPr>
                <w:rFonts w:ascii="Calibri" w:hAnsi="Calibri" w:cs="Calibri"/>
                <w:b/>
                <w:bCs/>
                <w:color w:val="000000"/>
                <w:sz w:val="20"/>
                <w:szCs w:val="20"/>
              </w:rPr>
            </w:pPr>
            <w:r w:rsidRPr="00A321CA">
              <w:rPr>
                <w:rFonts w:ascii="Calibri" w:hAnsi="Calibri" w:cs="Calibri"/>
                <w:b/>
                <w:bCs/>
                <w:color w:val="000000"/>
                <w:sz w:val="20"/>
                <w:szCs w:val="20"/>
              </w:rPr>
              <w:t xml:space="preserve">Conferences </w:t>
            </w:r>
          </w:p>
          <w:p w14:paraId="58D872D4" w14:textId="77777777" w:rsidR="004F33DA" w:rsidRPr="00B82AB9" w:rsidRDefault="004F33DA" w:rsidP="00F3479E">
            <w:pPr>
              <w:rPr>
                <w:rFonts w:ascii="Calibri" w:hAnsi="Calibri" w:cs="Calibri"/>
                <w:sz w:val="20"/>
                <w:szCs w:val="20"/>
              </w:rPr>
            </w:pPr>
          </w:p>
          <w:p w14:paraId="02BA0D5B" w14:textId="77777777" w:rsidR="004F33DA" w:rsidRPr="00B82AB9" w:rsidRDefault="004F33DA" w:rsidP="00F3479E">
            <w:pPr>
              <w:rPr>
                <w:rFonts w:ascii="Calibri" w:hAnsi="Calibri" w:cs="Calibri"/>
                <w:sz w:val="20"/>
                <w:szCs w:val="20"/>
              </w:rPr>
            </w:pPr>
          </w:p>
          <w:p w14:paraId="369F0379" w14:textId="77777777" w:rsidR="004F33DA" w:rsidRPr="00B82AB9" w:rsidRDefault="004F33DA" w:rsidP="00F3479E">
            <w:pPr>
              <w:rPr>
                <w:rFonts w:ascii="Calibri" w:hAnsi="Calibri" w:cs="Calibri"/>
                <w:sz w:val="20"/>
                <w:szCs w:val="20"/>
              </w:rPr>
            </w:pPr>
          </w:p>
          <w:p w14:paraId="0D550145" w14:textId="77777777" w:rsidR="004F33DA" w:rsidRPr="00B82AB9" w:rsidRDefault="004F33DA" w:rsidP="00F3479E">
            <w:pPr>
              <w:rPr>
                <w:rFonts w:ascii="Calibri" w:hAnsi="Calibri" w:cs="Calibri"/>
                <w:sz w:val="20"/>
                <w:szCs w:val="20"/>
              </w:rPr>
            </w:pPr>
          </w:p>
          <w:p w14:paraId="111E630D" w14:textId="77777777" w:rsidR="004F33DA" w:rsidRPr="00B82AB9" w:rsidRDefault="004F33DA" w:rsidP="00F3479E">
            <w:pPr>
              <w:rPr>
                <w:rFonts w:ascii="Calibri" w:hAnsi="Calibri" w:cs="Calibri"/>
                <w:sz w:val="20"/>
                <w:szCs w:val="20"/>
              </w:rPr>
            </w:pPr>
          </w:p>
          <w:p w14:paraId="55CA98ED" w14:textId="77777777" w:rsidR="004F33DA" w:rsidRPr="00B82AB9" w:rsidRDefault="004F33DA" w:rsidP="00F3479E">
            <w:pPr>
              <w:rPr>
                <w:rFonts w:ascii="Calibri" w:hAnsi="Calibri" w:cs="Calibri"/>
                <w:sz w:val="20"/>
                <w:szCs w:val="20"/>
              </w:rPr>
            </w:pPr>
          </w:p>
          <w:p w14:paraId="5859A692" w14:textId="77777777" w:rsidR="004F33DA" w:rsidRPr="00B82AB9" w:rsidRDefault="004F33DA" w:rsidP="00F3479E">
            <w:pPr>
              <w:rPr>
                <w:rFonts w:ascii="Calibri" w:hAnsi="Calibri" w:cs="Calibri"/>
                <w:sz w:val="20"/>
                <w:szCs w:val="20"/>
              </w:rPr>
            </w:pPr>
          </w:p>
          <w:p w14:paraId="02580D27" w14:textId="77777777" w:rsidR="004F33DA" w:rsidRPr="00B82AB9" w:rsidRDefault="004F33DA" w:rsidP="00F3479E">
            <w:pPr>
              <w:rPr>
                <w:rFonts w:ascii="Calibri" w:hAnsi="Calibri" w:cs="Calibri"/>
                <w:sz w:val="20"/>
                <w:szCs w:val="20"/>
              </w:rPr>
            </w:pPr>
          </w:p>
          <w:p w14:paraId="06FD4A0B" w14:textId="77777777" w:rsidR="004F33DA" w:rsidRDefault="004F33DA" w:rsidP="00F3479E">
            <w:pPr>
              <w:rPr>
                <w:rFonts w:ascii="Calibri" w:hAnsi="Calibri" w:cs="Calibri"/>
                <w:b/>
                <w:bCs/>
                <w:color w:val="000000"/>
                <w:sz w:val="20"/>
                <w:szCs w:val="20"/>
              </w:rPr>
            </w:pPr>
          </w:p>
          <w:p w14:paraId="3E0E364E" w14:textId="77777777" w:rsidR="004F33DA" w:rsidRPr="00B82AB9" w:rsidRDefault="004F33DA" w:rsidP="00F3479E">
            <w:pPr>
              <w:jc w:val="right"/>
              <w:rPr>
                <w:rFonts w:ascii="Calibri" w:hAnsi="Calibri" w:cs="Calibri"/>
                <w:sz w:val="20"/>
                <w:szCs w:val="20"/>
              </w:rPr>
            </w:pPr>
          </w:p>
        </w:tc>
        <w:tc>
          <w:tcPr>
            <w:tcW w:w="8100" w:type="dxa"/>
          </w:tcPr>
          <w:p w14:paraId="4246228C" w14:textId="77777777" w:rsidR="004F33DA" w:rsidRPr="00A321CA" w:rsidRDefault="004F33DA" w:rsidP="00F3479E">
            <w:pPr>
              <w:widowControl/>
              <w:autoSpaceDE w:val="0"/>
              <w:autoSpaceDN w:val="0"/>
              <w:spacing w:line="240" w:lineRule="auto"/>
              <w:jc w:val="left"/>
              <w:textAlignment w:val="auto"/>
              <w:rPr>
                <w:rFonts w:ascii="Calibri" w:hAnsi="Calibri" w:cs="Calibri"/>
                <w:color w:val="000000"/>
                <w:sz w:val="20"/>
                <w:szCs w:val="20"/>
              </w:rPr>
            </w:pPr>
            <w:r w:rsidRPr="00A321CA">
              <w:rPr>
                <w:rFonts w:ascii="Calibri" w:hAnsi="Calibri" w:cs="Calibri"/>
                <w:i/>
                <w:iCs/>
                <w:color w:val="000000"/>
                <w:sz w:val="20"/>
                <w:szCs w:val="20"/>
              </w:rPr>
              <w:t xml:space="preserve">Allowable </w:t>
            </w:r>
            <w:r w:rsidRPr="00A321CA">
              <w:rPr>
                <w:rFonts w:ascii="Calibri" w:hAnsi="Calibri" w:cs="Calibri"/>
                <w:color w:val="000000"/>
                <w:sz w:val="20"/>
                <w:szCs w:val="20"/>
              </w:rPr>
              <w:t xml:space="preserve">for costs of conferences. A conference is defined as a meeting, retreat, seminar, symposium, </w:t>
            </w:r>
            <w:proofErr w:type="gramStart"/>
            <w:r w:rsidRPr="00A321CA">
              <w:rPr>
                <w:rFonts w:ascii="Calibri" w:hAnsi="Calibri" w:cs="Calibri"/>
                <w:color w:val="000000"/>
                <w:sz w:val="20"/>
                <w:szCs w:val="20"/>
              </w:rPr>
              <w:t>workshop</w:t>
            </w:r>
            <w:proofErr w:type="gramEnd"/>
            <w:r w:rsidRPr="00A321CA">
              <w:rPr>
                <w:rFonts w:ascii="Calibri" w:hAnsi="Calibri" w:cs="Calibri"/>
                <w:color w:val="000000"/>
                <w:sz w:val="20"/>
                <w:szCs w:val="20"/>
              </w:rPr>
              <w:t xml:space="preserve"> or event whose primary purpose is the dissemination of technical information and is necessary and reasonable for successful performance under the Federal award. Allowable conference costs paid by the recipient or subrecipient as a sponsor or host of the conference may include rental of facilities, speakers’ fees, costs of meals (see </w:t>
            </w:r>
            <w:r w:rsidRPr="00A321CA">
              <w:rPr>
                <w:rFonts w:ascii="Calibri" w:hAnsi="Calibri" w:cs="Calibri"/>
                <w:color w:val="0000FF"/>
                <w:sz w:val="20"/>
                <w:szCs w:val="20"/>
              </w:rPr>
              <w:t xml:space="preserve">Meals </w:t>
            </w:r>
            <w:r w:rsidRPr="00A321CA">
              <w:rPr>
                <w:rFonts w:ascii="Calibri" w:hAnsi="Calibri" w:cs="Calibri"/>
                <w:color w:val="000000"/>
                <w:sz w:val="20"/>
                <w:szCs w:val="20"/>
              </w:rPr>
              <w:t xml:space="preserve">for restrictions), and refreshments, local transportation, and other items incidental to such conferences </w:t>
            </w:r>
            <w:proofErr w:type="gramStart"/>
            <w:r w:rsidRPr="00A321CA">
              <w:rPr>
                <w:rFonts w:ascii="Calibri" w:hAnsi="Calibri" w:cs="Calibri"/>
                <w:color w:val="000000"/>
                <w:sz w:val="20"/>
                <w:szCs w:val="20"/>
              </w:rPr>
              <w:t>with the exception of</w:t>
            </w:r>
            <w:proofErr w:type="gramEnd"/>
            <w:r w:rsidRPr="00A321CA">
              <w:rPr>
                <w:rFonts w:ascii="Calibri" w:hAnsi="Calibri" w:cs="Calibri"/>
                <w:color w:val="000000"/>
                <w:sz w:val="20"/>
                <w:szCs w:val="20"/>
              </w:rPr>
              <w:t xml:space="preserve"> entertainment costs that are unallowable. If registration fees are collected, the recipient or subrecipient must report fees as program income (See </w:t>
            </w:r>
            <w:r w:rsidRPr="00A321CA">
              <w:rPr>
                <w:rFonts w:ascii="Calibri" w:hAnsi="Calibri" w:cs="Calibri"/>
                <w:color w:val="0000FF"/>
                <w:sz w:val="20"/>
                <w:szCs w:val="20"/>
              </w:rPr>
              <w:t>Program Income</w:t>
            </w:r>
            <w:r w:rsidRPr="00A321CA">
              <w:rPr>
                <w:rFonts w:ascii="Calibri" w:hAnsi="Calibri" w:cs="Calibri"/>
                <w:color w:val="000000"/>
                <w:sz w:val="20"/>
                <w:szCs w:val="20"/>
              </w:rPr>
              <w:t xml:space="preserve">). </w:t>
            </w:r>
          </w:p>
          <w:p w14:paraId="17A825B6" w14:textId="77777777" w:rsidR="004F33DA" w:rsidRPr="00A321CA" w:rsidRDefault="004F33DA" w:rsidP="00F3479E">
            <w:pPr>
              <w:widowControl/>
              <w:autoSpaceDE w:val="0"/>
              <w:autoSpaceDN w:val="0"/>
              <w:spacing w:line="240" w:lineRule="auto"/>
              <w:jc w:val="left"/>
              <w:textAlignment w:val="auto"/>
              <w:rPr>
                <w:rFonts w:ascii="Calibri" w:hAnsi="Calibri" w:cs="Calibri"/>
                <w:color w:val="000000"/>
                <w:sz w:val="20"/>
                <w:szCs w:val="20"/>
              </w:rPr>
            </w:pPr>
          </w:p>
          <w:p w14:paraId="28BB6A38" w14:textId="77777777" w:rsidR="004F33DA" w:rsidRPr="00A321CA" w:rsidRDefault="004F33DA" w:rsidP="00F3479E">
            <w:pPr>
              <w:pStyle w:val="Default"/>
              <w:spacing w:line="240" w:lineRule="auto"/>
              <w:jc w:val="left"/>
              <w:rPr>
                <w:rFonts w:ascii="Calibri" w:hAnsi="Calibri" w:cs="Calibri"/>
                <w:sz w:val="20"/>
                <w:szCs w:val="20"/>
              </w:rPr>
            </w:pPr>
            <w:r w:rsidRPr="00B82AB9">
              <w:rPr>
                <w:rFonts w:ascii="Calibri" w:hAnsi="Calibri" w:cs="Calibri"/>
                <w:i/>
                <w:iCs/>
                <w:sz w:val="20"/>
                <w:szCs w:val="20"/>
              </w:rPr>
              <w:t xml:space="preserve">Allowable </w:t>
            </w:r>
            <w:r w:rsidRPr="00A2607F">
              <w:rPr>
                <w:rFonts w:ascii="Calibri" w:hAnsi="Calibri" w:cs="Calibri"/>
                <w:sz w:val="20"/>
                <w:szCs w:val="20"/>
              </w:rPr>
              <w:t xml:space="preserve">to rent a building or room for training; however, where appropriate, AMS encourages the use of technologies such as webinars, teleconferencing, or videoconferencing as an alternative to renting a building or a room. The recipient should use the most cost-effective facilities, such as State government conference rooms, if renting a building or a room is necessary. </w:t>
            </w:r>
          </w:p>
          <w:p w14:paraId="38E6BB8A" w14:textId="77777777" w:rsidR="004F33DA" w:rsidRPr="00A321CA" w:rsidRDefault="004F33DA" w:rsidP="00F3479E">
            <w:pPr>
              <w:widowControl/>
              <w:autoSpaceDE w:val="0"/>
              <w:autoSpaceDN w:val="0"/>
              <w:spacing w:line="240" w:lineRule="auto"/>
              <w:jc w:val="left"/>
              <w:textAlignment w:val="auto"/>
              <w:rPr>
                <w:rFonts w:ascii="Calibri" w:hAnsi="Calibri" w:cs="Calibri"/>
                <w:i/>
                <w:iCs/>
                <w:color w:val="000000"/>
                <w:sz w:val="20"/>
                <w:szCs w:val="20"/>
              </w:rPr>
            </w:pPr>
          </w:p>
        </w:tc>
      </w:tr>
    </w:tbl>
    <w:p w14:paraId="77E77F8D" w14:textId="77777777" w:rsidR="004F33DA" w:rsidRPr="00EA63FF" w:rsidRDefault="004F33DA" w:rsidP="004F33DA">
      <w:pPr>
        <w:rPr>
          <w:vanish/>
        </w:rPr>
      </w:pP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8100"/>
      </w:tblGrid>
      <w:tr w:rsidR="004F33DA" w:rsidRPr="00EA63FF" w14:paraId="0651F010" w14:textId="77777777" w:rsidTr="00F3479E">
        <w:tc>
          <w:tcPr>
            <w:tcW w:w="2250" w:type="dxa"/>
            <w:shd w:val="clear" w:color="auto" w:fill="auto"/>
          </w:tcPr>
          <w:p w14:paraId="071547F3" w14:textId="77777777" w:rsidR="004F33DA" w:rsidRPr="00547110" w:rsidRDefault="004F33DA" w:rsidP="00F3479E">
            <w:pPr>
              <w:pStyle w:val="Default"/>
              <w:spacing w:line="240" w:lineRule="auto"/>
              <w:jc w:val="right"/>
              <w:rPr>
                <w:rFonts w:ascii="Calibri" w:hAnsi="Calibri" w:cs="Calibri"/>
                <w:sz w:val="20"/>
                <w:szCs w:val="20"/>
              </w:rPr>
            </w:pPr>
            <w:r w:rsidRPr="00547110">
              <w:rPr>
                <w:rFonts w:ascii="Calibri" w:hAnsi="Calibri" w:cs="Calibri"/>
                <w:b/>
                <w:bCs/>
                <w:sz w:val="20"/>
                <w:szCs w:val="20"/>
              </w:rPr>
              <w:t>Contingency Provisions</w:t>
            </w:r>
          </w:p>
        </w:tc>
        <w:tc>
          <w:tcPr>
            <w:tcW w:w="8100" w:type="dxa"/>
            <w:shd w:val="clear" w:color="auto" w:fill="auto"/>
          </w:tcPr>
          <w:p w14:paraId="5675F557" w14:textId="77777777" w:rsidR="004F33DA" w:rsidRPr="00A75390" w:rsidRDefault="004F33DA" w:rsidP="00F3479E">
            <w:pPr>
              <w:pStyle w:val="Default"/>
              <w:spacing w:line="240" w:lineRule="auto"/>
              <w:rPr>
                <w:rFonts w:ascii="Calibri" w:hAnsi="Calibri" w:cs="Calibri"/>
                <w:sz w:val="20"/>
                <w:szCs w:val="20"/>
              </w:rPr>
            </w:pPr>
            <w:r w:rsidRPr="00547110">
              <w:rPr>
                <w:rFonts w:ascii="Calibri" w:hAnsi="Calibri" w:cs="Calibri"/>
                <w:i/>
                <w:iCs/>
                <w:sz w:val="20"/>
                <w:szCs w:val="20"/>
              </w:rPr>
              <w:t>Unallowable</w:t>
            </w:r>
            <w:r w:rsidRPr="00547110">
              <w:rPr>
                <w:rFonts w:ascii="Calibri" w:hAnsi="Calibri" w:cs="Calibri"/>
                <w:b/>
                <w:bCs/>
                <w:i/>
                <w:iCs/>
                <w:sz w:val="20"/>
                <w:szCs w:val="20"/>
              </w:rPr>
              <w:t xml:space="preserve"> </w:t>
            </w:r>
            <w:r w:rsidRPr="00547110">
              <w:rPr>
                <w:rFonts w:ascii="Calibri" w:hAnsi="Calibri" w:cs="Calibri"/>
                <w:sz w:val="20"/>
                <w:szCs w:val="20"/>
              </w:rPr>
              <w:t>for miscellaneous and similar rainy-day funds for events the occurrence of which cannot be</w:t>
            </w:r>
            <w:r w:rsidRPr="00A75390">
              <w:rPr>
                <w:rFonts w:ascii="Calibri" w:hAnsi="Calibri" w:cs="Calibri"/>
                <w:sz w:val="20"/>
                <w:szCs w:val="20"/>
              </w:rPr>
              <w:t xml:space="preserve"> foretold with certainty as to the time or intensity, or with an assurance of their happening. Unallowable for working capital for activities/items not already in place. </w:t>
            </w:r>
          </w:p>
        </w:tc>
      </w:tr>
    </w:tbl>
    <w:p w14:paraId="1073470B" w14:textId="77777777" w:rsidR="004F33DA" w:rsidRPr="00EA63FF" w:rsidRDefault="004F33DA" w:rsidP="004F33DA">
      <w:pPr>
        <w:rPr>
          <w:vanish/>
        </w:rPr>
      </w:pP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8100"/>
      </w:tblGrid>
      <w:tr w:rsidR="004F33DA" w:rsidRPr="00A321CA" w14:paraId="60394F51" w14:textId="77777777" w:rsidTr="00F3479E">
        <w:trPr>
          <w:trHeight w:val="440"/>
        </w:trPr>
        <w:tc>
          <w:tcPr>
            <w:tcW w:w="2250" w:type="dxa"/>
          </w:tcPr>
          <w:p w14:paraId="31793170" w14:textId="77777777" w:rsidR="004F33DA" w:rsidRPr="00A321CA" w:rsidRDefault="004F33DA" w:rsidP="00F3479E">
            <w:pPr>
              <w:widowControl/>
              <w:autoSpaceDE w:val="0"/>
              <w:autoSpaceDN w:val="0"/>
              <w:spacing w:line="240" w:lineRule="auto"/>
              <w:jc w:val="right"/>
              <w:textAlignment w:val="auto"/>
              <w:rPr>
                <w:rFonts w:ascii="Calibri" w:hAnsi="Calibri" w:cs="Calibri"/>
                <w:color w:val="000000"/>
                <w:sz w:val="20"/>
                <w:szCs w:val="20"/>
              </w:rPr>
            </w:pPr>
            <w:r w:rsidRPr="00A321CA">
              <w:rPr>
                <w:rFonts w:ascii="Calibri" w:hAnsi="Calibri" w:cs="Calibri"/>
                <w:b/>
                <w:bCs/>
                <w:color w:val="000000"/>
                <w:sz w:val="20"/>
                <w:szCs w:val="20"/>
              </w:rPr>
              <w:t xml:space="preserve">Contractual/Consultant Costs (Professional Services) </w:t>
            </w:r>
          </w:p>
        </w:tc>
        <w:tc>
          <w:tcPr>
            <w:tcW w:w="8100" w:type="dxa"/>
          </w:tcPr>
          <w:p w14:paraId="116A5142" w14:textId="77777777" w:rsidR="004F33DA" w:rsidRPr="00A321CA" w:rsidRDefault="004F33DA" w:rsidP="00F3479E">
            <w:pPr>
              <w:widowControl/>
              <w:autoSpaceDE w:val="0"/>
              <w:autoSpaceDN w:val="0"/>
              <w:spacing w:line="240" w:lineRule="auto"/>
              <w:jc w:val="left"/>
              <w:textAlignment w:val="auto"/>
              <w:rPr>
                <w:rFonts w:ascii="Calibri" w:hAnsi="Calibri" w:cs="Calibri"/>
                <w:color w:val="000000"/>
                <w:sz w:val="20"/>
                <w:szCs w:val="20"/>
              </w:rPr>
            </w:pPr>
            <w:r w:rsidRPr="00A321CA">
              <w:rPr>
                <w:rFonts w:ascii="Calibri" w:hAnsi="Calibri" w:cs="Calibri"/>
                <w:i/>
                <w:iCs/>
                <w:color w:val="000000"/>
                <w:sz w:val="20"/>
                <w:szCs w:val="20"/>
              </w:rPr>
              <w:t>Allowable subject to limitations below</w:t>
            </w:r>
            <w:r w:rsidRPr="00A321CA">
              <w:rPr>
                <w:rFonts w:ascii="Calibri" w:hAnsi="Calibri" w:cs="Calibri"/>
                <w:color w:val="000000"/>
                <w:sz w:val="20"/>
                <w:szCs w:val="20"/>
              </w:rPr>
              <w:t>. Contractual/consultant costs are the expenses associated with purchasing goods and/or procuring services performed by an individual or organization other than the recipient in the form of a procurement relationship.</w:t>
            </w:r>
          </w:p>
          <w:p w14:paraId="36BC13F7" w14:textId="77777777" w:rsidR="004F33DA" w:rsidRPr="00A321CA" w:rsidRDefault="004F33DA" w:rsidP="00F3479E">
            <w:pPr>
              <w:widowControl/>
              <w:autoSpaceDE w:val="0"/>
              <w:autoSpaceDN w:val="0"/>
              <w:spacing w:line="240" w:lineRule="auto"/>
              <w:jc w:val="left"/>
              <w:textAlignment w:val="auto"/>
              <w:rPr>
                <w:rFonts w:ascii="Calibri" w:hAnsi="Calibri" w:cs="Calibri"/>
                <w:color w:val="000000"/>
                <w:sz w:val="20"/>
                <w:szCs w:val="20"/>
              </w:rPr>
            </w:pPr>
          </w:p>
          <w:p w14:paraId="6856AD0A" w14:textId="77777777" w:rsidR="004F33DA" w:rsidRPr="00A321CA" w:rsidRDefault="004F33DA" w:rsidP="00F3479E">
            <w:pPr>
              <w:widowControl/>
              <w:autoSpaceDE w:val="0"/>
              <w:autoSpaceDN w:val="0"/>
              <w:spacing w:line="240" w:lineRule="auto"/>
              <w:jc w:val="left"/>
              <w:textAlignment w:val="auto"/>
              <w:rPr>
                <w:rFonts w:ascii="Calibri" w:hAnsi="Calibri" w:cs="Calibri"/>
                <w:color w:val="000000"/>
                <w:sz w:val="20"/>
                <w:szCs w:val="20"/>
              </w:rPr>
            </w:pPr>
            <w:r w:rsidRPr="00A321CA">
              <w:rPr>
                <w:rFonts w:ascii="Calibri" w:hAnsi="Calibri" w:cs="Calibri"/>
                <w:i/>
                <w:iCs/>
                <w:color w:val="000000"/>
                <w:sz w:val="20"/>
                <w:szCs w:val="20"/>
              </w:rPr>
              <w:t xml:space="preserve">Allowable </w:t>
            </w:r>
            <w:r w:rsidRPr="00A321CA">
              <w:rPr>
                <w:rFonts w:ascii="Calibri" w:hAnsi="Calibri" w:cs="Calibri"/>
                <w:color w:val="000000"/>
                <w:sz w:val="20"/>
                <w:szCs w:val="20"/>
              </w:rPr>
              <w:t xml:space="preserve">for contractor/consultant employee rates that do not exceed the salary of a GS-15 step 10 Federal employee in your area (refer to: </w:t>
            </w:r>
            <w:r w:rsidRPr="00A321CA">
              <w:rPr>
                <w:rFonts w:ascii="Calibri" w:hAnsi="Calibri" w:cs="Calibri"/>
                <w:color w:val="0000FF"/>
                <w:sz w:val="20"/>
                <w:szCs w:val="20"/>
              </w:rPr>
              <w:t>http://www.opm.gov/policy-data-oversight/pay-leave/salaries-wages/2015/general-schedule/</w:t>
            </w:r>
            <w:r w:rsidRPr="00A321CA">
              <w:rPr>
                <w:rFonts w:ascii="Calibri" w:hAnsi="Calibri" w:cs="Calibri"/>
                <w:color w:val="000099"/>
                <w:sz w:val="20"/>
                <w:szCs w:val="20"/>
              </w:rPr>
              <w:t>)</w:t>
            </w:r>
            <w:r w:rsidRPr="00A321CA">
              <w:rPr>
                <w:rFonts w:ascii="Calibri" w:hAnsi="Calibri" w:cs="Calibri"/>
                <w:color w:val="000000"/>
                <w:sz w:val="20"/>
                <w:szCs w:val="20"/>
              </w:rPr>
              <w:t xml:space="preserve">. This does not include fringe benefits, travel, indirect costs, or other expenses. </w:t>
            </w:r>
            <w:r w:rsidRPr="00A2607F">
              <w:rPr>
                <w:rFonts w:ascii="Calibri" w:hAnsi="Calibri" w:cs="Calibri"/>
                <w:color w:val="000000"/>
                <w:sz w:val="20"/>
                <w:szCs w:val="20"/>
              </w:rPr>
              <w:t>If rates exceed this amount, the recipient is required to justify the allowability of the cost aligning with 2 CFR §§ 200.317-326.</w:t>
            </w:r>
          </w:p>
        </w:tc>
      </w:tr>
      <w:tr w:rsidR="004F33DA" w:rsidRPr="00A321CA" w14:paraId="22395E08" w14:textId="77777777" w:rsidTr="00F3479E">
        <w:trPr>
          <w:trHeight w:val="800"/>
        </w:trPr>
        <w:tc>
          <w:tcPr>
            <w:tcW w:w="2250" w:type="dxa"/>
          </w:tcPr>
          <w:p w14:paraId="11A4CBD7" w14:textId="77777777" w:rsidR="004F33DA" w:rsidRPr="00A321CA" w:rsidRDefault="004F33DA" w:rsidP="00F3479E">
            <w:pPr>
              <w:widowControl/>
              <w:autoSpaceDE w:val="0"/>
              <w:autoSpaceDN w:val="0"/>
              <w:spacing w:line="240" w:lineRule="auto"/>
              <w:jc w:val="right"/>
              <w:textAlignment w:val="auto"/>
              <w:rPr>
                <w:rFonts w:ascii="Calibri" w:hAnsi="Calibri" w:cs="Calibri"/>
                <w:color w:val="000000"/>
                <w:sz w:val="20"/>
                <w:szCs w:val="20"/>
              </w:rPr>
            </w:pPr>
            <w:r w:rsidRPr="00A321CA">
              <w:rPr>
                <w:rFonts w:ascii="Calibri" w:hAnsi="Calibri" w:cs="Calibri"/>
                <w:b/>
                <w:bCs/>
                <w:color w:val="000000"/>
                <w:sz w:val="20"/>
                <w:szCs w:val="20"/>
              </w:rPr>
              <w:lastRenderedPageBreak/>
              <w:t xml:space="preserve">Contributions and Donations </w:t>
            </w:r>
          </w:p>
        </w:tc>
        <w:tc>
          <w:tcPr>
            <w:tcW w:w="8100" w:type="dxa"/>
          </w:tcPr>
          <w:p w14:paraId="7A2CC2C8" w14:textId="77777777" w:rsidR="004F33DA" w:rsidRPr="00A321CA" w:rsidRDefault="004F33DA" w:rsidP="00F3479E">
            <w:pPr>
              <w:widowControl/>
              <w:autoSpaceDE w:val="0"/>
              <w:autoSpaceDN w:val="0"/>
              <w:spacing w:line="240" w:lineRule="auto"/>
              <w:jc w:val="left"/>
              <w:textAlignment w:val="auto"/>
              <w:rPr>
                <w:rFonts w:ascii="Calibri" w:hAnsi="Calibri" w:cs="Calibri"/>
                <w:color w:val="000000"/>
                <w:sz w:val="20"/>
                <w:szCs w:val="20"/>
              </w:rPr>
            </w:pPr>
            <w:r w:rsidRPr="00A2607F">
              <w:rPr>
                <w:rFonts w:ascii="Calibri" w:hAnsi="Calibri" w:cs="Calibri"/>
                <w:i/>
                <w:iCs/>
                <w:color w:val="000000"/>
                <w:sz w:val="20"/>
                <w:szCs w:val="20"/>
              </w:rPr>
              <w:t>Unallowable</w:t>
            </w:r>
            <w:r w:rsidRPr="00B82AB9">
              <w:rPr>
                <w:rFonts w:ascii="Calibri" w:hAnsi="Calibri" w:cs="Calibri"/>
                <w:color w:val="000000"/>
                <w:sz w:val="20"/>
                <w:szCs w:val="20"/>
              </w:rPr>
              <w:t xml:space="preserve"> for contributions or donations, including cash, property, and services, made by the recipient to other entities. A non-Federal entity using grant funds to purchase food or services to donate to other entities and/or individuals is unallowable. </w:t>
            </w:r>
          </w:p>
        </w:tc>
      </w:tr>
      <w:tr w:rsidR="004F33DA" w:rsidRPr="00A321CA" w14:paraId="37C3AB6B" w14:textId="77777777" w:rsidTr="00F3479E">
        <w:trPr>
          <w:trHeight w:val="585"/>
        </w:trPr>
        <w:tc>
          <w:tcPr>
            <w:tcW w:w="2250" w:type="dxa"/>
          </w:tcPr>
          <w:p w14:paraId="0DD917A0" w14:textId="77777777" w:rsidR="004F33DA" w:rsidRPr="00A321CA" w:rsidRDefault="004F33DA" w:rsidP="00F3479E">
            <w:pPr>
              <w:widowControl/>
              <w:autoSpaceDE w:val="0"/>
              <w:autoSpaceDN w:val="0"/>
              <w:spacing w:line="240" w:lineRule="auto"/>
              <w:jc w:val="right"/>
              <w:textAlignment w:val="auto"/>
              <w:rPr>
                <w:rFonts w:ascii="Calibri" w:hAnsi="Calibri" w:cs="Calibri"/>
                <w:color w:val="000000"/>
                <w:sz w:val="20"/>
                <w:szCs w:val="20"/>
              </w:rPr>
            </w:pPr>
            <w:r w:rsidRPr="00A321CA">
              <w:rPr>
                <w:rFonts w:ascii="Calibri" w:hAnsi="Calibri" w:cs="Calibri"/>
                <w:b/>
                <w:bCs/>
                <w:color w:val="000000"/>
                <w:sz w:val="20"/>
                <w:szCs w:val="20"/>
              </w:rPr>
              <w:t>Electronic Benefit Transfer (EBT) Machines</w:t>
            </w:r>
          </w:p>
        </w:tc>
        <w:tc>
          <w:tcPr>
            <w:tcW w:w="8100" w:type="dxa"/>
          </w:tcPr>
          <w:p w14:paraId="5C6C09E0" w14:textId="77777777" w:rsidR="004F33DA" w:rsidRPr="00A321CA" w:rsidRDefault="004F33DA" w:rsidP="00F3479E">
            <w:pPr>
              <w:widowControl/>
              <w:autoSpaceDE w:val="0"/>
              <w:autoSpaceDN w:val="0"/>
              <w:spacing w:line="240" w:lineRule="auto"/>
              <w:jc w:val="left"/>
              <w:textAlignment w:val="auto"/>
              <w:rPr>
                <w:rFonts w:ascii="Calibri" w:hAnsi="Calibri" w:cs="Calibri"/>
                <w:color w:val="000000"/>
                <w:sz w:val="20"/>
                <w:szCs w:val="20"/>
              </w:rPr>
            </w:pPr>
            <w:r w:rsidRPr="00547110">
              <w:rPr>
                <w:rFonts w:ascii="Calibri" w:hAnsi="Calibri" w:cs="Calibri"/>
                <w:i/>
                <w:iCs/>
                <w:sz w:val="20"/>
                <w:szCs w:val="20"/>
              </w:rPr>
              <w:t>Unallowable</w:t>
            </w:r>
            <w:r w:rsidRPr="00B82AB9">
              <w:rPr>
                <w:rFonts w:ascii="Calibri" w:hAnsi="Calibri" w:cs="Calibri"/>
                <w:sz w:val="20"/>
                <w:szCs w:val="20"/>
              </w:rPr>
              <w:t xml:space="preserve"> for the purchase/lease of Supplemental Nutrition Assistance Program (SNAP) EBT equipment. </w:t>
            </w:r>
          </w:p>
        </w:tc>
      </w:tr>
      <w:tr w:rsidR="004F33DA" w:rsidRPr="00A321CA" w14:paraId="052774FD" w14:textId="77777777" w:rsidTr="00F3479E">
        <w:trPr>
          <w:trHeight w:val="585"/>
        </w:trPr>
        <w:tc>
          <w:tcPr>
            <w:tcW w:w="2250" w:type="dxa"/>
          </w:tcPr>
          <w:p w14:paraId="689407ED" w14:textId="77777777" w:rsidR="004F33DA" w:rsidRPr="00A321CA" w:rsidRDefault="004F33DA" w:rsidP="00F3479E">
            <w:pPr>
              <w:widowControl/>
              <w:autoSpaceDE w:val="0"/>
              <w:autoSpaceDN w:val="0"/>
              <w:spacing w:line="240" w:lineRule="auto"/>
              <w:jc w:val="right"/>
              <w:textAlignment w:val="auto"/>
              <w:rPr>
                <w:rFonts w:ascii="Calibri" w:hAnsi="Calibri" w:cs="Calibri"/>
                <w:b/>
                <w:bCs/>
                <w:color w:val="000000"/>
                <w:sz w:val="20"/>
                <w:szCs w:val="20"/>
              </w:rPr>
            </w:pPr>
            <w:r w:rsidRPr="00A321CA">
              <w:rPr>
                <w:rFonts w:ascii="Calibri" w:hAnsi="Calibri" w:cs="Calibri"/>
                <w:b/>
                <w:bCs/>
                <w:color w:val="000000"/>
                <w:sz w:val="20"/>
                <w:szCs w:val="20"/>
              </w:rPr>
              <w:t xml:space="preserve">Entertainment </w:t>
            </w:r>
          </w:p>
        </w:tc>
        <w:tc>
          <w:tcPr>
            <w:tcW w:w="8100" w:type="dxa"/>
          </w:tcPr>
          <w:p w14:paraId="12010A0F" w14:textId="77777777" w:rsidR="004F33DA" w:rsidRPr="00B82AB9" w:rsidRDefault="004F33DA" w:rsidP="00F3479E">
            <w:pPr>
              <w:widowControl/>
              <w:autoSpaceDE w:val="0"/>
              <w:autoSpaceDN w:val="0"/>
              <w:spacing w:line="240" w:lineRule="auto"/>
              <w:jc w:val="left"/>
              <w:textAlignment w:val="auto"/>
              <w:rPr>
                <w:rFonts w:ascii="Calibri" w:hAnsi="Calibri" w:cs="Calibri"/>
                <w:color w:val="000000"/>
                <w:sz w:val="20"/>
                <w:szCs w:val="20"/>
              </w:rPr>
            </w:pPr>
            <w:r w:rsidRPr="00547110">
              <w:rPr>
                <w:rFonts w:ascii="Calibri" w:hAnsi="Calibri" w:cs="Calibri"/>
                <w:i/>
                <w:iCs/>
                <w:color w:val="000000"/>
                <w:sz w:val="20"/>
                <w:szCs w:val="20"/>
              </w:rPr>
              <w:t>Unallowable</w:t>
            </w:r>
            <w:r w:rsidRPr="00B82AB9">
              <w:rPr>
                <w:rFonts w:ascii="Calibri" w:hAnsi="Calibri" w:cs="Calibri"/>
                <w:color w:val="000000"/>
                <w:sz w:val="20"/>
                <w:szCs w:val="20"/>
              </w:rPr>
              <w:t xml:space="preserve"> for entertainment costs include amusement, diversion, and social activities and any costs directly associated with such costs (such as bands, orchestras, dance groups, tickets to shows, meals, lodging, rentals, transportation, and gratuities). Entertainment costs are defined in 2 CFR § 200.438. </w:t>
            </w:r>
          </w:p>
          <w:p w14:paraId="4CEB97B2" w14:textId="77777777" w:rsidR="004F33DA" w:rsidRPr="00B82AB9" w:rsidRDefault="004F33DA" w:rsidP="00F3479E">
            <w:pPr>
              <w:widowControl/>
              <w:autoSpaceDE w:val="0"/>
              <w:autoSpaceDN w:val="0"/>
              <w:spacing w:line="240" w:lineRule="auto"/>
              <w:jc w:val="left"/>
              <w:textAlignment w:val="auto"/>
              <w:rPr>
                <w:rFonts w:ascii="Calibri" w:hAnsi="Calibri" w:cs="Calibri"/>
                <w:color w:val="000000"/>
                <w:sz w:val="20"/>
                <w:szCs w:val="20"/>
              </w:rPr>
            </w:pPr>
            <w:r w:rsidRPr="00547110">
              <w:rPr>
                <w:rFonts w:ascii="Calibri" w:hAnsi="Calibri" w:cs="Calibri"/>
                <w:i/>
                <w:iCs/>
                <w:sz w:val="20"/>
                <w:szCs w:val="20"/>
              </w:rPr>
              <w:t>Allowable</w:t>
            </w:r>
            <w:r w:rsidRPr="00B82AB9">
              <w:rPr>
                <w:rFonts w:ascii="Calibri" w:hAnsi="Calibri" w:cs="Calibri"/>
                <w:sz w:val="20"/>
                <w:szCs w:val="20"/>
              </w:rPr>
              <w:t xml:space="preserve"> where the specific cost is considered to meet the requirements of the sponsored program and are authorized in the approved budget or with prior written approval. </w:t>
            </w:r>
          </w:p>
        </w:tc>
      </w:tr>
      <w:tr w:rsidR="004F33DA" w:rsidRPr="00A321CA" w14:paraId="5B9466FE" w14:textId="77777777" w:rsidTr="00F3479E">
        <w:trPr>
          <w:trHeight w:val="380"/>
        </w:trPr>
        <w:tc>
          <w:tcPr>
            <w:tcW w:w="2250" w:type="dxa"/>
          </w:tcPr>
          <w:p w14:paraId="55BFC1E9" w14:textId="77777777" w:rsidR="004F33DA" w:rsidRPr="00A321CA" w:rsidRDefault="004F33DA" w:rsidP="00F3479E">
            <w:pPr>
              <w:widowControl/>
              <w:autoSpaceDE w:val="0"/>
              <w:autoSpaceDN w:val="0"/>
              <w:spacing w:line="240" w:lineRule="auto"/>
              <w:jc w:val="right"/>
              <w:textAlignment w:val="auto"/>
              <w:rPr>
                <w:rFonts w:ascii="Calibri" w:hAnsi="Calibri" w:cs="Calibri"/>
                <w:color w:val="000000"/>
                <w:sz w:val="20"/>
                <w:szCs w:val="20"/>
              </w:rPr>
            </w:pPr>
            <w:r w:rsidRPr="00A321CA">
              <w:rPr>
                <w:rFonts w:ascii="Calibri" w:hAnsi="Calibri" w:cs="Calibri"/>
                <w:b/>
                <w:bCs/>
                <w:color w:val="000000"/>
                <w:sz w:val="20"/>
                <w:szCs w:val="20"/>
              </w:rPr>
              <w:t>Equipment</w:t>
            </w:r>
          </w:p>
        </w:tc>
        <w:tc>
          <w:tcPr>
            <w:tcW w:w="8100" w:type="dxa"/>
          </w:tcPr>
          <w:p w14:paraId="387EE3BB" w14:textId="77777777" w:rsidR="004F33DA" w:rsidRPr="00A321CA" w:rsidRDefault="004F33DA" w:rsidP="00F3479E">
            <w:pPr>
              <w:widowControl/>
              <w:autoSpaceDE w:val="0"/>
              <w:autoSpaceDN w:val="0"/>
              <w:spacing w:line="240" w:lineRule="auto"/>
              <w:jc w:val="left"/>
              <w:textAlignment w:val="auto"/>
              <w:rPr>
                <w:rFonts w:ascii="Calibri" w:hAnsi="Calibri" w:cs="Calibri"/>
                <w:color w:val="000000"/>
                <w:sz w:val="20"/>
                <w:szCs w:val="20"/>
              </w:rPr>
            </w:pPr>
            <w:r w:rsidRPr="00A321CA">
              <w:rPr>
                <w:rFonts w:ascii="Calibri" w:hAnsi="Calibri" w:cs="Calibri"/>
                <w:i/>
                <w:iCs/>
                <w:color w:val="000000"/>
                <w:sz w:val="20"/>
                <w:szCs w:val="20"/>
              </w:rPr>
              <w:t xml:space="preserve">Unallowable </w:t>
            </w:r>
            <w:r w:rsidRPr="00A321CA">
              <w:rPr>
                <w:rFonts w:ascii="Calibri" w:hAnsi="Calibri" w:cs="Calibri"/>
                <w:color w:val="000000"/>
                <w:sz w:val="20"/>
                <w:szCs w:val="20"/>
              </w:rPr>
              <w:t xml:space="preserve">for acquisition costs of </w:t>
            </w:r>
            <w:proofErr w:type="gramStart"/>
            <w:r w:rsidRPr="00A321CA">
              <w:rPr>
                <w:rFonts w:ascii="Calibri" w:hAnsi="Calibri" w:cs="Calibri"/>
                <w:color w:val="000000"/>
                <w:sz w:val="20"/>
                <w:szCs w:val="20"/>
              </w:rPr>
              <w:t>general purpose</w:t>
            </w:r>
            <w:proofErr w:type="gramEnd"/>
            <w:r w:rsidRPr="00A321CA">
              <w:rPr>
                <w:rFonts w:ascii="Calibri" w:hAnsi="Calibri" w:cs="Calibri"/>
                <w:color w:val="000000"/>
                <w:sz w:val="20"/>
                <w:szCs w:val="20"/>
              </w:rPr>
              <w:t xml:space="preserve"> equipment</w:t>
            </w:r>
            <w:r>
              <w:rPr>
                <w:rFonts w:ascii="Calibri" w:hAnsi="Calibri" w:cs="Calibri"/>
                <w:color w:val="000000"/>
                <w:sz w:val="20"/>
                <w:szCs w:val="20"/>
              </w:rPr>
              <w:t xml:space="preserve"> or lease agreements to own (i.e., least-to-own or rent-to-own).</w:t>
            </w:r>
          </w:p>
          <w:p w14:paraId="76F35FD6" w14:textId="77777777" w:rsidR="004F33DA" w:rsidRPr="00A321CA" w:rsidRDefault="004F33DA" w:rsidP="00F3479E">
            <w:pPr>
              <w:widowControl/>
              <w:autoSpaceDE w:val="0"/>
              <w:autoSpaceDN w:val="0"/>
              <w:spacing w:line="240" w:lineRule="auto"/>
              <w:jc w:val="left"/>
              <w:textAlignment w:val="auto"/>
              <w:rPr>
                <w:rFonts w:ascii="Calibri" w:hAnsi="Calibri" w:cs="Calibri"/>
                <w:color w:val="000000"/>
                <w:sz w:val="20"/>
                <w:szCs w:val="20"/>
              </w:rPr>
            </w:pPr>
          </w:p>
          <w:p w14:paraId="71B08BF3" w14:textId="77777777" w:rsidR="004F33DA" w:rsidRPr="00A2607F" w:rsidRDefault="004F33DA" w:rsidP="00F3479E">
            <w:pPr>
              <w:widowControl/>
              <w:autoSpaceDE w:val="0"/>
              <w:autoSpaceDN w:val="0"/>
              <w:spacing w:line="240" w:lineRule="auto"/>
              <w:jc w:val="left"/>
              <w:textAlignment w:val="auto"/>
              <w:rPr>
                <w:rFonts w:ascii="Calibri" w:hAnsi="Calibri" w:cs="Calibri"/>
                <w:color w:val="000000"/>
                <w:sz w:val="20"/>
                <w:szCs w:val="20"/>
              </w:rPr>
            </w:pPr>
            <w:r w:rsidRPr="00A321CA">
              <w:rPr>
                <w:rFonts w:ascii="Calibri" w:hAnsi="Calibri" w:cs="Calibri"/>
                <w:i/>
                <w:iCs/>
                <w:color w:val="000000"/>
                <w:sz w:val="20"/>
                <w:szCs w:val="20"/>
              </w:rPr>
              <w:t xml:space="preserve">Allowable </w:t>
            </w:r>
            <w:r w:rsidRPr="00A2607F">
              <w:rPr>
                <w:rFonts w:ascii="Calibri" w:hAnsi="Calibri" w:cs="Calibri"/>
                <w:color w:val="000000"/>
                <w:sz w:val="20"/>
                <w:szCs w:val="20"/>
              </w:rPr>
              <w:t xml:space="preserve">for rental costs of </w:t>
            </w:r>
            <w:proofErr w:type="gramStart"/>
            <w:r w:rsidRPr="00A2607F">
              <w:rPr>
                <w:rFonts w:ascii="Calibri" w:hAnsi="Calibri" w:cs="Calibri"/>
                <w:color w:val="000000"/>
                <w:sz w:val="20"/>
                <w:szCs w:val="20"/>
              </w:rPr>
              <w:t>general purpose</w:t>
            </w:r>
            <w:proofErr w:type="gramEnd"/>
            <w:r w:rsidRPr="00A2607F">
              <w:rPr>
                <w:rFonts w:ascii="Calibri" w:hAnsi="Calibri" w:cs="Calibri"/>
                <w:color w:val="000000"/>
                <w:sz w:val="20"/>
                <w:szCs w:val="20"/>
              </w:rPr>
              <w:t xml:space="preserve"> equipment when provided in the approved budget or with prior written approval. Vehicles may be leased but not purchased. The lease or rental agreement must terminate at the end of the grant cycle. </w:t>
            </w:r>
          </w:p>
          <w:p w14:paraId="1CF5E92F" w14:textId="77777777" w:rsidR="004F33DA" w:rsidRDefault="004F33DA" w:rsidP="00F3479E">
            <w:pPr>
              <w:widowControl/>
              <w:autoSpaceDE w:val="0"/>
              <w:autoSpaceDN w:val="0"/>
              <w:spacing w:line="240" w:lineRule="auto"/>
              <w:jc w:val="left"/>
              <w:textAlignment w:val="auto"/>
              <w:rPr>
                <w:rFonts w:ascii="Calibri" w:hAnsi="Calibri" w:cs="Calibri"/>
                <w:color w:val="000000"/>
                <w:sz w:val="20"/>
                <w:szCs w:val="20"/>
              </w:rPr>
            </w:pPr>
            <w:r w:rsidRPr="00A2607F">
              <w:rPr>
                <w:rFonts w:ascii="Calibri" w:hAnsi="Calibri" w:cs="Calibri"/>
                <w:color w:val="000000"/>
                <w:sz w:val="20"/>
                <w:szCs w:val="20"/>
              </w:rPr>
              <w:t xml:space="preserve">For vehicle and equipment leases or rentals with an acquisition cost that equals or exceeds $5,000, rates should be </w:t>
            </w:r>
            <w:proofErr w:type="gramStart"/>
            <w:r w:rsidRPr="00A2607F">
              <w:rPr>
                <w:rFonts w:ascii="Calibri" w:hAnsi="Calibri" w:cs="Calibri"/>
                <w:color w:val="000000"/>
                <w:sz w:val="20"/>
                <w:szCs w:val="20"/>
              </w:rPr>
              <w:t>in light of</w:t>
            </w:r>
            <w:proofErr w:type="gramEnd"/>
            <w:r w:rsidRPr="00A2607F">
              <w:rPr>
                <w:rFonts w:ascii="Calibri" w:hAnsi="Calibri" w:cs="Calibri"/>
                <w:color w:val="000000"/>
                <w:sz w:val="20"/>
                <w:szCs w:val="20"/>
              </w:rPr>
              <w:t xml:space="preserve"> factors such as: rental costs of comparable vehicles and equipment, if any; market conditions in the area; alternatives available; and the type, life expectancy, condition, and value of the vehicle or equipment leased. </w:t>
            </w:r>
          </w:p>
          <w:p w14:paraId="20FF65F3" w14:textId="77777777" w:rsidR="004F33DA" w:rsidRPr="00A321CA" w:rsidRDefault="004F33DA" w:rsidP="00F3479E">
            <w:pPr>
              <w:widowControl/>
              <w:autoSpaceDE w:val="0"/>
              <w:autoSpaceDN w:val="0"/>
              <w:spacing w:line="240" w:lineRule="auto"/>
              <w:jc w:val="left"/>
              <w:textAlignment w:val="auto"/>
              <w:rPr>
                <w:rFonts w:ascii="Calibri" w:hAnsi="Calibri" w:cs="Calibri"/>
                <w:color w:val="000000"/>
                <w:sz w:val="20"/>
                <w:szCs w:val="20"/>
              </w:rPr>
            </w:pPr>
          </w:p>
          <w:p w14:paraId="00F6E5C3" w14:textId="77777777" w:rsidR="004F33DA" w:rsidRPr="00B82AB9" w:rsidRDefault="004F33DA" w:rsidP="00F3479E">
            <w:pPr>
              <w:widowControl/>
              <w:autoSpaceDE w:val="0"/>
              <w:autoSpaceDN w:val="0"/>
              <w:spacing w:line="240" w:lineRule="auto"/>
              <w:jc w:val="left"/>
              <w:textAlignment w:val="auto"/>
              <w:rPr>
                <w:rFonts w:ascii="Calibri" w:hAnsi="Calibri" w:cs="Calibri"/>
                <w:color w:val="000000"/>
                <w:sz w:val="20"/>
                <w:szCs w:val="20"/>
              </w:rPr>
            </w:pPr>
            <w:r w:rsidRPr="00A321CA">
              <w:rPr>
                <w:rFonts w:ascii="Calibri" w:hAnsi="Calibri" w:cs="Calibri"/>
                <w:i/>
                <w:iCs/>
                <w:color w:val="000000"/>
                <w:sz w:val="20"/>
                <w:szCs w:val="20"/>
              </w:rPr>
              <w:t xml:space="preserve">Allowable </w:t>
            </w:r>
            <w:r w:rsidRPr="00B82AB9">
              <w:rPr>
                <w:rFonts w:ascii="Calibri" w:hAnsi="Calibri" w:cs="Calibri"/>
                <w:color w:val="000000"/>
                <w:sz w:val="20"/>
                <w:szCs w:val="20"/>
              </w:rPr>
              <w:t xml:space="preserve">when provided in the approved budget or with prior written approval for acquisition costs and rental costs of special purpose equipment provided the following criteria is met: </w:t>
            </w:r>
          </w:p>
          <w:p w14:paraId="1AD90C16" w14:textId="77777777" w:rsidR="004F33DA" w:rsidRPr="00B82AB9" w:rsidRDefault="004F33DA" w:rsidP="00F3479E">
            <w:pPr>
              <w:widowControl/>
              <w:autoSpaceDE w:val="0"/>
              <w:autoSpaceDN w:val="0"/>
              <w:spacing w:line="240" w:lineRule="auto"/>
              <w:jc w:val="left"/>
              <w:textAlignment w:val="auto"/>
              <w:rPr>
                <w:rFonts w:ascii="Calibri" w:hAnsi="Calibri" w:cs="Calibri"/>
                <w:color w:val="000000"/>
                <w:sz w:val="20"/>
                <w:szCs w:val="20"/>
              </w:rPr>
            </w:pPr>
            <w:r w:rsidRPr="00B82AB9">
              <w:rPr>
                <w:rFonts w:ascii="Calibri" w:hAnsi="Calibri" w:cs="Calibri"/>
                <w:color w:val="000000"/>
                <w:sz w:val="20"/>
                <w:szCs w:val="20"/>
              </w:rPr>
              <w:t xml:space="preserve">1) Necessary for the research, scientific, or other technical activities of the grant </w:t>
            </w:r>
            <w:proofErr w:type="gramStart"/>
            <w:r w:rsidRPr="00B82AB9">
              <w:rPr>
                <w:rFonts w:ascii="Calibri" w:hAnsi="Calibri" w:cs="Calibri"/>
                <w:color w:val="000000"/>
                <w:sz w:val="20"/>
                <w:szCs w:val="20"/>
              </w:rPr>
              <w:t>agreement;</w:t>
            </w:r>
            <w:proofErr w:type="gramEnd"/>
            <w:r w:rsidRPr="00B82AB9">
              <w:rPr>
                <w:rFonts w:ascii="Calibri" w:hAnsi="Calibri" w:cs="Calibri"/>
                <w:color w:val="000000"/>
                <w:sz w:val="20"/>
                <w:szCs w:val="20"/>
              </w:rPr>
              <w:t xml:space="preserve"> </w:t>
            </w:r>
          </w:p>
          <w:p w14:paraId="13B15BD9" w14:textId="77777777" w:rsidR="004F33DA" w:rsidRPr="00B82AB9" w:rsidRDefault="004F33DA" w:rsidP="00F3479E">
            <w:pPr>
              <w:widowControl/>
              <w:autoSpaceDE w:val="0"/>
              <w:autoSpaceDN w:val="0"/>
              <w:spacing w:line="240" w:lineRule="auto"/>
              <w:jc w:val="left"/>
              <w:textAlignment w:val="auto"/>
              <w:rPr>
                <w:rFonts w:ascii="Calibri" w:hAnsi="Calibri" w:cs="Calibri"/>
                <w:color w:val="000000"/>
                <w:sz w:val="20"/>
                <w:szCs w:val="20"/>
              </w:rPr>
            </w:pPr>
            <w:r w:rsidRPr="00B82AB9">
              <w:rPr>
                <w:rFonts w:ascii="Calibri" w:hAnsi="Calibri" w:cs="Calibri"/>
                <w:color w:val="000000"/>
                <w:sz w:val="20"/>
                <w:szCs w:val="20"/>
              </w:rPr>
              <w:t xml:space="preserve">2) Not otherwise reasonably available and </w:t>
            </w:r>
            <w:proofErr w:type="gramStart"/>
            <w:r w:rsidRPr="00B82AB9">
              <w:rPr>
                <w:rFonts w:ascii="Calibri" w:hAnsi="Calibri" w:cs="Calibri"/>
                <w:color w:val="000000"/>
                <w:sz w:val="20"/>
                <w:szCs w:val="20"/>
              </w:rPr>
              <w:t>accessible;</w:t>
            </w:r>
            <w:proofErr w:type="gramEnd"/>
            <w:r w:rsidRPr="00B82AB9">
              <w:rPr>
                <w:rFonts w:ascii="Calibri" w:hAnsi="Calibri" w:cs="Calibri"/>
                <w:color w:val="000000"/>
                <w:sz w:val="20"/>
                <w:szCs w:val="20"/>
              </w:rPr>
              <w:t xml:space="preserve"> </w:t>
            </w:r>
          </w:p>
          <w:p w14:paraId="161D4720" w14:textId="77777777" w:rsidR="004F33DA" w:rsidRDefault="004F33DA" w:rsidP="00F3479E">
            <w:pPr>
              <w:pStyle w:val="Default"/>
              <w:spacing w:line="240" w:lineRule="auto"/>
              <w:jc w:val="left"/>
              <w:rPr>
                <w:rFonts w:ascii="Calibri" w:hAnsi="Calibri" w:cs="Calibri"/>
                <w:sz w:val="20"/>
                <w:szCs w:val="20"/>
              </w:rPr>
            </w:pPr>
            <w:r w:rsidRPr="00B82AB9">
              <w:rPr>
                <w:rFonts w:ascii="Calibri" w:hAnsi="Calibri" w:cs="Calibri"/>
                <w:sz w:val="20"/>
                <w:szCs w:val="20"/>
              </w:rPr>
              <w:t xml:space="preserve">3) The type of equipment is normally charged as a direct cost by the </w:t>
            </w:r>
            <w:proofErr w:type="gramStart"/>
            <w:r w:rsidRPr="00B82AB9">
              <w:rPr>
                <w:rFonts w:ascii="Calibri" w:hAnsi="Calibri" w:cs="Calibri"/>
                <w:sz w:val="20"/>
                <w:szCs w:val="20"/>
              </w:rPr>
              <w:t>organization;</w:t>
            </w:r>
            <w:proofErr w:type="gramEnd"/>
          </w:p>
          <w:p w14:paraId="7C3E43B1" w14:textId="77777777" w:rsidR="004F33DA" w:rsidRPr="00FB4257" w:rsidRDefault="004F33DA" w:rsidP="00F3479E">
            <w:pPr>
              <w:pStyle w:val="Default"/>
              <w:spacing w:line="240" w:lineRule="auto"/>
              <w:jc w:val="left"/>
              <w:rPr>
                <w:rFonts w:ascii="Calibri" w:hAnsi="Calibri" w:cs="Calibri"/>
                <w:sz w:val="20"/>
                <w:szCs w:val="20"/>
              </w:rPr>
            </w:pPr>
            <w:r w:rsidRPr="00FB4257">
              <w:rPr>
                <w:rFonts w:ascii="Calibri" w:hAnsi="Calibri" w:cs="Calibri"/>
                <w:sz w:val="20"/>
                <w:szCs w:val="20"/>
              </w:rPr>
              <w:t xml:space="preserve">4) Acquired in accordance with organizational </w:t>
            </w:r>
            <w:proofErr w:type="gramStart"/>
            <w:r w:rsidRPr="00FB4257">
              <w:rPr>
                <w:rFonts w:ascii="Calibri" w:hAnsi="Calibri" w:cs="Calibri"/>
                <w:sz w:val="20"/>
                <w:szCs w:val="20"/>
              </w:rPr>
              <w:t>practices;</w:t>
            </w:r>
            <w:proofErr w:type="gramEnd"/>
            <w:r w:rsidRPr="00FB4257">
              <w:rPr>
                <w:rFonts w:ascii="Calibri" w:hAnsi="Calibri" w:cs="Calibri"/>
                <w:sz w:val="20"/>
                <w:szCs w:val="20"/>
              </w:rPr>
              <w:t xml:space="preserve"> </w:t>
            </w:r>
          </w:p>
          <w:p w14:paraId="7BB7D42C" w14:textId="77777777" w:rsidR="004F33DA" w:rsidRPr="00FB4257" w:rsidRDefault="004F33DA" w:rsidP="00F3479E">
            <w:pPr>
              <w:pStyle w:val="Default"/>
              <w:spacing w:line="240" w:lineRule="auto"/>
              <w:jc w:val="left"/>
              <w:rPr>
                <w:rFonts w:ascii="Calibri" w:hAnsi="Calibri" w:cs="Calibri"/>
                <w:sz w:val="20"/>
                <w:szCs w:val="20"/>
              </w:rPr>
            </w:pPr>
            <w:r w:rsidRPr="00FB4257">
              <w:rPr>
                <w:rFonts w:ascii="Calibri" w:hAnsi="Calibri" w:cs="Calibri"/>
                <w:sz w:val="20"/>
                <w:szCs w:val="20"/>
              </w:rPr>
              <w:t xml:space="preserve">5) Must only be used to solely meet the legislative purpose of the grant program and objectives of the grant </w:t>
            </w:r>
            <w:proofErr w:type="gramStart"/>
            <w:r w:rsidRPr="00FB4257">
              <w:rPr>
                <w:rFonts w:ascii="Calibri" w:hAnsi="Calibri" w:cs="Calibri"/>
                <w:sz w:val="20"/>
                <w:szCs w:val="20"/>
              </w:rPr>
              <w:t>agreement;</w:t>
            </w:r>
            <w:proofErr w:type="gramEnd"/>
            <w:r w:rsidRPr="00FB4257">
              <w:rPr>
                <w:rFonts w:ascii="Calibri" w:hAnsi="Calibri" w:cs="Calibri"/>
                <w:sz w:val="20"/>
                <w:szCs w:val="20"/>
              </w:rPr>
              <w:t xml:space="preserve"> </w:t>
            </w:r>
          </w:p>
          <w:p w14:paraId="56538FBF" w14:textId="77777777" w:rsidR="004F33DA" w:rsidRPr="00FB4257" w:rsidRDefault="004F33DA" w:rsidP="00F3479E">
            <w:pPr>
              <w:pStyle w:val="Default"/>
              <w:spacing w:line="240" w:lineRule="auto"/>
              <w:jc w:val="left"/>
              <w:rPr>
                <w:rFonts w:ascii="Calibri" w:hAnsi="Calibri" w:cs="Calibri"/>
                <w:sz w:val="20"/>
                <w:szCs w:val="20"/>
              </w:rPr>
            </w:pPr>
            <w:r w:rsidRPr="00FB4257">
              <w:rPr>
                <w:rFonts w:ascii="Calibri" w:hAnsi="Calibri" w:cs="Calibri"/>
                <w:sz w:val="20"/>
                <w:szCs w:val="20"/>
              </w:rPr>
              <w:t xml:space="preserve">6) More than one single commercial organization, commercial product, or individual must benefit from the use of the </w:t>
            </w:r>
            <w:proofErr w:type="gramStart"/>
            <w:r w:rsidRPr="00FB4257">
              <w:rPr>
                <w:rFonts w:ascii="Calibri" w:hAnsi="Calibri" w:cs="Calibri"/>
                <w:sz w:val="20"/>
                <w:szCs w:val="20"/>
              </w:rPr>
              <w:t>equipment;</w:t>
            </w:r>
            <w:proofErr w:type="gramEnd"/>
            <w:r w:rsidRPr="00FB4257">
              <w:rPr>
                <w:rFonts w:ascii="Calibri" w:hAnsi="Calibri" w:cs="Calibri"/>
                <w:sz w:val="20"/>
                <w:szCs w:val="20"/>
              </w:rPr>
              <w:t xml:space="preserve"> </w:t>
            </w:r>
          </w:p>
          <w:p w14:paraId="5EBE84A7" w14:textId="77777777" w:rsidR="004F33DA" w:rsidRPr="00FB4257" w:rsidRDefault="004F33DA" w:rsidP="00F3479E">
            <w:pPr>
              <w:pStyle w:val="Default"/>
              <w:spacing w:line="240" w:lineRule="auto"/>
              <w:jc w:val="left"/>
              <w:rPr>
                <w:rFonts w:ascii="Calibri" w:hAnsi="Calibri" w:cs="Calibri"/>
                <w:sz w:val="20"/>
                <w:szCs w:val="20"/>
              </w:rPr>
            </w:pPr>
            <w:r w:rsidRPr="00FB4257">
              <w:rPr>
                <w:rFonts w:ascii="Calibri" w:hAnsi="Calibri" w:cs="Calibri"/>
                <w:sz w:val="20"/>
                <w:szCs w:val="20"/>
              </w:rPr>
              <w:t xml:space="preserve">7) Must not use special purpose equipment acquired with grant funds to provide services for a fee to compete unfairly with private companies that provide equivalent services; and </w:t>
            </w:r>
          </w:p>
          <w:p w14:paraId="4DF3D495" w14:textId="77777777" w:rsidR="004F33DA" w:rsidRPr="00547110" w:rsidRDefault="004F33DA" w:rsidP="00F3479E">
            <w:pPr>
              <w:pStyle w:val="Default"/>
              <w:spacing w:line="240" w:lineRule="auto"/>
              <w:jc w:val="left"/>
              <w:rPr>
                <w:rFonts w:ascii="Calibri" w:hAnsi="Calibri" w:cs="Calibri"/>
                <w:sz w:val="20"/>
                <w:szCs w:val="20"/>
              </w:rPr>
            </w:pPr>
            <w:r w:rsidRPr="00FB4257">
              <w:rPr>
                <w:rFonts w:ascii="Calibri" w:hAnsi="Calibri" w:cs="Calibri"/>
                <w:sz w:val="20"/>
                <w:szCs w:val="20"/>
              </w:rPr>
              <w:t>8) Equipment is subject to the full range of acquisition, use, management, and disposition requirements under 2 CFR § 200.313 as applicable.</w:t>
            </w:r>
          </w:p>
          <w:p w14:paraId="1E2F30C5" w14:textId="77777777" w:rsidR="004F33DA" w:rsidRPr="00A321CA" w:rsidRDefault="004F33DA" w:rsidP="00F3479E">
            <w:pPr>
              <w:pStyle w:val="Default"/>
              <w:spacing w:line="240" w:lineRule="auto"/>
              <w:jc w:val="left"/>
              <w:rPr>
                <w:rFonts w:ascii="Calibri" w:hAnsi="Calibri" w:cs="Calibri"/>
                <w:sz w:val="20"/>
                <w:szCs w:val="20"/>
              </w:rPr>
            </w:pPr>
          </w:p>
          <w:p w14:paraId="136ECAD6" w14:textId="77777777" w:rsidR="004F33DA" w:rsidRPr="00B82AB9" w:rsidRDefault="004F33DA" w:rsidP="00F3479E">
            <w:pPr>
              <w:pStyle w:val="Default"/>
              <w:spacing w:line="240" w:lineRule="auto"/>
              <w:jc w:val="left"/>
              <w:rPr>
                <w:rFonts w:ascii="Calibri" w:hAnsi="Calibri" w:cs="Calibri"/>
                <w:b/>
                <w:bCs/>
                <w:sz w:val="20"/>
                <w:szCs w:val="20"/>
              </w:rPr>
            </w:pPr>
            <w:r w:rsidRPr="00B82AB9">
              <w:rPr>
                <w:rFonts w:ascii="Calibri" w:hAnsi="Calibri" w:cs="Calibri"/>
                <w:b/>
                <w:bCs/>
                <w:sz w:val="20"/>
                <w:szCs w:val="20"/>
              </w:rPr>
              <w:t xml:space="preserve">Definitions </w:t>
            </w:r>
          </w:p>
          <w:p w14:paraId="1C684258" w14:textId="77777777" w:rsidR="004F33DA" w:rsidRPr="00B82AB9" w:rsidRDefault="004F33DA" w:rsidP="00F3479E">
            <w:pPr>
              <w:pStyle w:val="Default"/>
              <w:spacing w:line="240" w:lineRule="auto"/>
              <w:jc w:val="left"/>
              <w:rPr>
                <w:rFonts w:ascii="Calibri" w:hAnsi="Calibri" w:cs="Calibri"/>
                <w:sz w:val="20"/>
                <w:szCs w:val="20"/>
              </w:rPr>
            </w:pPr>
            <w:r w:rsidRPr="00547110">
              <w:rPr>
                <w:rFonts w:ascii="Calibri" w:hAnsi="Calibri" w:cs="Calibri"/>
                <w:i/>
                <w:iCs/>
                <w:sz w:val="20"/>
                <w:szCs w:val="20"/>
              </w:rPr>
              <w:t>Equipment</w:t>
            </w:r>
            <w:r w:rsidRPr="00B82AB9">
              <w:rPr>
                <w:rFonts w:ascii="Calibri" w:hAnsi="Calibri" w:cs="Calibri"/>
                <w:sz w:val="20"/>
                <w:szCs w:val="20"/>
              </w:rPr>
              <w:t xml:space="preserve"> is defined as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 </w:t>
            </w:r>
          </w:p>
          <w:p w14:paraId="66C5F233" w14:textId="77777777" w:rsidR="004F33DA" w:rsidRPr="00B82AB9" w:rsidRDefault="004F33DA" w:rsidP="00F3479E">
            <w:pPr>
              <w:pStyle w:val="Default"/>
              <w:spacing w:line="240" w:lineRule="auto"/>
              <w:jc w:val="left"/>
              <w:rPr>
                <w:rFonts w:ascii="Calibri" w:hAnsi="Calibri" w:cs="Calibri"/>
                <w:sz w:val="20"/>
                <w:szCs w:val="20"/>
              </w:rPr>
            </w:pPr>
            <w:r w:rsidRPr="00547110">
              <w:rPr>
                <w:rFonts w:ascii="Calibri" w:hAnsi="Calibri" w:cs="Calibri"/>
                <w:i/>
                <w:iCs/>
                <w:sz w:val="20"/>
                <w:szCs w:val="20"/>
              </w:rPr>
              <w:t>Acquisition cost</w:t>
            </w:r>
            <w:r w:rsidRPr="00B82AB9">
              <w:rPr>
                <w:rFonts w:ascii="Calibri" w:hAnsi="Calibri" w:cs="Calibri"/>
                <w:sz w:val="20"/>
                <w:szCs w:val="20"/>
              </w:rPr>
              <w:t xml:space="preserve"> means the cost of the asset including the cost to prepare the asset for its intended use. Acquisition cost for equipment includes the net invoice price of the equipment, including the any modifications, attachments, accessories, or auxiliary apparatus necessary to make it usable for its acquired purpose. </w:t>
            </w:r>
          </w:p>
          <w:p w14:paraId="52E96C43" w14:textId="77777777" w:rsidR="004F33DA" w:rsidRPr="00B82AB9" w:rsidRDefault="004F33DA" w:rsidP="00F3479E">
            <w:pPr>
              <w:pStyle w:val="Default"/>
              <w:spacing w:line="240" w:lineRule="auto"/>
              <w:jc w:val="left"/>
              <w:rPr>
                <w:rFonts w:ascii="Calibri" w:hAnsi="Calibri" w:cs="Calibri"/>
                <w:sz w:val="20"/>
                <w:szCs w:val="20"/>
              </w:rPr>
            </w:pPr>
            <w:r w:rsidRPr="00547110">
              <w:rPr>
                <w:rFonts w:ascii="Calibri" w:hAnsi="Calibri" w:cs="Calibri"/>
                <w:i/>
                <w:iCs/>
                <w:sz w:val="20"/>
                <w:szCs w:val="20"/>
              </w:rPr>
              <w:t>General Purpose Equipment</w:t>
            </w:r>
            <w:r w:rsidRPr="00B82AB9">
              <w:rPr>
                <w:rFonts w:ascii="Calibri" w:hAnsi="Calibri" w:cs="Calibri"/>
                <w:sz w:val="20"/>
                <w:szCs w:val="20"/>
              </w:rPr>
              <w:t xml:space="preserve"> means equipment that is not limited to technical activities. Examples include office equipment and furnishings, modular offices, telephone networks, information technology equipment and systems, air conditioning equipment, reproduction and printing equipment, and motor vehicles. </w:t>
            </w:r>
          </w:p>
          <w:p w14:paraId="5FEB2918" w14:textId="77777777" w:rsidR="004F33DA" w:rsidRPr="00A321CA" w:rsidRDefault="004F33DA" w:rsidP="00F3479E">
            <w:pPr>
              <w:widowControl/>
              <w:autoSpaceDE w:val="0"/>
              <w:autoSpaceDN w:val="0"/>
              <w:spacing w:line="240" w:lineRule="auto"/>
              <w:jc w:val="left"/>
              <w:textAlignment w:val="auto"/>
              <w:rPr>
                <w:rFonts w:ascii="Calibri" w:hAnsi="Calibri" w:cs="Calibri"/>
                <w:color w:val="000000"/>
                <w:sz w:val="20"/>
                <w:szCs w:val="20"/>
              </w:rPr>
            </w:pPr>
            <w:r w:rsidRPr="00547110">
              <w:rPr>
                <w:rFonts w:ascii="Calibri" w:hAnsi="Calibri" w:cs="Calibri"/>
                <w:i/>
                <w:iCs/>
                <w:sz w:val="20"/>
                <w:szCs w:val="20"/>
              </w:rPr>
              <w:t>Special Purpose Equipment</w:t>
            </w:r>
            <w:r w:rsidRPr="00B82AB9">
              <w:rPr>
                <w:rFonts w:ascii="Calibri" w:hAnsi="Calibri" w:cs="Calibri"/>
                <w:sz w:val="20"/>
                <w:szCs w:val="20"/>
              </w:rPr>
              <w:t xml:space="preserve"> is equipment used only for research, scientific, or technical activities.</w:t>
            </w:r>
          </w:p>
        </w:tc>
      </w:tr>
      <w:tr w:rsidR="004F33DA" w:rsidRPr="00A321CA" w14:paraId="393DA34C" w14:textId="77777777" w:rsidTr="00F3479E">
        <w:trPr>
          <w:trHeight w:val="1160"/>
        </w:trPr>
        <w:tc>
          <w:tcPr>
            <w:tcW w:w="2250" w:type="dxa"/>
          </w:tcPr>
          <w:p w14:paraId="673FFFFA" w14:textId="77777777" w:rsidR="004F33DA" w:rsidRPr="00A321CA" w:rsidRDefault="004F33DA" w:rsidP="00F3479E">
            <w:pPr>
              <w:widowControl/>
              <w:autoSpaceDE w:val="0"/>
              <w:autoSpaceDN w:val="0"/>
              <w:spacing w:line="240" w:lineRule="auto"/>
              <w:jc w:val="right"/>
              <w:textAlignment w:val="auto"/>
              <w:rPr>
                <w:rFonts w:ascii="Calibri" w:hAnsi="Calibri" w:cs="Calibri"/>
                <w:color w:val="000000"/>
                <w:sz w:val="20"/>
                <w:szCs w:val="20"/>
              </w:rPr>
            </w:pPr>
            <w:r w:rsidRPr="00A321CA">
              <w:rPr>
                <w:rFonts w:ascii="Calibri" w:hAnsi="Calibri" w:cs="Calibri"/>
                <w:b/>
                <w:bCs/>
                <w:color w:val="000000"/>
                <w:sz w:val="20"/>
                <w:szCs w:val="20"/>
              </w:rPr>
              <w:lastRenderedPageBreak/>
              <w:t>Equipment – Information Technology System</w:t>
            </w:r>
          </w:p>
        </w:tc>
        <w:tc>
          <w:tcPr>
            <w:tcW w:w="8100" w:type="dxa"/>
          </w:tcPr>
          <w:p w14:paraId="1D4C14A1" w14:textId="77777777" w:rsidR="004F33DA" w:rsidRPr="00A321CA" w:rsidRDefault="004F33DA" w:rsidP="00F3479E">
            <w:pPr>
              <w:pStyle w:val="Default"/>
              <w:spacing w:line="240" w:lineRule="auto"/>
              <w:jc w:val="left"/>
              <w:rPr>
                <w:rFonts w:ascii="Calibri" w:hAnsi="Calibri" w:cs="Calibri"/>
                <w:sz w:val="20"/>
                <w:szCs w:val="20"/>
              </w:rPr>
            </w:pPr>
            <w:r w:rsidRPr="00A321CA">
              <w:rPr>
                <w:rFonts w:ascii="Calibri" w:hAnsi="Calibri" w:cs="Calibri"/>
                <w:i/>
                <w:iCs/>
                <w:sz w:val="20"/>
                <w:szCs w:val="20"/>
              </w:rPr>
              <w:t xml:space="preserve">Unallowable </w:t>
            </w:r>
            <w:r w:rsidRPr="00A321CA">
              <w:rPr>
                <w:rFonts w:ascii="Calibri" w:hAnsi="Calibri" w:cs="Calibri"/>
                <w:sz w:val="20"/>
                <w:szCs w:val="20"/>
              </w:rPr>
              <w:t xml:space="preserve">for information technology systems having a useful life of more than one year and a per-unit acquisition cost that equals or exceeds the lesser of the capitalization level established in accordance </w:t>
            </w:r>
            <w:proofErr w:type="gramStart"/>
            <w:r w:rsidRPr="00A321CA">
              <w:rPr>
                <w:rFonts w:ascii="Calibri" w:hAnsi="Calibri" w:cs="Calibri"/>
                <w:sz w:val="20"/>
                <w:szCs w:val="20"/>
              </w:rPr>
              <w:t>by</w:t>
            </w:r>
            <w:proofErr w:type="gramEnd"/>
            <w:r w:rsidRPr="00A321CA">
              <w:rPr>
                <w:rFonts w:ascii="Calibri" w:hAnsi="Calibri" w:cs="Calibri"/>
                <w:sz w:val="20"/>
                <w:szCs w:val="20"/>
              </w:rPr>
              <w:t xml:space="preserve"> Generally Accepted Accounting Principles (GAAP) by the recipient for financial statement purposes or $5,000. Acquisition costs for software includes those development costs capitalized in accordance with GAAP. </w:t>
            </w:r>
          </w:p>
          <w:p w14:paraId="0AC0332B" w14:textId="77777777" w:rsidR="004F33DA" w:rsidRPr="00A321CA" w:rsidRDefault="004F33DA" w:rsidP="00F3479E">
            <w:pPr>
              <w:pStyle w:val="Default"/>
              <w:spacing w:line="240" w:lineRule="auto"/>
              <w:jc w:val="left"/>
              <w:rPr>
                <w:rFonts w:ascii="Calibri" w:hAnsi="Calibri" w:cs="Calibri"/>
                <w:sz w:val="20"/>
                <w:szCs w:val="20"/>
              </w:rPr>
            </w:pPr>
          </w:p>
          <w:p w14:paraId="0A77A176" w14:textId="77777777" w:rsidR="004F33DA" w:rsidRPr="00A321CA" w:rsidRDefault="004F33DA" w:rsidP="00F3479E">
            <w:pPr>
              <w:widowControl/>
              <w:autoSpaceDE w:val="0"/>
              <w:autoSpaceDN w:val="0"/>
              <w:spacing w:line="240" w:lineRule="auto"/>
              <w:jc w:val="left"/>
              <w:textAlignment w:val="auto"/>
              <w:rPr>
                <w:rFonts w:ascii="Calibri" w:hAnsi="Calibri" w:cs="Calibri"/>
                <w:sz w:val="20"/>
                <w:szCs w:val="20"/>
              </w:rPr>
            </w:pPr>
            <w:r w:rsidRPr="00A321CA">
              <w:rPr>
                <w:rFonts w:ascii="Calibri" w:hAnsi="Calibri" w:cs="Calibri"/>
                <w:sz w:val="20"/>
                <w:szCs w:val="20"/>
              </w:rPr>
              <w:t xml:space="preserve">Information technology systems include computing devices, ancillary equipment, software, firmware, and similar procedures, services (including support services), and related resources. Computing devices means machines used to acquire, store, analyze, process, and publish data and other information electronically, including accessories (or “peripherals”) for printing, </w:t>
            </w:r>
            <w:proofErr w:type="gramStart"/>
            <w:r w:rsidRPr="00A321CA">
              <w:rPr>
                <w:rFonts w:ascii="Calibri" w:hAnsi="Calibri" w:cs="Calibri"/>
                <w:sz w:val="20"/>
                <w:szCs w:val="20"/>
              </w:rPr>
              <w:t>transmitting</w:t>
            </w:r>
            <w:proofErr w:type="gramEnd"/>
            <w:r w:rsidRPr="00A321CA">
              <w:rPr>
                <w:rFonts w:ascii="Calibri" w:hAnsi="Calibri" w:cs="Calibri"/>
                <w:sz w:val="20"/>
                <w:szCs w:val="20"/>
              </w:rPr>
              <w:t xml:space="preserve"> and receiving, or storing electronic information. Examples of unallowable information technology systems include service contracts, operating systems, printers, and computers that have an acquisition cost of $5,000 or more. </w:t>
            </w:r>
          </w:p>
          <w:p w14:paraId="2A79DF1F" w14:textId="77777777" w:rsidR="004F33DA" w:rsidRPr="00A321CA" w:rsidRDefault="004F33DA" w:rsidP="00F3479E">
            <w:pPr>
              <w:widowControl/>
              <w:autoSpaceDE w:val="0"/>
              <w:autoSpaceDN w:val="0"/>
              <w:spacing w:line="240" w:lineRule="auto"/>
              <w:jc w:val="left"/>
              <w:textAlignment w:val="auto"/>
              <w:rPr>
                <w:rFonts w:ascii="Calibri" w:hAnsi="Calibri" w:cs="Calibri"/>
                <w:sz w:val="20"/>
                <w:szCs w:val="20"/>
              </w:rPr>
            </w:pPr>
          </w:p>
          <w:p w14:paraId="20716508" w14:textId="77777777" w:rsidR="004F33DA" w:rsidRPr="00A321CA" w:rsidRDefault="004F33DA" w:rsidP="00F3479E">
            <w:pPr>
              <w:widowControl/>
              <w:autoSpaceDE w:val="0"/>
              <w:autoSpaceDN w:val="0"/>
              <w:spacing w:line="240" w:lineRule="auto"/>
              <w:jc w:val="left"/>
              <w:textAlignment w:val="auto"/>
              <w:rPr>
                <w:rFonts w:ascii="Calibri" w:hAnsi="Calibri" w:cs="Calibri"/>
                <w:color w:val="000000"/>
                <w:sz w:val="20"/>
                <w:szCs w:val="20"/>
              </w:rPr>
            </w:pPr>
            <w:r w:rsidRPr="00A321CA">
              <w:rPr>
                <w:rFonts w:ascii="Calibri" w:hAnsi="Calibri" w:cs="Calibri"/>
                <w:i/>
                <w:iCs/>
                <w:sz w:val="20"/>
                <w:szCs w:val="20"/>
              </w:rPr>
              <w:t xml:space="preserve">Allowable </w:t>
            </w:r>
            <w:r w:rsidRPr="00A321CA">
              <w:rPr>
                <w:rFonts w:ascii="Calibri" w:hAnsi="Calibri" w:cs="Calibri"/>
                <w:sz w:val="20"/>
                <w:szCs w:val="20"/>
              </w:rPr>
              <w:t xml:space="preserve">for website development, mobile apps, etc., that are not considered to be information technology systems, but rather social media applications. </w:t>
            </w:r>
          </w:p>
        </w:tc>
      </w:tr>
    </w:tbl>
    <w:p w14:paraId="0CAE67B7" w14:textId="77777777" w:rsidR="004F33DA" w:rsidRPr="00EA63FF" w:rsidRDefault="004F33DA" w:rsidP="004F33DA">
      <w:pPr>
        <w:rPr>
          <w:vanish/>
        </w:rPr>
      </w:pP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8100"/>
      </w:tblGrid>
      <w:tr w:rsidR="004F33DA" w:rsidRPr="00EA63FF" w14:paraId="54ACA101" w14:textId="77777777" w:rsidTr="00F3479E">
        <w:tc>
          <w:tcPr>
            <w:tcW w:w="2250" w:type="dxa"/>
            <w:shd w:val="clear" w:color="auto" w:fill="auto"/>
          </w:tcPr>
          <w:p w14:paraId="19CD8770" w14:textId="77777777" w:rsidR="004F33DA" w:rsidRPr="00547110" w:rsidRDefault="004F33DA" w:rsidP="00F3479E">
            <w:pPr>
              <w:autoSpaceDE w:val="0"/>
              <w:autoSpaceDN w:val="0"/>
              <w:spacing w:line="240" w:lineRule="auto"/>
              <w:jc w:val="right"/>
              <w:rPr>
                <w:rFonts w:ascii="Calibri" w:hAnsi="Calibri" w:cs="Calibri"/>
                <w:color w:val="000000"/>
                <w:sz w:val="20"/>
              </w:rPr>
            </w:pPr>
            <w:r w:rsidRPr="00EA63FF">
              <w:rPr>
                <w:rFonts w:ascii="Calibri" w:hAnsi="Calibri" w:cs="Calibri"/>
                <w:b/>
                <w:bCs/>
                <w:color w:val="000000"/>
                <w:sz w:val="20"/>
              </w:rPr>
              <w:t>Farm, Gardening, Production Activities and Supplies</w:t>
            </w:r>
          </w:p>
        </w:tc>
        <w:tc>
          <w:tcPr>
            <w:tcW w:w="8100" w:type="dxa"/>
            <w:shd w:val="clear" w:color="auto" w:fill="auto"/>
          </w:tcPr>
          <w:p w14:paraId="7CD190C0" w14:textId="77777777" w:rsidR="004F33DA" w:rsidRPr="00A75390" w:rsidRDefault="004F33DA" w:rsidP="00F3479E">
            <w:pPr>
              <w:autoSpaceDE w:val="0"/>
              <w:autoSpaceDN w:val="0"/>
              <w:spacing w:line="240" w:lineRule="auto"/>
              <w:rPr>
                <w:rFonts w:ascii="Calibri" w:hAnsi="Calibri" w:cs="Calibri"/>
                <w:color w:val="000000"/>
                <w:sz w:val="20"/>
              </w:rPr>
            </w:pPr>
            <w:r w:rsidRPr="00547110">
              <w:rPr>
                <w:rFonts w:ascii="Calibri" w:hAnsi="Calibri" w:cs="Calibri"/>
                <w:i/>
                <w:iCs/>
                <w:color w:val="000000"/>
                <w:sz w:val="20"/>
              </w:rPr>
              <w:t>Unallowable</w:t>
            </w:r>
            <w:r w:rsidRPr="00547110">
              <w:rPr>
                <w:rFonts w:ascii="Calibri" w:hAnsi="Calibri" w:cs="Calibri"/>
                <w:color w:val="000000"/>
                <w:sz w:val="20"/>
              </w:rPr>
              <w:t xml:space="preserve"> for farm, gardening, and production activities, materials, supplies, and other related costs including but not limited to soil, seeds, shovels, gardening tools, greenhouses, and hoop houses.  </w:t>
            </w:r>
          </w:p>
          <w:p w14:paraId="0EAB1761" w14:textId="77777777" w:rsidR="004F33DA" w:rsidRPr="00547110" w:rsidRDefault="004F33DA" w:rsidP="00F3479E">
            <w:pPr>
              <w:autoSpaceDE w:val="0"/>
              <w:autoSpaceDN w:val="0"/>
              <w:spacing w:line="240" w:lineRule="auto"/>
              <w:rPr>
                <w:rFonts w:ascii="Calibri" w:hAnsi="Calibri" w:cs="Calibri"/>
                <w:color w:val="000000"/>
                <w:sz w:val="20"/>
              </w:rPr>
            </w:pPr>
            <w:r w:rsidRPr="00A75390">
              <w:rPr>
                <w:rFonts w:ascii="Calibri" w:hAnsi="Calibri" w:cs="Calibri"/>
                <w:i/>
                <w:iCs/>
                <w:color w:val="000000"/>
                <w:sz w:val="20"/>
              </w:rPr>
              <w:t>Allowable</w:t>
            </w:r>
            <w:r w:rsidRPr="00A75390">
              <w:rPr>
                <w:rFonts w:ascii="Calibri" w:hAnsi="Calibri" w:cs="Calibri"/>
                <w:color w:val="000000"/>
                <w:sz w:val="20"/>
              </w:rPr>
              <w:t xml:space="preserve"> where the specific cost is considered to meet the requirements of the sponsored program and are authorized in the approved budget or with prior written approval</w:t>
            </w:r>
            <w:r w:rsidRPr="00EA63FF">
              <w:rPr>
                <w:rFonts w:ascii="Calibri" w:hAnsi="Calibri" w:cs="Calibri"/>
                <w:color w:val="000000"/>
                <w:sz w:val="20"/>
              </w:rPr>
              <w:t>.</w:t>
            </w:r>
          </w:p>
        </w:tc>
      </w:tr>
    </w:tbl>
    <w:p w14:paraId="7DA9891D" w14:textId="77777777" w:rsidR="004F33DA" w:rsidRPr="00EA63FF" w:rsidRDefault="004F33DA" w:rsidP="004F33DA">
      <w:pPr>
        <w:rPr>
          <w:vanish/>
        </w:rPr>
      </w:pP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8100"/>
      </w:tblGrid>
      <w:tr w:rsidR="004F33DA" w:rsidRPr="00A321CA" w14:paraId="6291FDCD" w14:textId="77777777" w:rsidTr="00F3479E">
        <w:trPr>
          <w:trHeight w:val="380"/>
        </w:trPr>
        <w:tc>
          <w:tcPr>
            <w:tcW w:w="2250" w:type="dxa"/>
          </w:tcPr>
          <w:p w14:paraId="6BFE10FF" w14:textId="77777777" w:rsidR="004F33DA" w:rsidRPr="00A321CA" w:rsidRDefault="004F33DA" w:rsidP="00F3479E">
            <w:pPr>
              <w:widowControl/>
              <w:autoSpaceDE w:val="0"/>
              <w:autoSpaceDN w:val="0"/>
              <w:spacing w:line="240" w:lineRule="auto"/>
              <w:jc w:val="right"/>
              <w:textAlignment w:val="auto"/>
              <w:rPr>
                <w:rFonts w:ascii="Calibri" w:hAnsi="Calibri" w:cs="Calibri"/>
                <w:b/>
                <w:bCs/>
                <w:color w:val="000000"/>
                <w:sz w:val="20"/>
                <w:szCs w:val="20"/>
              </w:rPr>
            </w:pPr>
            <w:r w:rsidRPr="00A321CA">
              <w:rPr>
                <w:rFonts w:ascii="Calibri" w:hAnsi="Calibri" w:cs="Calibri"/>
                <w:b/>
                <w:bCs/>
                <w:color w:val="000000"/>
                <w:sz w:val="20"/>
                <w:szCs w:val="20"/>
              </w:rPr>
              <w:t xml:space="preserve">Fines, Penalties, Damages and Other Settlements </w:t>
            </w:r>
          </w:p>
        </w:tc>
        <w:tc>
          <w:tcPr>
            <w:tcW w:w="8100" w:type="dxa"/>
          </w:tcPr>
          <w:p w14:paraId="0CDF0365" w14:textId="77777777" w:rsidR="004F33DA" w:rsidRPr="00A321CA" w:rsidRDefault="004F33DA" w:rsidP="00F3479E">
            <w:pPr>
              <w:widowControl/>
              <w:autoSpaceDE w:val="0"/>
              <w:autoSpaceDN w:val="0"/>
              <w:spacing w:line="240" w:lineRule="auto"/>
              <w:jc w:val="left"/>
              <w:textAlignment w:val="auto"/>
              <w:rPr>
                <w:rFonts w:ascii="Calibri" w:hAnsi="Calibri" w:cs="Calibri"/>
                <w:i/>
                <w:iCs/>
                <w:color w:val="000000"/>
                <w:sz w:val="20"/>
                <w:szCs w:val="20"/>
              </w:rPr>
            </w:pPr>
            <w:r w:rsidRPr="00A321CA">
              <w:rPr>
                <w:rFonts w:ascii="Calibri" w:hAnsi="Calibri" w:cs="Calibri"/>
                <w:i/>
                <w:iCs/>
                <w:sz w:val="20"/>
                <w:szCs w:val="20"/>
              </w:rPr>
              <w:t xml:space="preserve">Unallowable </w:t>
            </w:r>
            <w:r w:rsidRPr="00A321CA">
              <w:rPr>
                <w:rFonts w:ascii="Calibri" w:hAnsi="Calibri" w:cs="Calibri"/>
                <w:sz w:val="20"/>
                <w:szCs w:val="20"/>
              </w:rPr>
              <w:t xml:space="preserve">for costs resulting from violations of, alleged violations of, or failure to comply with, Federal, state, tribal, </w:t>
            </w:r>
            <w:proofErr w:type="gramStart"/>
            <w:r w:rsidRPr="00A321CA">
              <w:rPr>
                <w:rFonts w:ascii="Calibri" w:hAnsi="Calibri" w:cs="Calibri"/>
                <w:sz w:val="20"/>
                <w:szCs w:val="20"/>
              </w:rPr>
              <w:t>local</w:t>
            </w:r>
            <w:proofErr w:type="gramEnd"/>
            <w:r w:rsidRPr="00A321CA">
              <w:rPr>
                <w:rFonts w:ascii="Calibri" w:hAnsi="Calibri" w:cs="Calibri"/>
                <w:sz w:val="20"/>
                <w:szCs w:val="20"/>
              </w:rPr>
              <w:t xml:space="preserve"> or foreign laws and regulations. </w:t>
            </w:r>
          </w:p>
        </w:tc>
      </w:tr>
    </w:tbl>
    <w:p w14:paraId="15C27F96" w14:textId="77777777" w:rsidR="004F33DA" w:rsidRPr="00EA63FF" w:rsidRDefault="004F33DA" w:rsidP="004F33DA">
      <w:pPr>
        <w:rPr>
          <w:vanish/>
        </w:rPr>
      </w:pP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8100"/>
      </w:tblGrid>
      <w:tr w:rsidR="004F33DA" w:rsidRPr="00832F93" w14:paraId="2F881F0B" w14:textId="77777777" w:rsidTr="00F3479E">
        <w:tc>
          <w:tcPr>
            <w:tcW w:w="2250" w:type="dxa"/>
            <w:shd w:val="clear" w:color="auto" w:fill="auto"/>
          </w:tcPr>
          <w:p w14:paraId="61A5565C"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 xml:space="preserve">Fixed Amount Subawards </w:t>
            </w:r>
          </w:p>
        </w:tc>
        <w:tc>
          <w:tcPr>
            <w:tcW w:w="8100" w:type="dxa"/>
            <w:shd w:val="clear" w:color="auto" w:fill="auto"/>
          </w:tcPr>
          <w:p w14:paraId="1EEF0275" w14:textId="77777777" w:rsidR="004F33DA" w:rsidRPr="00547110" w:rsidRDefault="004F33DA" w:rsidP="00F3479E">
            <w:pPr>
              <w:autoSpaceDE w:val="0"/>
              <w:autoSpaceDN w:val="0"/>
              <w:spacing w:line="240" w:lineRule="auto"/>
              <w:rPr>
                <w:rFonts w:ascii="Calibri" w:eastAsia="Calibri" w:hAnsi="Calibri" w:cs="Calibri"/>
                <w:color w:val="000000"/>
                <w:sz w:val="20"/>
                <w:szCs w:val="20"/>
              </w:rPr>
            </w:pPr>
            <w:r w:rsidRPr="00547110">
              <w:rPr>
                <w:rFonts w:ascii="Calibri" w:eastAsia="Calibri" w:hAnsi="Calibri" w:cs="Calibri"/>
                <w:i/>
                <w:iCs/>
                <w:color w:val="000000"/>
                <w:sz w:val="20"/>
                <w:szCs w:val="20"/>
              </w:rPr>
              <w:t>Unallowable</w:t>
            </w:r>
            <w:r w:rsidRPr="00547110">
              <w:rPr>
                <w:rFonts w:ascii="Calibri" w:eastAsia="Calibri" w:hAnsi="Calibri" w:cs="Calibri"/>
                <w:b/>
                <w:bCs/>
                <w:i/>
                <w:iCs/>
                <w:color w:val="000000"/>
                <w:sz w:val="20"/>
                <w:szCs w:val="20"/>
              </w:rPr>
              <w:t xml:space="preserve"> </w:t>
            </w:r>
            <w:r w:rsidRPr="00547110">
              <w:rPr>
                <w:rFonts w:ascii="Calibri" w:eastAsia="Calibri" w:hAnsi="Calibri" w:cs="Calibri"/>
                <w:color w:val="000000"/>
                <w:sz w:val="20"/>
                <w:szCs w:val="20"/>
              </w:rPr>
              <w:t xml:space="preserve">for cost related to fixed amount subawards. </w:t>
            </w:r>
          </w:p>
          <w:p w14:paraId="523DFFB8"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i/>
                <w:iCs/>
                <w:color w:val="000000"/>
                <w:sz w:val="20"/>
                <w:szCs w:val="20"/>
              </w:rPr>
              <w:t>Allowable</w:t>
            </w:r>
            <w:r w:rsidRPr="00A75390">
              <w:rPr>
                <w:rFonts w:ascii="Calibri" w:eastAsia="Calibri" w:hAnsi="Calibri" w:cs="Calibri"/>
                <w:b/>
                <w:bCs/>
                <w:i/>
                <w:iCs/>
                <w:color w:val="000000"/>
                <w:sz w:val="20"/>
                <w:szCs w:val="20"/>
              </w:rPr>
              <w:t xml:space="preserve"> </w:t>
            </w:r>
            <w:r w:rsidRPr="00A75390">
              <w:rPr>
                <w:rFonts w:ascii="Calibri" w:eastAsia="Calibri" w:hAnsi="Calibri" w:cs="Calibri"/>
                <w:color w:val="000000"/>
                <w:sz w:val="20"/>
                <w:szCs w:val="20"/>
              </w:rPr>
              <w:t xml:space="preserve">to meet the requirements of the sponsored program (noncompetitive) and with prior written approval. A pass-through entity may provide subawards based on fixed amounts up to the Simplified Acquisition Threshold, provided that the subawards meet the requirements for fixed amount awards in 2 CFR § 200.201 </w:t>
            </w:r>
          </w:p>
        </w:tc>
      </w:tr>
      <w:tr w:rsidR="004F33DA" w:rsidRPr="00832F93" w14:paraId="556F7B96" w14:textId="77777777" w:rsidTr="00F3479E">
        <w:tc>
          <w:tcPr>
            <w:tcW w:w="2250" w:type="dxa"/>
            <w:shd w:val="clear" w:color="auto" w:fill="auto"/>
          </w:tcPr>
          <w:p w14:paraId="141BC3BD"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 xml:space="preserve">Fundraising and Investment Management Costs </w:t>
            </w:r>
          </w:p>
        </w:tc>
        <w:tc>
          <w:tcPr>
            <w:tcW w:w="8100" w:type="dxa"/>
            <w:shd w:val="clear" w:color="auto" w:fill="auto"/>
          </w:tcPr>
          <w:p w14:paraId="0830DBDE"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547110">
              <w:rPr>
                <w:rFonts w:ascii="Calibri" w:eastAsia="Calibri" w:hAnsi="Calibri" w:cs="Calibri"/>
                <w:i/>
                <w:iCs/>
                <w:color w:val="000000"/>
                <w:sz w:val="20"/>
                <w:szCs w:val="20"/>
              </w:rPr>
              <w:t>Unallowable</w:t>
            </w:r>
            <w:r w:rsidRPr="00547110">
              <w:rPr>
                <w:rFonts w:ascii="Calibri" w:eastAsia="Calibri" w:hAnsi="Calibri" w:cs="Calibri"/>
                <w:b/>
                <w:bCs/>
                <w:i/>
                <w:iCs/>
                <w:color w:val="000000"/>
                <w:sz w:val="20"/>
                <w:szCs w:val="20"/>
              </w:rPr>
              <w:t xml:space="preserve"> </w:t>
            </w:r>
            <w:r w:rsidRPr="00547110">
              <w:rPr>
                <w:rFonts w:ascii="Calibri" w:eastAsia="Calibri" w:hAnsi="Calibri" w:cs="Calibri"/>
                <w:color w:val="000000"/>
                <w:sz w:val="20"/>
                <w:szCs w:val="20"/>
              </w:rPr>
              <w:t xml:space="preserve">for organized fundraising, including financial campaigns, solicitation of gifts and bequests, and similar expenses incurred to </w:t>
            </w:r>
            <w:r w:rsidRPr="00A75390">
              <w:rPr>
                <w:rFonts w:ascii="Calibri" w:eastAsia="Calibri" w:hAnsi="Calibri" w:cs="Calibri"/>
                <w:color w:val="000000"/>
                <w:sz w:val="20"/>
                <w:szCs w:val="20"/>
              </w:rPr>
              <w:t xml:space="preserve">raise capital or obtain contributions, regardless of the purpose for which the funds will be used. This includes salaries of personnel involved in activities to raise capital. </w:t>
            </w:r>
          </w:p>
        </w:tc>
      </w:tr>
      <w:tr w:rsidR="004F33DA" w:rsidRPr="00832F93" w14:paraId="756F82AE" w14:textId="77777777" w:rsidTr="00F3479E">
        <w:tc>
          <w:tcPr>
            <w:tcW w:w="2250" w:type="dxa"/>
            <w:shd w:val="clear" w:color="auto" w:fill="auto"/>
          </w:tcPr>
          <w:p w14:paraId="30E4FC37"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 xml:space="preserve">General Costs of Government </w:t>
            </w:r>
          </w:p>
        </w:tc>
        <w:tc>
          <w:tcPr>
            <w:tcW w:w="8100" w:type="dxa"/>
            <w:shd w:val="clear" w:color="auto" w:fill="auto"/>
          </w:tcPr>
          <w:p w14:paraId="5BAC91D6" w14:textId="77777777" w:rsidR="004F33DA" w:rsidRPr="00547110" w:rsidRDefault="004F33DA" w:rsidP="00F3479E">
            <w:pPr>
              <w:autoSpaceDE w:val="0"/>
              <w:autoSpaceDN w:val="0"/>
              <w:spacing w:line="240" w:lineRule="auto"/>
              <w:rPr>
                <w:rFonts w:ascii="Calibri" w:eastAsia="Calibri" w:hAnsi="Calibri" w:cs="Calibri"/>
                <w:color w:val="000000"/>
                <w:sz w:val="20"/>
                <w:szCs w:val="20"/>
              </w:rPr>
            </w:pPr>
            <w:r w:rsidRPr="00547110">
              <w:rPr>
                <w:rFonts w:ascii="Calibri" w:eastAsia="Calibri" w:hAnsi="Calibri" w:cs="Calibri"/>
                <w:i/>
                <w:iCs/>
                <w:color w:val="000000"/>
                <w:sz w:val="20"/>
                <w:szCs w:val="20"/>
              </w:rPr>
              <w:t>Unallowable</w:t>
            </w:r>
            <w:r w:rsidRPr="00547110">
              <w:rPr>
                <w:rFonts w:ascii="Calibri" w:eastAsia="Calibri" w:hAnsi="Calibri" w:cs="Calibri"/>
                <w:b/>
                <w:bCs/>
                <w:i/>
                <w:iCs/>
                <w:color w:val="000000"/>
                <w:sz w:val="20"/>
                <w:szCs w:val="20"/>
              </w:rPr>
              <w:t xml:space="preserve"> </w:t>
            </w:r>
            <w:r w:rsidRPr="00547110">
              <w:rPr>
                <w:rFonts w:ascii="Calibri" w:eastAsia="Calibri" w:hAnsi="Calibri" w:cs="Calibri"/>
                <w:color w:val="000000"/>
                <w:sz w:val="20"/>
                <w:szCs w:val="20"/>
              </w:rPr>
              <w:t xml:space="preserve">for: </w:t>
            </w:r>
          </w:p>
          <w:p w14:paraId="0663A001"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color w:val="000000"/>
                <w:sz w:val="20"/>
                <w:szCs w:val="20"/>
              </w:rPr>
              <w:t xml:space="preserve">1) Salaries and expenses of the Office of the Governor of a State or the chief executive of a local government or the chief executive of an Indian </w:t>
            </w:r>
            <w:proofErr w:type="gramStart"/>
            <w:r w:rsidRPr="00A75390">
              <w:rPr>
                <w:rFonts w:ascii="Calibri" w:eastAsia="Calibri" w:hAnsi="Calibri" w:cs="Calibri"/>
                <w:color w:val="000000"/>
                <w:sz w:val="20"/>
                <w:szCs w:val="20"/>
              </w:rPr>
              <w:t>tribe;</w:t>
            </w:r>
            <w:proofErr w:type="gramEnd"/>
            <w:r w:rsidRPr="00A75390">
              <w:rPr>
                <w:rFonts w:ascii="Calibri" w:eastAsia="Calibri" w:hAnsi="Calibri" w:cs="Calibri"/>
                <w:color w:val="000000"/>
                <w:sz w:val="20"/>
                <w:szCs w:val="20"/>
              </w:rPr>
              <w:t xml:space="preserve"> </w:t>
            </w:r>
          </w:p>
          <w:p w14:paraId="36FDF100"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color w:val="000000"/>
                <w:sz w:val="20"/>
                <w:szCs w:val="20"/>
              </w:rPr>
              <w:t xml:space="preserve">2) Salaries and other expenses of a </w:t>
            </w:r>
            <w:proofErr w:type="gramStart"/>
            <w:r w:rsidRPr="00A75390">
              <w:rPr>
                <w:rFonts w:ascii="Calibri" w:eastAsia="Calibri" w:hAnsi="Calibri" w:cs="Calibri"/>
                <w:color w:val="000000"/>
                <w:sz w:val="20"/>
                <w:szCs w:val="20"/>
              </w:rPr>
              <w:t>State</w:t>
            </w:r>
            <w:proofErr w:type="gramEnd"/>
            <w:r w:rsidRPr="00A75390">
              <w:rPr>
                <w:rFonts w:ascii="Calibri" w:eastAsia="Calibri" w:hAnsi="Calibri" w:cs="Calibri"/>
                <w:color w:val="000000"/>
                <w:sz w:val="20"/>
                <w:szCs w:val="20"/>
              </w:rPr>
              <w:t xml:space="preserve"> legislature, tribal council, or similar local governmental body, such as a county supervisor, city council, school board, etc., whether incurred for purposes of legislation or executive direction; </w:t>
            </w:r>
          </w:p>
          <w:p w14:paraId="47134E0A"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color w:val="000000"/>
                <w:sz w:val="20"/>
                <w:szCs w:val="20"/>
              </w:rPr>
              <w:t xml:space="preserve">3) Costs of the judicial branch of a </w:t>
            </w:r>
            <w:proofErr w:type="gramStart"/>
            <w:r w:rsidRPr="00A75390">
              <w:rPr>
                <w:rFonts w:ascii="Calibri" w:eastAsia="Calibri" w:hAnsi="Calibri" w:cs="Calibri"/>
                <w:color w:val="000000"/>
                <w:sz w:val="20"/>
                <w:szCs w:val="20"/>
              </w:rPr>
              <w:t>government;</w:t>
            </w:r>
            <w:proofErr w:type="gramEnd"/>
            <w:r w:rsidRPr="00A75390">
              <w:rPr>
                <w:rFonts w:ascii="Calibri" w:eastAsia="Calibri" w:hAnsi="Calibri" w:cs="Calibri"/>
                <w:color w:val="000000"/>
                <w:sz w:val="20"/>
                <w:szCs w:val="20"/>
              </w:rPr>
              <w:t xml:space="preserve"> </w:t>
            </w:r>
          </w:p>
          <w:p w14:paraId="4AA5A295"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color w:val="000000"/>
                <w:sz w:val="20"/>
                <w:szCs w:val="20"/>
              </w:rPr>
              <w:t xml:space="preserve">4) Costs of prosecutorial activities unless treated as a direct cost to a specific program if authorized by statute or regulation (however, this does not preclude the allowability of other legal activities of the Attorney General as described in § 200.435 Defense and prosecution of criminal and civil proceedings, claims, appeals and patent infringements); and </w:t>
            </w:r>
          </w:p>
          <w:p w14:paraId="4F5B1CDF"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color w:val="000000"/>
                <w:sz w:val="20"/>
                <w:szCs w:val="20"/>
              </w:rPr>
              <w:t xml:space="preserve">5) Costs of other general types of government services normally provided to the </w:t>
            </w:r>
            <w:proofErr w:type="gramStart"/>
            <w:r w:rsidRPr="00A75390">
              <w:rPr>
                <w:rFonts w:ascii="Calibri" w:eastAsia="Calibri" w:hAnsi="Calibri" w:cs="Calibri"/>
                <w:color w:val="000000"/>
                <w:sz w:val="20"/>
                <w:szCs w:val="20"/>
              </w:rPr>
              <w:t>general public</w:t>
            </w:r>
            <w:proofErr w:type="gramEnd"/>
            <w:r w:rsidRPr="00A75390">
              <w:rPr>
                <w:rFonts w:ascii="Calibri" w:eastAsia="Calibri" w:hAnsi="Calibri" w:cs="Calibri"/>
                <w:color w:val="000000"/>
                <w:sz w:val="20"/>
                <w:szCs w:val="20"/>
              </w:rPr>
              <w:t xml:space="preserve">, such as fire and police, unless provided for as a direct cost under a program statute or regulation. </w:t>
            </w:r>
          </w:p>
        </w:tc>
      </w:tr>
      <w:tr w:rsidR="004F33DA" w:rsidRPr="00832F93" w14:paraId="7E25501D" w14:textId="77777777" w:rsidTr="00F3479E">
        <w:tc>
          <w:tcPr>
            <w:tcW w:w="2250" w:type="dxa"/>
            <w:shd w:val="clear" w:color="auto" w:fill="auto"/>
          </w:tcPr>
          <w:p w14:paraId="51F54E16"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 xml:space="preserve">Goods or Services for Personal Use </w:t>
            </w:r>
          </w:p>
        </w:tc>
        <w:tc>
          <w:tcPr>
            <w:tcW w:w="8100" w:type="dxa"/>
            <w:shd w:val="clear" w:color="auto" w:fill="auto"/>
          </w:tcPr>
          <w:p w14:paraId="4AC18C04"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547110">
              <w:rPr>
                <w:rFonts w:ascii="Calibri" w:eastAsia="Calibri" w:hAnsi="Calibri" w:cs="Calibri"/>
                <w:i/>
                <w:iCs/>
                <w:color w:val="000000"/>
                <w:sz w:val="20"/>
                <w:szCs w:val="20"/>
              </w:rPr>
              <w:t>Unallowable</w:t>
            </w:r>
            <w:r w:rsidRPr="00547110">
              <w:rPr>
                <w:rFonts w:ascii="Calibri" w:eastAsia="Calibri" w:hAnsi="Calibri" w:cs="Calibri"/>
                <w:b/>
                <w:bCs/>
                <w:i/>
                <w:iCs/>
                <w:color w:val="000000"/>
                <w:sz w:val="20"/>
                <w:szCs w:val="20"/>
              </w:rPr>
              <w:t xml:space="preserve"> </w:t>
            </w:r>
            <w:r w:rsidRPr="00547110">
              <w:rPr>
                <w:rFonts w:ascii="Calibri" w:eastAsia="Calibri" w:hAnsi="Calibri" w:cs="Calibri"/>
                <w:color w:val="000000"/>
                <w:sz w:val="20"/>
                <w:szCs w:val="20"/>
              </w:rPr>
              <w:t>for costs of goods or services for personal use of the recipient’s employees regardless of whether the cost is reported as taxable income to the e</w:t>
            </w:r>
            <w:r w:rsidRPr="00A75390">
              <w:rPr>
                <w:rFonts w:ascii="Calibri" w:eastAsia="Calibri" w:hAnsi="Calibri" w:cs="Calibri"/>
                <w:color w:val="000000"/>
                <w:sz w:val="20"/>
                <w:szCs w:val="20"/>
              </w:rPr>
              <w:t>mployees.</w:t>
            </w:r>
          </w:p>
        </w:tc>
      </w:tr>
      <w:tr w:rsidR="004F33DA" w:rsidRPr="00832F93" w14:paraId="6DC3C2BF" w14:textId="77777777" w:rsidTr="00F3479E">
        <w:tc>
          <w:tcPr>
            <w:tcW w:w="2250" w:type="dxa"/>
            <w:shd w:val="clear" w:color="auto" w:fill="auto"/>
          </w:tcPr>
          <w:p w14:paraId="787F607E"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 xml:space="preserve">Indirect Costs – Unrecovered </w:t>
            </w:r>
          </w:p>
        </w:tc>
        <w:tc>
          <w:tcPr>
            <w:tcW w:w="8100" w:type="dxa"/>
            <w:shd w:val="clear" w:color="auto" w:fill="auto"/>
          </w:tcPr>
          <w:p w14:paraId="49A5BAA2" w14:textId="77777777" w:rsidR="004F33DA" w:rsidRPr="00547110" w:rsidRDefault="004F33DA" w:rsidP="00F3479E">
            <w:pPr>
              <w:autoSpaceDE w:val="0"/>
              <w:autoSpaceDN w:val="0"/>
              <w:spacing w:line="240" w:lineRule="auto"/>
              <w:rPr>
                <w:rFonts w:ascii="Calibri" w:eastAsia="Calibri" w:hAnsi="Calibri" w:cs="Calibri"/>
                <w:color w:val="000000"/>
                <w:sz w:val="20"/>
                <w:szCs w:val="20"/>
              </w:rPr>
            </w:pPr>
            <w:r w:rsidRPr="00547110">
              <w:rPr>
                <w:rFonts w:ascii="Calibri" w:eastAsia="Calibri" w:hAnsi="Calibri" w:cs="Calibri"/>
                <w:i/>
                <w:iCs/>
                <w:color w:val="000000"/>
                <w:sz w:val="20"/>
                <w:szCs w:val="20"/>
              </w:rPr>
              <w:t>Unallowable</w:t>
            </w:r>
            <w:r w:rsidRPr="00547110">
              <w:rPr>
                <w:rFonts w:ascii="Calibri" w:eastAsia="Calibri" w:hAnsi="Calibri" w:cs="Calibri"/>
                <w:b/>
                <w:bCs/>
                <w:i/>
                <w:iCs/>
                <w:color w:val="000000"/>
                <w:sz w:val="20"/>
                <w:szCs w:val="20"/>
              </w:rPr>
              <w:t xml:space="preserve"> </w:t>
            </w:r>
            <w:r w:rsidRPr="00547110">
              <w:rPr>
                <w:rFonts w:ascii="Calibri" w:eastAsia="Calibri" w:hAnsi="Calibri" w:cs="Calibri"/>
                <w:color w:val="000000"/>
                <w:sz w:val="20"/>
                <w:szCs w:val="20"/>
              </w:rPr>
              <w:t xml:space="preserve">for unrecovered indirect costs. </w:t>
            </w:r>
          </w:p>
          <w:p w14:paraId="75F5B23D"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i/>
                <w:iCs/>
                <w:color w:val="000000"/>
                <w:sz w:val="20"/>
                <w:szCs w:val="20"/>
              </w:rPr>
              <w:t>Allowable</w:t>
            </w:r>
            <w:r w:rsidRPr="00A75390">
              <w:rPr>
                <w:rFonts w:ascii="Calibri" w:eastAsia="Calibri" w:hAnsi="Calibri" w:cs="Calibri"/>
                <w:b/>
                <w:bCs/>
                <w:i/>
                <w:iCs/>
                <w:color w:val="000000"/>
                <w:sz w:val="20"/>
                <w:szCs w:val="20"/>
              </w:rPr>
              <w:t xml:space="preserve"> </w:t>
            </w:r>
            <w:r w:rsidRPr="00A75390">
              <w:rPr>
                <w:rFonts w:ascii="Calibri" w:eastAsia="Calibri" w:hAnsi="Calibri" w:cs="Calibri"/>
                <w:color w:val="000000"/>
                <w:sz w:val="20"/>
                <w:szCs w:val="20"/>
              </w:rPr>
              <w:t xml:space="preserve">for projects with match requirements to use unrecovered indirect costs as part of cost-sharing or matching. </w:t>
            </w:r>
          </w:p>
        </w:tc>
      </w:tr>
      <w:tr w:rsidR="004F33DA" w:rsidRPr="00832F93" w14:paraId="67AE3BDB" w14:textId="77777777" w:rsidTr="00F3479E">
        <w:tc>
          <w:tcPr>
            <w:tcW w:w="2250" w:type="dxa"/>
            <w:shd w:val="clear" w:color="auto" w:fill="auto"/>
          </w:tcPr>
          <w:p w14:paraId="0A130B82"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 xml:space="preserve">Insurance and </w:t>
            </w:r>
            <w:r w:rsidRPr="00547110">
              <w:rPr>
                <w:rFonts w:ascii="Calibri" w:eastAsia="Calibri" w:hAnsi="Calibri" w:cs="Calibri"/>
                <w:b/>
                <w:bCs/>
                <w:color w:val="000000"/>
                <w:sz w:val="20"/>
                <w:szCs w:val="20"/>
              </w:rPr>
              <w:lastRenderedPageBreak/>
              <w:t xml:space="preserve">Indemnification </w:t>
            </w:r>
          </w:p>
        </w:tc>
        <w:tc>
          <w:tcPr>
            <w:tcW w:w="8100" w:type="dxa"/>
            <w:shd w:val="clear" w:color="auto" w:fill="auto"/>
          </w:tcPr>
          <w:p w14:paraId="17AD1FEB"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547110">
              <w:rPr>
                <w:rFonts w:ascii="Calibri" w:eastAsia="Calibri" w:hAnsi="Calibri" w:cs="Calibri"/>
                <w:i/>
                <w:iCs/>
                <w:color w:val="000000"/>
                <w:sz w:val="20"/>
                <w:szCs w:val="20"/>
              </w:rPr>
              <w:lastRenderedPageBreak/>
              <w:t>Allowable</w:t>
            </w:r>
            <w:r w:rsidRPr="00547110">
              <w:rPr>
                <w:rFonts w:ascii="Calibri" w:eastAsia="Calibri" w:hAnsi="Calibri" w:cs="Calibri"/>
                <w:b/>
                <w:bCs/>
                <w:i/>
                <w:iCs/>
                <w:color w:val="000000"/>
                <w:sz w:val="20"/>
                <w:szCs w:val="20"/>
              </w:rPr>
              <w:t xml:space="preserve"> </w:t>
            </w:r>
            <w:r w:rsidRPr="00547110">
              <w:rPr>
                <w:rFonts w:ascii="Calibri" w:eastAsia="Calibri" w:hAnsi="Calibri" w:cs="Calibri"/>
                <w:color w:val="000000"/>
                <w:sz w:val="20"/>
                <w:szCs w:val="20"/>
              </w:rPr>
              <w:t xml:space="preserve">when provided in the approved budget or with prior written approval as indirect costs </w:t>
            </w:r>
            <w:r w:rsidRPr="00547110">
              <w:rPr>
                <w:rFonts w:ascii="Calibri" w:eastAsia="Calibri" w:hAnsi="Calibri" w:cs="Calibri"/>
                <w:color w:val="000000"/>
                <w:sz w:val="20"/>
                <w:szCs w:val="20"/>
              </w:rPr>
              <w:lastRenderedPageBreak/>
              <w:t>for insurance and indemnification</w:t>
            </w:r>
            <w:r w:rsidRPr="00A75390">
              <w:rPr>
                <w:rFonts w:ascii="Calibri" w:eastAsia="Calibri" w:hAnsi="Calibri" w:cs="Calibri"/>
                <w:color w:val="000000"/>
                <w:sz w:val="20"/>
                <w:szCs w:val="20"/>
              </w:rPr>
              <w:t xml:space="preserve">. </w:t>
            </w:r>
          </w:p>
        </w:tc>
      </w:tr>
      <w:tr w:rsidR="004F33DA" w:rsidRPr="00832F93" w14:paraId="4EFF3EC1" w14:textId="77777777" w:rsidTr="00F3479E">
        <w:tc>
          <w:tcPr>
            <w:tcW w:w="2250" w:type="dxa"/>
            <w:shd w:val="clear" w:color="auto" w:fill="auto"/>
          </w:tcPr>
          <w:p w14:paraId="223B3752"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lastRenderedPageBreak/>
              <w:t xml:space="preserve">Lobbying </w:t>
            </w:r>
          </w:p>
        </w:tc>
        <w:tc>
          <w:tcPr>
            <w:tcW w:w="8100" w:type="dxa"/>
            <w:shd w:val="clear" w:color="auto" w:fill="auto"/>
          </w:tcPr>
          <w:p w14:paraId="54C61ACE" w14:textId="77777777" w:rsidR="004F33DA" w:rsidRPr="00547110" w:rsidRDefault="004F33DA" w:rsidP="00F3479E">
            <w:pPr>
              <w:autoSpaceDE w:val="0"/>
              <w:autoSpaceDN w:val="0"/>
              <w:spacing w:line="240" w:lineRule="auto"/>
              <w:rPr>
                <w:rFonts w:ascii="Calibri" w:eastAsia="Calibri" w:hAnsi="Calibri" w:cs="Calibri"/>
                <w:color w:val="000000"/>
                <w:sz w:val="20"/>
                <w:szCs w:val="20"/>
              </w:rPr>
            </w:pPr>
            <w:r w:rsidRPr="00547110">
              <w:rPr>
                <w:rFonts w:ascii="Calibri" w:eastAsia="Calibri" w:hAnsi="Calibri" w:cs="Calibri"/>
                <w:i/>
                <w:iCs/>
                <w:color w:val="000000"/>
                <w:sz w:val="20"/>
                <w:szCs w:val="20"/>
              </w:rPr>
              <w:t>Unallowable</w:t>
            </w:r>
            <w:r w:rsidRPr="00547110">
              <w:rPr>
                <w:rFonts w:ascii="Calibri" w:eastAsia="Calibri" w:hAnsi="Calibri" w:cs="Calibri"/>
                <w:b/>
                <w:bCs/>
                <w:i/>
                <w:iCs/>
                <w:color w:val="000000"/>
                <w:sz w:val="20"/>
                <w:szCs w:val="20"/>
              </w:rPr>
              <w:t xml:space="preserve"> </w:t>
            </w:r>
            <w:r w:rsidRPr="00547110">
              <w:rPr>
                <w:rFonts w:ascii="Calibri" w:eastAsia="Calibri" w:hAnsi="Calibri" w:cs="Calibri"/>
                <w:color w:val="000000"/>
                <w:sz w:val="20"/>
                <w:szCs w:val="20"/>
              </w:rPr>
              <w:t xml:space="preserve">as defined in 2 CFR § 200.450. </w:t>
            </w:r>
          </w:p>
        </w:tc>
      </w:tr>
      <w:tr w:rsidR="004F33DA" w:rsidRPr="00832F93" w14:paraId="213981E2" w14:textId="77777777" w:rsidTr="00F3479E">
        <w:tc>
          <w:tcPr>
            <w:tcW w:w="2250" w:type="dxa"/>
            <w:shd w:val="clear" w:color="auto" w:fill="auto"/>
          </w:tcPr>
          <w:p w14:paraId="31175DDD"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 xml:space="preserve">Meals </w:t>
            </w:r>
          </w:p>
        </w:tc>
        <w:tc>
          <w:tcPr>
            <w:tcW w:w="8100" w:type="dxa"/>
            <w:shd w:val="clear" w:color="auto" w:fill="auto"/>
          </w:tcPr>
          <w:p w14:paraId="6878A267"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547110">
              <w:rPr>
                <w:rFonts w:ascii="Calibri" w:eastAsia="Calibri" w:hAnsi="Calibri" w:cs="Calibri"/>
                <w:i/>
                <w:iCs/>
                <w:color w:val="000000"/>
                <w:sz w:val="20"/>
                <w:szCs w:val="20"/>
              </w:rPr>
              <w:t>Unallowable</w:t>
            </w:r>
            <w:r w:rsidRPr="00547110">
              <w:rPr>
                <w:rFonts w:ascii="Calibri" w:eastAsia="Calibri" w:hAnsi="Calibri" w:cs="Calibri"/>
                <w:b/>
                <w:bCs/>
                <w:i/>
                <w:iCs/>
                <w:color w:val="000000"/>
                <w:sz w:val="20"/>
                <w:szCs w:val="20"/>
              </w:rPr>
              <w:t xml:space="preserve"> </w:t>
            </w:r>
            <w:r w:rsidRPr="00547110">
              <w:rPr>
                <w:rFonts w:ascii="Calibri" w:eastAsia="Calibri" w:hAnsi="Calibri" w:cs="Calibri"/>
                <w:color w:val="000000"/>
                <w:sz w:val="20"/>
                <w:szCs w:val="20"/>
              </w:rPr>
              <w:t>for business meals when individuals decide to go to lunch or dinner together when no need</w:t>
            </w:r>
            <w:r w:rsidRPr="00A75390">
              <w:rPr>
                <w:rFonts w:ascii="Calibri" w:eastAsia="Calibri" w:hAnsi="Calibri" w:cs="Calibri"/>
                <w:color w:val="000000"/>
                <w:sz w:val="20"/>
                <w:szCs w:val="20"/>
              </w:rPr>
              <w:t xml:space="preserve"> exists for continuity of a meeting. Such activity is considered an entertainment cost. </w:t>
            </w:r>
          </w:p>
          <w:p w14:paraId="76FB2F51"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i/>
                <w:iCs/>
                <w:color w:val="000000"/>
                <w:sz w:val="20"/>
                <w:szCs w:val="20"/>
              </w:rPr>
              <w:t>Unallowable</w:t>
            </w:r>
            <w:r w:rsidRPr="00A75390">
              <w:rPr>
                <w:rFonts w:ascii="Calibri" w:eastAsia="Calibri" w:hAnsi="Calibri" w:cs="Calibri"/>
                <w:b/>
                <w:bCs/>
                <w:i/>
                <w:iCs/>
                <w:color w:val="000000"/>
                <w:sz w:val="20"/>
                <w:szCs w:val="20"/>
              </w:rPr>
              <w:t xml:space="preserve"> </w:t>
            </w:r>
            <w:r w:rsidRPr="00A75390">
              <w:rPr>
                <w:rFonts w:ascii="Calibri" w:eastAsia="Calibri" w:hAnsi="Calibri" w:cs="Calibri"/>
                <w:color w:val="000000"/>
                <w:sz w:val="20"/>
                <w:szCs w:val="20"/>
              </w:rPr>
              <w:t>for breakfasts for conference attendees because it is expected these individuals will have sufficient time to obtain this meal on their own before the conference begins.</w:t>
            </w:r>
          </w:p>
          <w:p w14:paraId="1D5337D4"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i/>
                <w:iCs/>
                <w:color w:val="000000"/>
                <w:sz w:val="20"/>
                <w:szCs w:val="20"/>
              </w:rPr>
              <w:t>Unallowable</w:t>
            </w:r>
            <w:r w:rsidRPr="00A75390">
              <w:rPr>
                <w:rFonts w:ascii="Calibri" w:eastAsia="Calibri" w:hAnsi="Calibri" w:cs="Calibri"/>
                <w:b/>
                <w:bCs/>
                <w:i/>
                <w:iCs/>
                <w:color w:val="000000"/>
                <w:sz w:val="20"/>
                <w:szCs w:val="20"/>
              </w:rPr>
              <w:t xml:space="preserve"> </w:t>
            </w:r>
            <w:r w:rsidRPr="00A75390">
              <w:rPr>
                <w:rFonts w:ascii="Calibri" w:eastAsia="Calibri" w:hAnsi="Calibri" w:cs="Calibri"/>
                <w:color w:val="000000"/>
                <w:sz w:val="20"/>
                <w:szCs w:val="20"/>
              </w:rPr>
              <w:t xml:space="preserve">for meal costs that are duplicated in meeting </w:t>
            </w:r>
            <w:proofErr w:type="gramStart"/>
            <w:r w:rsidRPr="00A75390">
              <w:rPr>
                <w:rFonts w:ascii="Calibri" w:eastAsia="Calibri" w:hAnsi="Calibri" w:cs="Calibri"/>
                <w:color w:val="000000"/>
                <w:sz w:val="20"/>
                <w:szCs w:val="20"/>
              </w:rPr>
              <w:t>participant’s</w:t>
            </w:r>
            <w:proofErr w:type="gramEnd"/>
            <w:r w:rsidRPr="00A75390">
              <w:rPr>
                <w:rFonts w:ascii="Calibri" w:eastAsia="Calibri" w:hAnsi="Calibri" w:cs="Calibri"/>
                <w:color w:val="000000"/>
                <w:sz w:val="20"/>
                <w:szCs w:val="20"/>
              </w:rPr>
              <w:t xml:space="preserve"> per diem or subsistence allowances. </w:t>
            </w:r>
          </w:p>
          <w:p w14:paraId="1C918E2B"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i/>
                <w:iCs/>
                <w:color w:val="000000"/>
                <w:sz w:val="20"/>
                <w:szCs w:val="20"/>
              </w:rPr>
              <w:t>Allowable</w:t>
            </w:r>
            <w:r w:rsidRPr="00A75390">
              <w:rPr>
                <w:rFonts w:ascii="Calibri" w:eastAsia="Calibri" w:hAnsi="Calibri" w:cs="Calibri"/>
                <w:b/>
                <w:bCs/>
                <w:i/>
                <w:iCs/>
                <w:color w:val="000000"/>
                <w:sz w:val="20"/>
                <w:szCs w:val="20"/>
              </w:rPr>
              <w:t xml:space="preserve"> </w:t>
            </w:r>
            <w:r w:rsidRPr="00A75390">
              <w:rPr>
                <w:rFonts w:ascii="Calibri" w:eastAsia="Calibri" w:hAnsi="Calibri" w:cs="Calibri"/>
                <w:color w:val="000000"/>
                <w:sz w:val="20"/>
                <w:szCs w:val="20"/>
              </w:rPr>
              <w:t xml:space="preserve">for lunch or dinner meals if the costs are reasonable and a justification is provided that such activity maintains the continuity of the meeting and to do otherwise will impose arduous conditions on the meeting participants. </w:t>
            </w:r>
          </w:p>
          <w:p w14:paraId="1707CC68"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i/>
                <w:iCs/>
                <w:color w:val="000000"/>
                <w:sz w:val="20"/>
                <w:szCs w:val="20"/>
              </w:rPr>
              <w:t>Allowable</w:t>
            </w:r>
            <w:r w:rsidRPr="00A75390">
              <w:rPr>
                <w:rFonts w:ascii="Calibri" w:eastAsia="Calibri" w:hAnsi="Calibri" w:cs="Calibri"/>
                <w:b/>
                <w:bCs/>
                <w:i/>
                <w:iCs/>
                <w:color w:val="000000"/>
                <w:sz w:val="20"/>
                <w:szCs w:val="20"/>
              </w:rPr>
              <w:t xml:space="preserve"> </w:t>
            </w:r>
            <w:r w:rsidRPr="00A75390">
              <w:rPr>
                <w:rFonts w:ascii="Calibri" w:eastAsia="Calibri" w:hAnsi="Calibri" w:cs="Calibri"/>
                <w:color w:val="000000"/>
                <w:sz w:val="20"/>
                <w:szCs w:val="20"/>
              </w:rPr>
              <w:t xml:space="preserve">for meals consumed while in official travel status. They are considered per diem expenses and should be reimbursed in accordance with the organization’s established written travel policies. </w:t>
            </w:r>
          </w:p>
        </w:tc>
      </w:tr>
      <w:tr w:rsidR="004F33DA" w:rsidRPr="00832F93" w14:paraId="352EE68A" w14:textId="77777777" w:rsidTr="00F3479E">
        <w:tc>
          <w:tcPr>
            <w:tcW w:w="2250" w:type="dxa"/>
            <w:shd w:val="clear" w:color="auto" w:fill="auto"/>
          </w:tcPr>
          <w:p w14:paraId="3638753F"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 xml:space="preserve">Memberships, Subscriptions, and Professional Activity Costs </w:t>
            </w:r>
          </w:p>
        </w:tc>
        <w:tc>
          <w:tcPr>
            <w:tcW w:w="8100" w:type="dxa"/>
            <w:shd w:val="clear" w:color="auto" w:fill="auto"/>
          </w:tcPr>
          <w:p w14:paraId="2EF6C9EE"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i/>
                <w:iCs/>
                <w:color w:val="000000"/>
                <w:sz w:val="20"/>
                <w:szCs w:val="20"/>
              </w:rPr>
              <w:t>Unallowable</w:t>
            </w:r>
            <w:r w:rsidRPr="00A75390">
              <w:rPr>
                <w:rFonts w:ascii="Calibri" w:eastAsia="Calibri" w:hAnsi="Calibri" w:cs="Calibri"/>
                <w:b/>
                <w:bCs/>
                <w:i/>
                <w:iCs/>
                <w:color w:val="000000"/>
                <w:sz w:val="20"/>
                <w:szCs w:val="20"/>
              </w:rPr>
              <w:t xml:space="preserve"> </w:t>
            </w:r>
            <w:r w:rsidRPr="00A75390">
              <w:rPr>
                <w:rFonts w:ascii="Calibri" w:eastAsia="Calibri" w:hAnsi="Calibri" w:cs="Calibri"/>
                <w:color w:val="000000"/>
                <w:sz w:val="20"/>
                <w:szCs w:val="20"/>
              </w:rPr>
              <w:t xml:space="preserve">for costs of membership in any civic or community organization. </w:t>
            </w:r>
          </w:p>
          <w:p w14:paraId="4CAD7358"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i/>
                <w:iCs/>
                <w:color w:val="000000"/>
                <w:sz w:val="20"/>
                <w:szCs w:val="20"/>
              </w:rPr>
              <w:t>Allowable</w:t>
            </w:r>
            <w:r w:rsidRPr="00A75390">
              <w:rPr>
                <w:rFonts w:ascii="Calibri" w:eastAsia="Calibri" w:hAnsi="Calibri" w:cs="Calibri"/>
                <w:b/>
                <w:bCs/>
                <w:i/>
                <w:iCs/>
                <w:color w:val="000000"/>
                <w:sz w:val="20"/>
                <w:szCs w:val="20"/>
              </w:rPr>
              <w:t xml:space="preserve"> </w:t>
            </w:r>
            <w:r w:rsidRPr="00A75390">
              <w:rPr>
                <w:rFonts w:ascii="Calibri" w:eastAsia="Calibri" w:hAnsi="Calibri" w:cs="Calibri"/>
                <w:color w:val="000000"/>
                <w:sz w:val="20"/>
                <w:szCs w:val="20"/>
              </w:rPr>
              <w:t xml:space="preserve">for costs of membership in business, technical, and professional organizations when provided in the approved budget or with prior written approval. </w:t>
            </w:r>
          </w:p>
        </w:tc>
      </w:tr>
      <w:tr w:rsidR="004F33DA" w:rsidRPr="00832F93" w14:paraId="4D2409B4" w14:textId="77777777" w:rsidTr="00F3479E">
        <w:tc>
          <w:tcPr>
            <w:tcW w:w="2250" w:type="dxa"/>
            <w:shd w:val="clear" w:color="auto" w:fill="auto"/>
          </w:tcPr>
          <w:p w14:paraId="634F015D"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 xml:space="preserve">Organization Costs </w:t>
            </w:r>
          </w:p>
        </w:tc>
        <w:tc>
          <w:tcPr>
            <w:tcW w:w="8100" w:type="dxa"/>
            <w:shd w:val="clear" w:color="auto" w:fill="auto"/>
          </w:tcPr>
          <w:p w14:paraId="68F446B1"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547110">
              <w:rPr>
                <w:rFonts w:ascii="Calibri" w:eastAsia="Calibri" w:hAnsi="Calibri" w:cs="Calibri"/>
                <w:i/>
                <w:iCs/>
                <w:color w:val="000000"/>
                <w:sz w:val="20"/>
                <w:szCs w:val="20"/>
              </w:rPr>
              <w:t>Unallowable</w:t>
            </w:r>
            <w:r w:rsidRPr="00547110">
              <w:rPr>
                <w:rFonts w:ascii="Calibri" w:eastAsia="Calibri" w:hAnsi="Calibri" w:cs="Calibri"/>
                <w:b/>
                <w:bCs/>
                <w:i/>
                <w:iCs/>
                <w:color w:val="000000"/>
                <w:sz w:val="20"/>
                <w:szCs w:val="20"/>
              </w:rPr>
              <w:t xml:space="preserve"> </w:t>
            </w:r>
            <w:r w:rsidRPr="00547110">
              <w:rPr>
                <w:rFonts w:ascii="Calibri" w:eastAsia="Calibri" w:hAnsi="Calibri" w:cs="Calibri"/>
                <w:color w:val="000000"/>
                <w:sz w:val="20"/>
                <w:szCs w:val="20"/>
              </w:rPr>
              <w:t xml:space="preserve">for costs of investment counsel and staff and similar expenses incurred to enhance income from investments. </w:t>
            </w:r>
          </w:p>
          <w:p w14:paraId="7E48E271"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i/>
                <w:iCs/>
                <w:color w:val="000000"/>
                <w:sz w:val="20"/>
                <w:szCs w:val="20"/>
              </w:rPr>
              <w:t>Allowable</w:t>
            </w:r>
            <w:r w:rsidRPr="00A75390">
              <w:rPr>
                <w:rFonts w:ascii="Calibri" w:eastAsia="Calibri" w:hAnsi="Calibri" w:cs="Calibri"/>
                <w:b/>
                <w:bCs/>
                <w:i/>
                <w:iCs/>
                <w:color w:val="000000"/>
                <w:sz w:val="20"/>
                <w:szCs w:val="20"/>
              </w:rPr>
              <w:t xml:space="preserve"> </w:t>
            </w:r>
            <w:r w:rsidRPr="00A75390">
              <w:rPr>
                <w:rFonts w:ascii="Calibri" w:eastAsia="Calibri" w:hAnsi="Calibri" w:cs="Calibri"/>
                <w:color w:val="000000"/>
                <w:sz w:val="20"/>
                <w:szCs w:val="20"/>
              </w:rPr>
              <w:t xml:space="preserve">with prior approval for organization costs per 2 CFR § 200.455. </w:t>
            </w:r>
          </w:p>
        </w:tc>
      </w:tr>
      <w:tr w:rsidR="004F33DA" w:rsidRPr="00832F93" w14:paraId="2DBF7CFA" w14:textId="77777777" w:rsidTr="00F3479E">
        <w:tc>
          <w:tcPr>
            <w:tcW w:w="2250" w:type="dxa"/>
            <w:shd w:val="clear" w:color="auto" w:fill="auto"/>
          </w:tcPr>
          <w:p w14:paraId="7A951395"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 xml:space="preserve">Participant Support Costs </w:t>
            </w:r>
          </w:p>
        </w:tc>
        <w:tc>
          <w:tcPr>
            <w:tcW w:w="8100" w:type="dxa"/>
            <w:shd w:val="clear" w:color="auto" w:fill="auto"/>
          </w:tcPr>
          <w:p w14:paraId="441D2920"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547110">
              <w:rPr>
                <w:rFonts w:ascii="Calibri" w:eastAsia="Calibri" w:hAnsi="Calibri" w:cs="Calibri"/>
                <w:i/>
                <w:iCs/>
                <w:color w:val="000000"/>
                <w:sz w:val="20"/>
                <w:szCs w:val="20"/>
              </w:rPr>
              <w:t>Allowable</w:t>
            </w:r>
            <w:r w:rsidRPr="00547110">
              <w:rPr>
                <w:rFonts w:ascii="Calibri" w:eastAsia="Calibri" w:hAnsi="Calibri" w:cs="Calibri"/>
                <w:b/>
                <w:bCs/>
                <w:i/>
                <w:iCs/>
                <w:color w:val="000000"/>
                <w:sz w:val="20"/>
                <w:szCs w:val="20"/>
              </w:rPr>
              <w:t xml:space="preserve"> </w:t>
            </w:r>
            <w:r w:rsidRPr="00547110">
              <w:rPr>
                <w:rFonts w:ascii="Calibri" w:eastAsia="Calibri" w:hAnsi="Calibri" w:cs="Calibri"/>
                <w:color w:val="000000"/>
                <w:sz w:val="20"/>
                <w:szCs w:val="20"/>
              </w:rPr>
              <w:t>when provided in the approved budget or with prior written approval for such items as stipends</w:t>
            </w:r>
            <w:r w:rsidRPr="00A75390">
              <w:rPr>
                <w:rFonts w:ascii="Calibri" w:eastAsia="Calibri" w:hAnsi="Calibri" w:cs="Calibri"/>
                <w:color w:val="000000"/>
                <w:sz w:val="20"/>
                <w:szCs w:val="20"/>
              </w:rPr>
              <w:t xml:space="preserve"> or subsistence allowances, and registration fees paid to or on behalf of participants or trainees (but not employees) in connection with approved conferences, training projects, surveys, and focus groups.</w:t>
            </w:r>
          </w:p>
        </w:tc>
      </w:tr>
      <w:tr w:rsidR="004F33DA" w:rsidRPr="00832F93" w14:paraId="4184836D" w14:textId="77777777" w:rsidTr="00F3479E">
        <w:tc>
          <w:tcPr>
            <w:tcW w:w="2250" w:type="dxa"/>
            <w:shd w:val="clear" w:color="auto" w:fill="auto"/>
          </w:tcPr>
          <w:p w14:paraId="262A602F"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 xml:space="preserve">Political Activities </w:t>
            </w:r>
          </w:p>
        </w:tc>
        <w:tc>
          <w:tcPr>
            <w:tcW w:w="8100" w:type="dxa"/>
            <w:shd w:val="clear" w:color="auto" w:fill="auto"/>
          </w:tcPr>
          <w:p w14:paraId="42B8AAFD"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547110">
              <w:rPr>
                <w:rFonts w:ascii="Calibri" w:eastAsia="Calibri" w:hAnsi="Calibri" w:cs="Calibri"/>
                <w:i/>
                <w:iCs/>
                <w:color w:val="000000"/>
                <w:sz w:val="20"/>
                <w:szCs w:val="20"/>
              </w:rPr>
              <w:t>Unallowable</w:t>
            </w:r>
            <w:r w:rsidRPr="00547110">
              <w:rPr>
                <w:rFonts w:ascii="Calibri" w:eastAsia="Calibri" w:hAnsi="Calibri" w:cs="Calibri"/>
                <w:b/>
                <w:bCs/>
                <w:i/>
                <w:iCs/>
                <w:color w:val="000000"/>
                <w:sz w:val="20"/>
                <w:szCs w:val="20"/>
              </w:rPr>
              <w:t xml:space="preserve"> </w:t>
            </w:r>
            <w:r w:rsidRPr="00547110">
              <w:rPr>
                <w:rFonts w:ascii="Calibri" w:eastAsia="Calibri" w:hAnsi="Calibri" w:cs="Calibri"/>
                <w:color w:val="000000"/>
                <w:sz w:val="20"/>
                <w:szCs w:val="20"/>
              </w:rPr>
              <w:t xml:space="preserve">for development or participation in political activities in accordance with provisions of the Hatch Act (5 U.S.C. 1501-1508 and 7324-7326). </w:t>
            </w:r>
          </w:p>
        </w:tc>
      </w:tr>
      <w:tr w:rsidR="004F33DA" w:rsidRPr="00832F93" w14:paraId="39DBAC02" w14:textId="77777777" w:rsidTr="00F3479E">
        <w:tc>
          <w:tcPr>
            <w:tcW w:w="2250" w:type="dxa"/>
            <w:shd w:val="clear" w:color="auto" w:fill="auto"/>
          </w:tcPr>
          <w:p w14:paraId="13B2CC6F"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 xml:space="preserve">Pre-Award Costs </w:t>
            </w:r>
          </w:p>
        </w:tc>
        <w:tc>
          <w:tcPr>
            <w:tcW w:w="8100" w:type="dxa"/>
            <w:shd w:val="clear" w:color="auto" w:fill="auto"/>
          </w:tcPr>
          <w:p w14:paraId="4D597E03"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547110">
              <w:rPr>
                <w:rFonts w:ascii="Calibri" w:eastAsia="Calibri" w:hAnsi="Calibri" w:cs="Calibri"/>
                <w:i/>
                <w:iCs/>
                <w:color w:val="000000"/>
                <w:sz w:val="20"/>
                <w:szCs w:val="20"/>
              </w:rPr>
              <w:t>Allowable</w:t>
            </w:r>
            <w:r w:rsidRPr="00547110">
              <w:rPr>
                <w:rFonts w:ascii="Calibri" w:eastAsia="Calibri" w:hAnsi="Calibri" w:cs="Calibri"/>
                <w:b/>
                <w:bCs/>
                <w:i/>
                <w:iCs/>
                <w:color w:val="000000"/>
                <w:sz w:val="20"/>
                <w:szCs w:val="20"/>
              </w:rPr>
              <w:t xml:space="preserve"> </w:t>
            </w:r>
            <w:r w:rsidRPr="00547110">
              <w:rPr>
                <w:rFonts w:ascii="Calibri" w:eastAsia="Calibri" w:hAnsi="Calibri" w:cs="Calibri"/>
                <w:color w:val="000000"/>
                <w:sz w:val="20"/>
                <w:szCs w:val="20"/>
              </w:rPr>
              <w:t>when provided in the approved budget or with prior written approval if such costs are neces</w:t>
            </w:r>
            <w:r w:rsidRPr="00A75390">
              <w:rPr>
                <w:rFonts w:ascii="Calibri" w:eastAsia="Calibri" w:hAnsi="Calibri" w:cs="Calibri"/>
                <w:color w:val="000000"/>
                <w:sz w:val="20"/>
                <w:szCs w:val="20"/>
              </w:rPr>
              <w:t xml:space="preserve">sary for efficient and timely performance of the project’s scope of work. Such costs are allowable only to the extent that they would have been allowable if incurred after the date of the Federal award. </w:t>
            </w:r>
          </w:p>
          <w:p w14:paraId="7D442210"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color w:val="000000"/>
                <w:sz w:val="20"/>
                <w:szCs w:val="20"/>
              </w:rPr>
              <w:t>A recipient may incur pre-award costs 90 calendar days before the award. Expenses more than 90 calendar days pre-award require prior approval. These costs and associated activities must be included in the recipient’s project narrative and budget justification. All costs incurred before the award are at the potential recipient’s risk. The incurrence of pre-award costs in anticipation of an award imposes no obligation on AMS to award funds for such costs.</w:t>
            </w:r>
          </w:p>
        </w:tc>
      </w:tr>
      <w:tr w:rsidR="004F33DA" w:rsidRPr="00832F93" w14:paraId="282F758B" w14:textId="77777777" w:rsidTr="00F3479E">
        <w:tc>
          <w:tcPr>
            <w:tcW w:w="2250" w:type="dxa"/>
            <w:shd w:val="clear" w:color="auto" w:fill="auto"/>
          </w:tcPr>
          <w:p w14:paraId="3B62ADA8"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 xml:space="preserve">Printing and Publications </w:t>
            </w:r>
          </w:p>
        </w:tc>
        <w:tc>
          <w:tcPr>
            <w:tcW w:w="8100" w:type="dxa"/>
            <w:shd w:val="clear" w:color="auto" w:fill="auto"/>
          </w:tcPr>
          <w:p w14:paraId="53ACD335"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i/>
                <w:iCs/>
                <w:color w:val="000000"/>
                <w:sz w:val="20"/>
                <w:szCs w:val="20"/>
              </w:rPr>
              <w:t>Allowable</w:t>
            </w:r>
            <w:r w:rsidRPr="00A75390">
              <w:rPr>
                <w:rFonts w:ascii="Calibri" w:eastAsia="Calibri" w:hAnsi="Calibri" w:cs="Calibri"/>
                <w:b/>
                <w:bCs/>
                <w:i/>
                <w:iCs/>
                <w:color w:val="000000"/>
                <w:sz w:val="20"/>
                <w:szCs w:val="20"/>
              </w:rPr>
              <w:t xml:space="preserve"> </w:t>
            </w:r>
            <w:r w:rsidRPr="00A75390">
              <w:rPr>
                <w:rFonts w:ascii="Calibri" w:eastAsia="Calibri" w:hAnsi="Calibri" w:cs="Calibri"/>
                <w:color w:val="000000"/>
                <w:sz w:val="20"/>
                <w:szCs w:val="20"/>
              </w:rPr>
              <w:t xml:space="preserve">to pay the cost of preparing informational leaflets, reports, manuals, and publications relating to the project; however, the printing of hard copies is discouraged given the prevalence of electronic/virtual publication means. </w:t>
            </w:r>
          </w:p>
        </w:tc>
      </w:tr>
      <w:tr w:rsidR="004F33DA" w:rsidRPr="00832F93" w14:paraId="45DECF44" w14:textId="77777777" w:rsidTr="00F3479E">
        <w:tc>
          <w:tcPr>
            <w:tcW w:w="2250" w:type="dxa"/>
            <w:shd w:val="clear" w:color="auto" w:fill="auto"/>
          </w:tcPr>
          <w:p w14:paraId="3FBD0E71"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 xml:space="preserve">Rearrangement and Reconversion Costs </w:t>
            </w:r>
          </w:p>
        </w:tc>
        <w:tc>
          <w:tcPr>
            <w:tcW w:w="8100" w:type="dxa"/>
            <w:shd w:val="clear" w:color="auto" w:fill="auto"/>
          </w:tcPr>
          <w:p w14:paraId="52DFE0B0"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547110">
              <w:rPr>
                <w:rFonts w:ascii="Calibri" w:eastAsia="Calibri" w:hAnsi="Calibri" w:cs="Calibri"/>
                <w:i/>
                <w:iCs/>
                <w:color w:val="000000"/>
                <w:sz w:val="20"/>
                <w:szCs w:val="20"/>
              </w:rPr>
              <w:t>Allowable</w:t>
            </w:r>
            <w:r w:rsidRPr="00547110">
              <w:rPr>
                <w:rFonts w:ascii="Calibri" w:eastAsia="Calibri" w:hAnsi="Calibri" w:cs="Calibri"/>
                <w:b/>
                <w:bCs/>
                <w:i/>
                <w:iCs/>
                <w:color w:val="000000"/>
                <w:sz w:val="20"/>
                <w:szCs w:val="20"/>
              </w:rPr>
              <w:t xml:space="preserve"> </w:t>
            </w:r>
            <w:r w:rsidRPr="00547110">
              <w:rPr>
                <w:rFonts w:ascii="Calibri" w:eastAsia="Calibri" w:hAnsi="Calibri" w:cs="Calibri"/>
                <w:color w:val="000000"/>
                <w:sz w:val="20"/>
                <w:szCs w:val="20"/>
              </w:rPr>
              <w:t xml:space="preserve">as indirect costs with prior approval for cost incurred for ordinary and normal rearrangement and alteration of facilities. </w:t>
            </w:r>
          </w:p>
          <w:p w14:paraId="71BB9F65"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i/>
                <w:iCs/>
                <w:color w:val="000000"/>
                <w:sz w:val="20"/>
                <w:szCs w:val="20"/>
              </w:rPr>
              <w:t>Allowable</w:t>
            </w:r>
            <w:r w:rsidRPr="00A75390">
              <w:rPr>
                <w:rFonts w:ascii="Calibri" w:eastAsia="Calibri" w:hAnsi="Calibri" w:cs="Calibri"/>
                <w:color w:val="000000"/>
                <w:sz w:val="20"/>
                <w:szCs w:val="20"/>
              </w:rPr>
              <w:t xml:space="preserve"> as direct costs with prior approval for special arrangements and alterations costs incurred specifically for the award. Rearrangement and reconversion costs are those incurred in restoring or rehabilitating the non-Federal entity’s facilities to approximately the same condition existing immediately before the start of the grant agreement, less costs related to normal wear and tear.</w:t>
            </w:r>
          </w:p>
        </w:tc>
      </w:tr>
      <w:tr w:rsidR="004F33DA" w:rsidRPr="00832F93" w14:paraId="422EDFA2" w14:textId="77777777" w:rsidTr="00F3479E">
        <w:tc>
          <w:tcPr>
            <w:tcW w:w="2250" w:type="dxa"/>
            <w:shd w:val="clear" w:color="auto" w:fill="auto"/>
          </w:tcPr>
          <w:p w14:paraId="0FC23AFF"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 xml:space="preserve">Salaries and Wages </w:t>
            </w:r>
          </w:p>
        </w:tc>
        <w:tc>
          <w:tcPr>
            <w:tcW w:w="8100" w:type="dxa"/>
            <w:shd w:val="clear" w:color="auto" w:fill="auto"/>
          </w:tcPr>
          <w:p w14:paraId="295E1391"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547110">
              <w:rPr>
                <w:rFonts w:ascii="Calibri" w:eastAsia="Calibri" w:hAnsi="Calibri" w:cs="Calibri"/>
                <w:i/>
                <w:iCs/>
                <w:color w:val="000000"/>
                <w:sz w:val="20"/>
                <w:szCs w:val="20"/>
              </w:rPr>
              <w:t>Allowable</w:t>
            </w:r>
            <w:r w:rsidRPr="00547110">
              <w:rPr>
                <w:rFonts w:ascii="Calibri" w:eastAsia="Calibri" w:hAnsi="Calibri" w:cs="Calibri"/>
                <w:b/>
                <w:bCs/>
                <w:i/>
                <w:iCs/>
                <w:color w:val="000000"/>
                <w:sz w:val="20"/>
                <w:szCs w:val="20"/>
              </w:rPr>
              <w:t xml:space="preserve"> </w:t>
            </w:r>
            <w:r w:rsidRPr="00547110">
              <w:rPr>
                <w:rFonts w:ascii="Calibri" w:eastAsia="Calibri" w:hAnsi="Calibri" w:cs="Calibri"/>
                <w:color w:val="000000"/>
                <w:sz w:val="20"/>
                <w:szCs w:val="20"/>
              </w:rPr>
              <w:t>as part of employee compensation for personnel services in proportion to the amount of time or effort an employee devotes to the grant-supported project or program during the perio</w:t>
            </w:r>
            <w:r w:rsidRPr="00A75390">
              <w:rPr>
                <w:rFonts w:ascii="Calibri" w:eastAsia="Calibri" w:hAnsi="Calibri" w:cs="Calibri"/>
                <w:color w:val="000000"/>
                <w:sz w:val="20"/>
                <w:szCs w:val="20"/>
              </w:rPr>
              <w:t xml:space="preserve">d of performance under the Federal award, including salaries, wages, and fringe benefits. Such costs must be incurred under formally established policies of organization, be consistently applied, be reasonable for the services rendered, and be supported with adequate documentation. </w:t>
            </w:r>
          </w:p>
          <w:p w14:paraId="19216DBB"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color w:val="000000"/>
                <w:sz w:val="20"/>
                <w:szCs w:val="20"/>
              </w:rPr>
              <w:lastRenderedPageBreak/>
              <w:t xml:space="preserve">Salary and wage amounts charged to grant-supported projects or programs for personal services must be based on an adequate payroll distribution system that documents such distribution in accordance with generally accepted practices of like organizations. Standards for payroll distribution systems are contained in the applicable cost principles (other than those for for-profit organizations). </w:t>
            </w:r>
          </w:p>
          <w:p w14:paraId="327B606C"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i/>
                <w:iCs/>
                <w:color w:val="000000"/>
                <w:sz w:val="20"/>
                <w:szCs w:val="20"/>
              </w:rPr>
              <w:t>Unallowable</w:t>
            </w:r>
            <w:r w:rsidRPr="00A75390">
              <w:rPr>
                <w:rFonts w:ascii="Calibri" w:eastAsia="Calibri" w:hAnsi="Calibri" w:cs="Calibri"/>
                <w:color w:val="000000"/>
                <w:sz w:val="20"/>
                <w:szCs w:val="20"/>
              </w:rPr>
              <w:t xml:space="preserve"> for salaries, wages, and fringe benefits for project staff who devote time and effort to activities that do not meet the legislated purpose of the grant program.</w:t>
            </w:r>
          </w:p>
        </w:tc>
      </w:tr>
      <w:tr w:rsidR="004F33DA" w:rsidRPr="00832F93" w14:paraId="42FC7B6C" w14:textId="77777777" w:rsidTr="00F3479E">
        <w:tc>
          <w:tcPr>
            <w:tcW w:w="2250" w:type="dxa"/>
            <w:shd w:val="clear" w:color="auto" w:fill="auto"/>
          </w:tcPr>
          <w:p w14:paraId="1B461FDF"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lastRenderedPageBreak/>
              <w:t xml:space="preserve">Selling and Marketing Costs – Promotion of an Organization’s Image, Logo, or Brand Name </w:t>
            </w:r>
          </w:p>
        </w:tc>
        <w:tc>
          <w:tcPr>
            <w:tcW w:w="8100" w:type="dxa"/>
            <w:shd w:val="clear" w:color="auto" w:fill="auto"/>
          </w:tcPr>
          <w:p w14:paraId="6C417591"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547110">
              <w:rPr>
                <w:rFonts w:ascii="Calibri" w:eastAsia="Calibri" w:hAnsi="Calibri" w:cs="Calibri"/>
                <w:i/>
                <w:iCs/>
                <w:color w:val="000000"/>
                <w:sz w:val="20"/>
                <w:szCs w:val="20"/>
              </w:rPr>
              <w:t>Unallowable</w:t>
            </w:r>
            <w:r w:rsidRPr="00547110">
              <w:rPr>
                <w:rFonts w:ascii="Calibri" w:eastAsia="Calibri" w:hAnsi="Calibri" w:cs="Calibri"/>
                <w:b/>
                <w:bCs/>
                <w:i/>
                <w:iCs/>
                <w:color w:val="000000"/>
                <w:sz w:val="20"/>
                <w:szCs w:val="20"/>
              </w:rPr>
              <w:t xml:space="preserve"> </w:t>
            </w:r>
            <w:r w:rsidRPr="00547110">
              <w:rPr>
                <w:rFonts w:ascii="Calibri" w:eastAsia="Calibri" w:hAnsi="Calibri" w:cs="Calibri"/>
                <w:color w:val="000000"/>
                <w:sz w:val="20"/>
                <w:szCs w:val="20"/>
              </w:rPr>
              <w:t xml:space="preserve">for costs designed solely to promote the image of an organization, a general logo, or </w:t>
            </w:r>
            <w:r w:rsidRPr="00A75390">
              <w:rPr>
                <w:rFonts w:ascii="Calibri" w:eastAsia="Calibri" w:hAnsi="Calibri" w:cs="Calibri"/>
                <w:color w:val="000000"/>
                <w:sz w:val="20"/>
                <w:szCs w:val="20"/>
              </w:rPr>
              <w:t xml:space="preserve">a general brand. </w:t>
            </w:r>
          </w:p>
          <w:p w14:paraId="2648276D"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color w:val="000000"/>
                <w:sz w:val="20"/>
                <w:szCs w:val="20"/>
              </w:rPr>
              <w:t xml:space="preserve">• Promotional items could say “Buy STATE/COUNTY Grown Apples” but not “XYZ Grown”, which promotes XYZ generically. </w:t>
            </w:r>
          </w:p>
          <w:p w14:paraId="391D3BDE"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color w:val="000000"/>
                <w:sz w:val="20"/>
                <w:szCs w:val="20"/>
              </w:rPr>
              <w:t xml:space="preserve">• A promotional campaign to increase producer sales of “STATE/COUNTY Grown fruits and vegetables” is acceptable while increasing membership in “STATE/COUNTY Grown” generally is not. </w:t>
            </w:r>
          </w:p>
          <w:p w14:paraId="318E8120"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p>
        </w:tc>
      </w:tr>
      <w:tr w:rsidR="004F33DA" w:rsidRPr="00832F93" w14:paraId="51184CF0" w14:textId="77777777" w:rsidTr="00F3479E">
        <w:tc>
          <w:tcPr>
            <w:tcW w:w="2250" w:type="dxa"/>
            <w:shd w:val="clear" w:color="auto" w:fill="auto"/>
          </w:tcPr>
          <w:p w14:paraId="6B17AD0E"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 xml:space="preserve">Selling and Marketing Costs – Promotion of Venues that do not Align with Grant Program Purpose </w:t>
            </w:r>
          </w:p>
        </w:tc>
        <w:tc>
          <w:tcPr>
            <w:tcW w:w="8100" w:type="dxa"/>
            <w:shd w:val="clear" w:color="auto" w:fill="auto"/>
          </w:tcPr>
          <w:p w14:paraId="0656F597"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547110">
              <w:rPr>
                <w:rFonts w:ascii="Calibri" w:eastAsia="Calibri" w:hAnsi="Calibri" w:cs="Calibri"/>
                <w:i/>
                <w:iCs/>
                <w:color w:val="000000"/>
                <w:sz w:val="20"/>
                <w:szCs w:val="20"/>
              </w:rPr>
              <w:t>Unallowable</w:t>
            </w:r>
            <w:r w:rsidRPr="00547110">
              <w:rPr>
                <w:rFonts w:ascii="Calibri" w:eastAsia="Calibri" w:hAnsi="Calibri" w:cs="Calibri"/>
                <w:b/>
                <w:bCs/>
                <w:i/>
                <w:iCs/>
                <w:color w:val="000000"/>
                <w:sz w:val="20"/>
                <w:szCs w:val="20"/>
              </w:rPr>
              <w:t xml:space="preserve"> </w:t>
            </w:r>
            <w:r w:rsidRPr="00547110">
              <w:rPr>
                <w:rFonts w:ascii="Calibri" w:eastAsia="Calibri" w:hAnsi="Calibri" w:cs="Calibri"/>
                <w:color w:val="000000"/>
                <w:sz w:val="20"/>
                <w:szCs w:val="20"/>
              </w:rPr>
              <w:t>for costs for promotion of specific venues, tradeshows, events, meetings, programs, conventions, symposia, seminars, etc. tha</w:t>
            </w:r>
            <w:r w:rsidRPr="00A75390">
              <w:rPr>
                <w:rFonts w:ascii="Calibri" w:eastAsia="Calibri" w:hAnsi="Calibri" w:cs="Calibri"/>
                <w:color w:val="000000"/>
                <w:sz w:val="20"/>
                <w:szCs w:val="20"/>
              </w:rPr>
              <w:t xml:space="preserve">t do not align with the legislated purpose of the grant program. </w:t>
            </w:r>
          </w:p>
        </w:tc>
      </w:tr>
      <w:tr w:rsidR="004F33DA" w:rsidRPr="00832F93" w14:paraId="37961B2D" w14:textId="77777777" w:rsidTr="00F3479E">
        <w:trPr>
          <w:trHeight w:val="1583"/>
        </w:trPr>
        <w:tc>
          <w:tcPr>
            <w:tcW w:w="2250" w:type="dxa"/>
            <w:shd w:val="clear" w:color="auto" w:fill="auto"/>
          </w:tcPr>
          <w:p w14:paraId="2C4C7E09"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 xml:space="preserve">Selling and Marketing Costs – Promotional </w:t>
            </w:r>
          </w:p>
          <w:p w14:paraId="0D8BF9DC"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Items, Gifts, Prizes, etc.</w:t>
            </w:r>
          </w:p>
        </w:tc>
        <w:tc>
          <w:tcPr>
            <w:tcW w:w="8100" w:type="dxa"/>
            <w:shd w:val="clear" w:color="auto" w:fill="auto"/>
          </w:tcPr>
          <w:p w14:paraId="4DFD378D"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i/>
                <w:iCs/>
                <w:color w:val="000000"/>
                <w:sz w:val="20"/>
                <w:szCs w:val="20"/>
              </w:rPr>
              <w:t>Unallowable</w:t>
            </w:r>
            <w:r w:rsidRPr="00A75390">
              <w:rPr>
                <w:rFonts w:ascii="Calibri" w:eastAsia="Calibri" w:hAnsi="Calibri" w:cs="Calibri"/>
                <w:b/>
                <w:bCs/>
                <w:i/>
                <w:iCs/>
                <w:color w:val="000000"/>
                <w:sz w:val="20"/>
                <w:szCs w:val="20"/>
              </w:rPr>
              <w:t xml:space="preserve"> </w:t>
            </w:r>
            <w:r w:rsidRPr="00A75390">
              <w:rPr>
                <w:rFonts w:ascii="Calibri" w:eastAsia="Calibri" w:hAnsi="Calibri" w:cs="Calibri"/>
                <w:color w:val="000000"/>
                <w:sz w:val="20"/>
                <w:szCs w:val="20"/>
              </w:rPr>
              <w:t xml:space="preserve">for promotional items, swag, gifts, prizes, memorabilia, and souvenirs. </w:t>
            </w:r>
          </w:p>
          <w:p w14:paraId="0648F2C5"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i/>
                <w:iCs/>
                <w:color w:val="000000"/>
                <w:sz w:val="20"/>
                <w:szCs w:val="20"/>
              </w:rPr>
              <w:t>Allowable with conditions</w:t>
            </w:r>
            <w:r w:rsidRPr="00A75390">
              <w:rPr>
                <w:rFonts w:ascii="Calibri" w:eastAsia="Calibri" w:hAnsi="Calibri" w:cs="Calibri"/>
                <w:b/>
                <w:bCs/>
                <w:i/>
                <w:iCs/>
                <w:color w:val="000000"/>
                <w:sz w:val="20"/>
                <w:szCs w:val="20"/>
              </w:rPr>
              <w:t xml:space="preserve"> </w:t>
            </w:r>
            <w:r w:rsidRPr="00A75390">
              <w:rPr>
                <w:rFonts w:ascii="Calibri" w:eastAsia="Calibri" w:hAnsi="Calibri" w:cs="Calibri"/>
                <w:color w:val="000000"/>
                <w:sz w:val="20"/>
                <w:szCs w:val="20"/>
              </w:rPr>
              <w:t>to meet the requirements of the sponsored agreement, in the approved application or with prior approval for marketing activities directly related to the funded project. Promotional items include point-of-sale materials, promotional kits, signs or streamers, automobile stickers, table tents, and place mats, or promotional items of a personal nature (e.g., t-shirt, hats, etc.).</w:t>
            </w:r>
          </w:p>
        </w:tc>
      </w:tr>
      <w:tr w:rsidR="004F33DA" w:rsidRPr="00832F93" w14:paraId="20E80203" w14:textId="77777777" w:rsidTr="00F3479E">
        <w:tc>
          <w:tcPr>
            <w:tcW w:w="2250" w:type="dxa"/>
            <w:shd w:val="clear" w:color="auto" w:fill="auto"/>
          </w:tcPr>
          <w:p w14:paraId="149D5C40"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 xml:space="preserve">Selling and Marketing Costs – Coupons, Incentives or Other Price Discounts </w:t>
            </w:r>
          </w:p>
        </w:tc>
        <w:tc>
          <w:tcPr>
            <w:tcW w:w="8100" w:type="dxa"/>
            <w:shd w:val="clear" w:color="auto" w:fill="auto"/>
          </w:tcPr>
          <w:p w14:paraId="73E8C0FD"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547110">
              <w:rPr>
                <w:rFonts w:ascii="Calibri" w:eastAsia="Calibri" w:hAnsi="Calibri" w:cs="Calibri"/>
                <w:i/>
                <w:iCs/>
                <w:color w:val="000000"/>
                <w:sz w:val="20"/>
                <w:szCs w:val="20"/>
              </w:rPr>
              <w:t>Unallowable</w:t>
            </w:r>
            <w:r w:rsidRPr="00547110">
              <w:rPr>
                <w:rFonts w:ascii="Calibri" w:eastAsia="Calibri" w:hAnsi="Calibri" w:cs="Calibri"/>
                <w:b/>
                <w:bCs/>
                <w:i/>
                <w:iCs/>
                <w:color w:val="000000"/>
                <w:sz w:val="20"/>
                <w:szCs w:val="20"/>
              </w:rPr>
              <w:t xml:space="preserve"> </w:t>
            </w:r>
            <w:r w:rsidRPr="00547110">
              <w:rPr>
                <w:rFonts w:ascii="Calibri" w:eastAsia="Calibri" w:hAnsi="Calibri" w:cs="Calibri"/>
                <w:color w:val="000000"/>
                <w:sz w:val="20"/>
                <w:szCs w:val="20"/>
              </w:rPr>
              <w:t xml:space="preserve">for costs of the value of coupon/incentive redemptions or price discounts (e.g., the $5.00 value for a $5.00 clip-out coupon).  </w:t>
            </w:r>
          </w:p>
          <w:p w14:paraId="43409D86"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i/>
                <w:iCs/>
                <w:color w:val="000000"/>
                <w:sz w:val="20"/>
                <w:szCs w:val="20"/>
              </w:rPr>
              <w:t>Allowable</w:t>
            </w:r>
            <w:r w:rsidRPr="00A75390">
              <w:rPr>
                <w:rFonts w:ascii="Calibri" w:eastAsia="Calibri" w:hAnsi="Calibri" w:cs="Calibri"/>
                <w:color w:val="000000"/>
                <w:sz w:val="20"/>
                <w:szCs w:val="20"/>
              </w:rPr>
              <w:t xml:space="preserve"> for costs associated with printing, distribution, or promotion of coupons/tokens or price discounts (e.g., a print advertisement that contains a clip-out coupon) </w:t>
            </w:r>
            <w:proofErr w:type="gramStart"/>
            <w:r w:rsidRPr="00A75390">
              <w:rPr>
                <w:rFonts w:ascii="Calibri" w:eastAsia="Calibri" w:hAnsi="Calibri" w:cs="Calibri"/>
                <w:color w:val="000000"/>
                <w:sz w:val="20"/>
                <w:szCs w:val="20"/>
              </w:rPr>
              <w:t>as long as</w:t>
            </w:r>
            <w:proofErr w:type="gramEnd"/>
            <w:r w:rsidRPr="00A75390">
              <w:rPr>
                <w:rFonts w:ascii="Calibri" w:eastAsia="Calibri" w:hAnsi="Calibri" w:cs="Calibri"/>
                <w:color w:val="000000"/>
                <w:sz w:val="20"/>
                <w:szCs w:val="20"/>
              </w:rPr>
              <w:t xml:space="preserve"> they benefit more than a single program or organization.</w:t>
            </w:r>
          </w:p>
        </w:tc>
      </w:tr>
      <w:tr w:rsidR="004F33DA" w:rsidRPr="00832F93" w14:paraId="1D648CD0" w14:textId="77777777" w:rsidTr="00F3479E">
        <w:tc>
          <w:tcPr>
            <w:tcW w:w="2250" w:type="dxa"/>
            <w:shd w:val="clear" w:color="auto" w:fill="auto"/>
          </w:tcPr>
          <w:p w14:paraId="7FA1E8E1"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 xml:space="preserve">Selling and Marketing Costs – Food for Displays, Tastings, Cooking Demonstrations </w:t>
            </w:r>
          </w:p>
        </w:tc>
        <w:tc>
          <w:tcPr>
            <w:tcW w:w="8100" w:type="dxa"/>
            <w:shd w:val="clear" w:color="auto" w:fill="auto"/>
          </w:tcPr>
          <w:p w14:paraId="016FFDFF" w14:textId="77777777" w:rsidR="004F33DA" w:rsidRPr="00547110" w:rsidRDefault="004F33DA" w:rsidP="00F3479E">
            <w:pPr>
              <w:autoSpaceDE w:val="0"/>
              <w:autoSpaceDN w:val="0"/>
              <w:spacing w:line="240" w:lineRule="auto"/>
              <w:rPr>
                <w:rFonts w:ascii="Calibri" w:eastAsia="Calibri" w:hAnsi="Calibri" w:cs="Calibri"/>
                <w:color w:val="000000"/>
                <w:sz w:val="20"/>
                <w:szCs w:val="20"/>
              </w:rPr>
            </w:pPr>
            <w:r w:rsidRPr="00547110">
              <w:rPr>
                <w:rFonts w:ascii="Calibri" w:eastAsia="Calibri" w:hAnsi="Calibri" w:cs="Calibri"/>
                <w:i/>
                <w:iCs/>
                <w:color w:val="000000"/>
                <w:sz w:val="20"/>
                <w:szCs w:val="20"/>
              </w:rPr>
              <w:t>Allowable</w:t>
            </w:r>
            <w:r w:rsidRPr="00547110">
              <w:rPr>
                <w:rFonts w:ascii="Calibri" w:eastAsia="Calibri" w:hAnsi="Calibri" w:cs="Calibri"/>
                <w:b/>
                <w:bCs/>
                <w:i/>
                <w:iCs/>
                <w:color w:val="000000"/>
                <w:sz w:val="20"/>
                <w:szCs w:val="20"/>
              </w:rPr>
              <w:t xml:space="preserve"> </w:t>
            </w:r>
            <w:r w:rsidRPr="00547110">
              <w:rPr>
                <w:rFonts w:ascii="Calibri" w:eastAsia="Calibri" w:hAnsi="Calibri" w:cs="Calibri"/>
                <w:color w:val="000000"/>
                <w:sz w:val="20"/>
                <w:szCs w:val="20"/>
              </w:rPr>
              <w:t xml:space="preserve">for food for displays, tastings, and cooking demonstrations. </w:t>
            </w:r>
          </w:p>
          <w:p w14:paraId="406FD5A9"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i/>
                <w:iCs/>
                <w:color w:val="000000"/>
                <w:sz w:val="20"/>
                <w:szCs w:val="20"/>
              </w:rPr>
              <w:t>Unallowable</w:t>
            </w:r>
            <w:r w:rsidRPr="00A75390">
              <w:rPr>
                <w:rFonts w:ascii="Calibri" w:eastAsia="Calibri" w:hAnsi="Calibri" w:cs="Calibri"/>
                <w:b/>
                <w:bCs/>
                <w:i/>
                <w:iCs/>
                <w:color w:val="000000"/>
                <w:sz w:val="20"/>
                <w:szCs w:val="20"/>
              </w:rPr>
              <w:t xml:space="preserve"> </w:t>
            </w:r>
            <w:r w:rsidRPr="00A75390">
              <w:rPr>
                <w:rFonts w:ascii="Calibri" w:eastAsia="Calibri" w:hAnsi="Calibri" w:cs="Calibri"/>
                <w:color w:val="000000"/>
                <w:sz w:val="20"/>
                <w:szCs w:val="20"/>
              </w:rPr>
              <w:t>where the specific cost is considered to meet the programmatic purpose of the sponsored program and is authorized in the approved budget or with prior written approval.</w:t>
            </w:r>
          </w:p>
        </w:tc>
      </w:tr>
      <w:tr w:rsidR="004F33DA" w:rsidRPr="00832F93" w14:paraId="14D284B3" w14:textId="77777777" w:rsidTr="00F3479E">
        <w:tc>
          <w:tcPr>
            <w:tcW w:w="2250" w:type="dxa"/>
            <w:shd w:val="clear" w:color="auto" w:fill="auto"/>
          </w:tcPr>
          <w:p w14:paraId="357AD364"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 xml:space="preserve">Selling and Marketing Costs – General Marketing Costs </w:t>
            </w:r>
          </w:p>
        </w:tc>
        <w:tc>
          <w:tcPr>
            <w:tcW w:w="8100" w:type="dxa"/>
            <w:shd w:val="clear" w:color="auto" w:fill="auto"/>
          </w:tcPr>
          <w:p w14:paraId="440C7646"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547110">
              <w:rPr>
                <w:rFonts w:ascii="Calibri" w:eastAsia="Calibri" w:hAnsi="Calibri" w:cs="Calibri"/>
                <w:i/>
                <w:iCs/>
                <w:color w:val="000000"/>
                <w:sz w:val="20"/>
                <w:szCs w:val="20"/>
              </w:rPr>
              <w:t>Unallowable</w:t>
            </w:r>
            <w:r w:rsidRPr="00547110">
              <w:rPr>
                <w:rFonts w:ascii="Calibri" w:eastAsia="Calibri" w:hAnsi="Calibri" w:cs="Calibri"/>
                <w:b/>
                <w:bCs/>
                <w:i/>
                <w:iCs/>
                <w:color w:val="000000"/>
                <w:sz w:val="20"/>
                <w:szCs w:val="20"/>
              </w:rPr>
              <w:t xml:space="preserve"> </w:t>
            </w:r>
            <w:r w:rsidRPr="00547110">
              <w:rPr>
                <w:rFonts w:ascii="Calibri" w:eastAsia="Calibri" w:hAnsi="Calibri" w:cs="Calibri"/>
                <w:color w:val="000000"/>
                <w:sz w:val="20"/>
                <w:szCs w:val="20"/>
              </w:rPr>
              <w:t xml:space="preserve">for costs designed solely to promote the image of an organization, general logo, or general brand. </w:t>
            </w:r>
          </w:p>
          <w:p w14:paraId="2D223831"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i/>
                <w:iCs/>
                <w:color w:val="000000"/>
                <w:sz w:val="20"/>
                <w:szCs w:val="20"/>
              </w:rPr>
              <w:t>Allowable</w:t>
            </w:r>
            <w:r w:rsidRPr="00A75390">
              <w:rPr>
                <w:rFonts w:ascii="Calibri" w:eastAsia="Calibri" w:hAnsi="Calibri" w:cs="Calibri"/>
                <w:color w:val="000000"/>
                <w:sz w:val="20"/>
                <w:szCs w:val="20"/>
              </w:rPr>
              <w:t xml:space="preserve"> for costs designed to promote products that align with the purpose of the grant program.  </w:t>
            </w:r>
          </w:p>
        </w:tc>
      </w:tr>
      <w:tr w:rsidR="004F33DA" w:rsidRPr="00832F93" w14:paraId="02515E80" w14:textId="77777777" w:rsidTr="00F3479E">
        <w:tc>
          <w:tcPr>
            <w:tcW w:w="2250" w:type="dxa"/>
            <w:shd w:val="clear" w:color="auto" w:fill="auto"/>
          </w:tcPr>
          <w:p w14:paraId="6B3972C8"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 xml:space="preserve">Selling and Marketing Costs – Sponsorships </w:t>
            </w:r>
          </w:p>
        </w:tc>
        <w:tc>
          <w:tcPr>
            <w:tcW w:w="8100" w:type="dxa"/>
            <w:shd w:val="clear" w:color="auto" w:fill="auto"/>
          </w:tcPr>
          <w:p w14:paraId="15F565DC"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i/>
                <w:iCs/>
                <w:color w:val="000000"/>
                <w:sz w:val="20"/>
                <w:szCs w:val="20"/>
              </w:rPr>
              <w:t>Unallowable</w:t>
            </w:r>
            <w:r w:rsidRPr="00A75390">
              <w:rPr>
                <w:rFonts w:ascii="Calibri" w:eastAsia="Calibri" w:hAnsi="Calibri" w:cs="Calibri"/>
                <w:b/>
                <w:bCs/>
                <w:i/>
                <w:iCs/>
                <w:color w:val="000000"/>
                <w:sz w:val="20"/>
                <w:szCs w:val="20"/>
              </w:rPr>
              <w:t xml:space="preserve"> </w:t>
            </w:r>
            <w:r w:rsidRPr="00A75390">
              <w:rPr>
                <w:rFonts w:ascii="Calibri" w:eastAsia="Calibri" w:hAnsi="Calibri" w:cs="Calibri"/>
                <w:color w:val="000000"/>
                <w:sz w:val="20"/>
                <w:szCs w:val="20"/>
              </w:rPr>
              <w:t>for costs associated with sponsorships. A sponsorship is a form of advertising in which an organization uses grant funds to have its name and/or logo associated with certain events and where the organization does not necessarily know how the funds associated with</w:t>
            </w:r>
            <w:r w:rsidRPr="00A75390">
              <w:rPr>
                <w:rFonts w:ascii="Calibri" w:eastAsia="Calibri" w:hAnsi="Calibri" w:cs="Calibri"/>
                <w:b/>
                <w:bCs/>
                <w:color w:val="000000"/>
                <w:sz w:val="20"/>
                <w:szCs w:val="20"/>
              </w:rPr>
              <w:t xml:space="preserve"> </w:t>
            </w:r>
            <w:r w:rsidRPr="00A75390">
              <w:rPr>
                <w:rFonts w:ascii="Calibri" w:eastAsia="Calibri" w:hAnsi="Calibri" w:cs="Calibri"/>
                <w:color w:val="000000"/>
                <w:sz w:val="20"/>
                <w:szCs w:val="20"/>
              </w:rPr>
              <w:t>sponsorship costs will be used. These costs also benefit only the organization offering funding, limiting the beneficiaries to the sponsor organization.</w:t>
            </w:r>
          </w:p>
        </w:tc>
      </w:tr>
      <w:tr w:rsidR="004F33DA" w:rsidRPr="00832F93" w14:paraId="11B3D410" w14:textId="77777777" w:rsidTr="00F3479E">
        <w:tc>
          <w:tcPr>
            <w:tcW w:w="2250" w:type="dxa"/>
            <w:shd w:val="clear" w:color="auto" w:fill="auto"/>
          </w:tcPr>
          <w:p w14:paraId="06A3031C"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 xml:space="preserve">Selling and Marketing Costs – Use of Meeting Rooms, Space, </w:t>
            </w:r>
            <w:proofErr w:type="gramStart"/>
            <w:r w:rsidRPr="00547110">
              <w:rPr>
                <w:rFonts w:ascii="Calibri" w:eastAsia="Calibri" w:hAnsi="Calibri" w:cs="Calibri"/>
                <w:b/>
                <w:bCs/>
                <w:color w:val="000000"/>
                <w:sz w:val="20"/>
                <w:szCs w:val="20"/>
              </w:rPr>
              <w:t>Exhibits</w:t>
            </w:r>
            <w:proofErr w:type="gramEnd"/>
            <w:r w:rsidRPr="00547110">
              <w:rPr>
                <w:rFonts w:ascii="Calibri" w:eastAsia="Calibri" w:hAnsi="Calibri" w:cs="Calibri"/>
                <w:b/>
                <w:bCs/>
                <w:color w:val="000000"/>
                <w:sz w:val="20"/>
                <w:szCs w:val="20"/>
              </w:rPr>
              <w:t xml:space="preserve"> that do not Align with Grant Program Purpose </w:t>
            </w:r>
          </w:p>
        </w:tc>
        <w:tc>
          <w:tcPr>
            <w:tcW w:w="8100" w:type="dxa"/>
            <w:shd w:val="clear" w:color="auto" w:fill="auto"/>
          </w:tcPr>
          <w:p w14:paraId="36BAFBE7" w14:textId="77777777" w:rsidR="004F33DA" w:rsidRPr="00EA63FF" w:rsidRDefault="004F33DA" w:rsidP="00F3479E">
            <w:pPr>
              <w:autoSpaceDE w:val="0"/>
              <w:autoSpaceDN w:val="0"/>
              <w:spacing w:line="240" w:lineRule="auto"/>
              <w:rPr>
                <w:rFonts w:ascii="Calibri" w:eastAsia="Calibri" w:hAnsi="Calibri" w:cs="Calibri"/>
                <w:noProof/>
                <w:sz w:val="20"/>
                <w:szCs w:val="20"/>
              </w:rPr>
            </w:pPr>
            <w:r w:rsidRPr="00547110">
              <w:rPr>
                <w:rFonts w:ascii="Calibri" w:eastAsia="Calibri" w:hAnsi="Calibri" w:cs="Calibri"/>
                <w:i/>
                <w:iCs/>
                <w:noProof/>
                <w:sz w:val="20"/>
                <w:szCs w:val="20"/>
              </w:rPr>
              <w:t>Unallowable</w:t>
            </w:r>
            <w:r w:rsidRPr="00A75390">
              <w:rPr>
                <w:rFonts w:ascii="Calibri" w:eastAsia="Calibri" w:hAnsi="Calibri" w:cs="Calibri"/>
                <w:noProof/>
                <w:sz w:val="20"/>
                <w:szCs w:val="20"/>
              </w:rPr>
              <w:t xml:space="preserve"> for costs associated with trade show attendance/displays, meeting room reservations, and/or any other displays, demonstrations, exhibits, or rental of space where activities do not specifically align with the purpose of the grant program. See Conferences for more information.</w:t>
            </w:r>
          </w:p>
          <w:p w14:paraId="3E5E9644" w14:textId="77777777" w:rsidR="004F33DA" w:rsidRPr="00EA63FF" w:rsidRDefault="004F33DA" w:rsidP="00F3479E">
            <w:pPr>
              <w:autoSpaceDE w:val="0"/>
              <w:autoSpaceDN w:val="0"/>
              <w:spacing w:line="240" w:lineRule="auto"/>
              <w:rPr>
                <w:rFonts w:ascii="Calibri" w:eastAsia="Calibri" w:hAnsi="Calibri" w:cs="Calibri"/>
                <w:noProof/>
                <w:color w:val="000000"/>
                <w:sz w:val="20"/>
                <w:szCs w:val="20"/>
              </w:rPr>
            </w:pPr>
          </w:p>
          <w:p w14:paraId="4DB77296" w14:textId="77777777" w:rsidR="004F33DA" w:rsidRPr="00547110" w:rsidRDefault="004F33DA" w:rsidP="00F3479E">
            <w:pPr>
              <w:autoSpaceDE w:val="0"/>
              <w:autoSpaceDN w:val="0"/>
              <w:spacing w:line="240" w:lineRule="auto"/>
              <w:rPr>
                <w:rFonts w:ascii="Calibri" w:eastAsia="Calibri" w:hAnsi="Calibri" w:cs="Calibri"/>
                <w:color w:val="000000"/>
                <w:sz w:val="20"/>
                <w:szCs w:val="20"/>
              </w:rPr>
            </w:pPr>
          </w:p>
        </w:tc>
      </w:tr>
      <w:tr w:rsidR="004F33DA" w:rsidRPr="00832F93" w14:paraId="54FADE1A" w14:textId="77777777" w:rsidTr="00F3479E">
        <w:tc>
          <w:tcPr>
            <w:tcW w:w="2250" w:type="dxa"/>
            <w:shd w:val="clear" w:color="auto" w:fill="auto"/>
          </w:tcPr>
          <w:p w14:paraId="3ADB2F0C"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 xml:space="preserve">Supplies and Materials, </w:t>
            </w:r>
            <w:r w:rsidRPr="00547110">
              <w:rPr>
                <w:rFonts w:ascii="Calibri" w:eastAsia="Calibri" w:hAnsi="Calibri" w:cs="Calibri"/>
                <w:b/>
                <w:bCs/>
                <w:color w:val="000000"/>
                <w:sz w:val="20"/>
                <w:szCs w:val="20"/>
              </w:rPr>
              <w:lastRenderedPageBreak/>
              <w:t xml:space="preserve">Including Costs of Computing Devices </w:t>
            </w:r>
          </w:p>
        </w:tc>
        <w:tc>
          <w:tcPr>
            <w:tcW w:w="8100" w:type="dxa"/>
            <w:shd w:val="clear" w:color="auto" w:fill="auto"/>
          </w:tcPr>
          <w:p w14:paraId="05A8B2E9"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547110">
              <w:rPr>
                <w:rFonts w:ascii="Calibri" w:eastAsia="Calibri" w:hAnsi="Calibri" w:cs="Calibri"/>
                <w:i/>
                <w:iCs/>
                <w:color w:val="000000"/>
                <w:sz w:val="20"/>
                <w:szCs w:val="20"/>
              </w:rPr>
              <w:lastRenderedPageBreak/>
              <w:t>Allowable</w:t>
            </w:r>
            <w:r w:rsidRPr="00547110">
              <w:rPr>
                <w:rFonts w:ascii="Calibri" w:eastAsia="Calibri" w:hAnsi="Calibri" w:cs="Calibri"/>
                <w:b/>
                <w:bCs/>
                <w:i/>
                <w:iCs/>
                <w:color w:val="000000"/>
                <w:sz w:val="20"/>
                <w:szCs w:val="20"/>
              </w:rPr>
              <w:t xml:space="preserve"> </w:t>
            </w:r>
            <w:r w:rsidRPr="00547110">
              <w:rPr>
                <w:rFonts w:ascii="Calibri" w:eastAsia="Calibri" w:hAnsi="Calibri" w:cs="Calibri"/>
                <w:color w:val="000000"/>
                <w:sz w:val="20"/>
                <w:szCs w:val="20"/>
              </w:rPr>
              <w:t xml:space="preserve">for costs incurred for materials, supplies, and fabricated parts necessary to carry out a </w:t>
            </w:r>
            <w:proofErr w:type="gramStart"/>
            <w:r w:rsidRPr="00547110">
              <w:rPr>
                <w:rFonts w:ascii="Calibri" w:eastAsia="Calibri" w:hAnsi="Calibri" w:cs="Calibri"/>
                <w:color w:val="000000"/>
                <w:sz w:val="20"/>
                <w:szCs w:val="20"/>
              </w:rPr>
              <w:lastRenderedPageBreak/>
              <w:t>Federal</w:t>
            </w:r>
            <w:proofErr w:type="gramEnd"/>
            <w:r w:rsidRPr="00547110">
              <w:rPr>
                <w:rFonts w:ascii="Calibri" w:eastAsia="Calibri" w:hAnsi="Calibri" w:cs="Calibri"/>
                <w:color w:val="000000"/>
                <w:sz w:val="20"/>
                <w:szCs w:val="20"/>
              </w:rPr>
              <w:t xml:space="preserve"> award. Purchased</w:t>
            </w:r>
            <w:r w:rsidRPr="00A75390">
              <w:rPr>
                <w:rFonts w:ascii="Calibri" w:eastAsia="Calibri" w:hAnsi="Calibri" w:cs="Calibri"/>
                <w:color w:val="000000"/>
                <w:sz w:val="20"/>
                <w:szCs w:val="20"/>
              </w:rPr>
              <w:t xml:space="preserve"> materials and supplies must be charged at their actual prices, net of applicable credits. Withdrawals from general stores or stockrooms should be charged at their actual net cost under any recognized method of pricing inventory withdrawals, consistently applied. Incoming transportation charges are a proper part of materials and supplies costs. Only materials and supplies used for the performance of a </w:t>
            </w:r>
            <w:proofErr w:type="gramStart"/>
            <w:r w:rsidRPr="00A75390">
              <w:rPr>
                <w:rFonts w:ascii="Calibri" w:eastAsia="Calibri" w:hAnsi="Calibri" w:cs="Calibri"/>
                <w:color w:val="000000"/>
                <w:sz w:val="20"/>
                <w:szCs w:val="20"/>
              </w:rPr>
              <w:t>Federal</w:t>
            </w:r>
            <w:proofErr w:type="gramEnd"/>
            <w:r w:rsidRPr="00A75390">
              <w:rPr>
                <w:rFonts w:ascii="Calibri" w:eastAsia="Calibri" w:hAnsi="Calibri" w:cs="Calibri"/>
                <w:color w:val="000000"/>
                <w:sz w:val="20"/>
                <w:szCs w:val="20"/>
              </w:rPr>
              <w:t xml:space="preserve"> award may be charged as direct costs. </w:t>
            </w:r>
          </w:p>
          <w:p w14:paraId="33E43610"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color w:val="000000"/>
                <w:sz w:val="20"/>
                <w:szCs w:val="20"/>
              </w:rPr>
              <w:t xml:space="preserve">A computing device is a supply if the acquisition cost is less than the lesser of the capitalization level established by the recipient for financial statement purposes or $5,000, regardless of the length of its useful life. In the specific case of computing devices, charging as direct cost is allowable for devices that are essential and allocable, but not solely dedicated, to the performance of a </w:t>
            </w:r>
            <w:proofErr w:type="gramStart"/>
            <w:r w:rsidRPr="00A75390">
              <w:rPr>
                <w:rFonts w:ascii="Calibri" w:eastAsia="Calibri" w:hAnsi="Calibri" w:cs="Calibri"/>
                <w:color w:val="000000"/>
                <w:sz w:val="20"/>
                <w:szCs w:val="20"/>
              </w:rPr>
              <w:t>Federal</w:t>
            </w:r>
            <w:proofErr w:type="gramEnd"/>
            <w:r w:rsidRPr="00A75390">
              <w:rPr>
                <w:rFonts w:ascii="Calibri" w:eastAsia="Calibri" w:hAnsi="Calibri" w:cs="Calibri"/>
                <w:color w:val="000000"/>
                <w:sz w:val="20"/>
                <w:szCs w:val="20"/>
              </w:rPr>
              <w:t xml:space="preserve"> award. Where </w:t>
            </w:r>
            <w:proofErr w:type="gramStart"/>
            <w:r w:rsidRPr="00A75390">
              <w:rPr>
                <w:rFonts w:ascii="Calibri" w:eastAsia="Calibri" w:hAnsi="Calibri" w:cs="Calibri"/>
                <w:color w:val="000000"/>
                <w:sz w:val="20"/>
                <w:szCs w:val="20"/>
              </w:rPr>
              <w:t>Federally</w:t>
            </w:r>
            <w:proofErr w:type="gramEnd"/>
            <w:r w:rsidRPr="00A75390">
              <w:rPr>
                <w:rFonts w:ascii="Calibri" w:eastAsia="Calibri" w:hAnsi="Calibri" w:cs="Calibri"/>
                <w:color w:val="000000"/>
                <w:sz w:val="20"/>
                <w:szCs w:val="20"/>
              </w:rPr>
              <w:t xml:space="preserve"> donated or furnished materials are used in performing the Federal award, such materials will be used without charge.</w:t>
            </w:r>
          </w:p>
        </w:tc>
      </w:tr>
      <w:tr w:rsidR="004F33DA" w:rsidRPr="00832F93" w14:paraId="14ACE915" w14:textId="77777777" w:rsidTr="00F3479E">
        <w:tc>
          <w:tcPr>
            <w:tcW w:w="2250" w:type="dxa"/>
            <w:shd w:val="clear" w:color="auto" w:fill="auto"/>
          </w:tcPr>
          <w:p w14:paraId="37276091"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lastRenderedPageBreak/>
              <w:t xml:space="preserve">Training </w:t>
            </w:r>
          </w:p>
        </w:tc>
        <w:tc>
          <w:tcPr>
            <w:tcW w:w="8100" w:type="dxa"/>
            <w:shd w:val="clear" w:color="auto" w:fill="auto"/>
          </w:tcPr>
          <w:p w14:paraId="7CB05B56"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547110">
              <w:rPr>
                <w:rFonts w:ascii="Calibri" w:eastAsia="Calibri" w:hAnsi="Calibri" w:cs="Calibri"/>
                <w:i/>
                <w:iCs/>
                <w:color w:val="000000"/>
                <w:sz w:val="20"/>
                <w:szCs w:val="20"/>
              </w:rPr>
              <w:t>Allowable</w:t>
            </w:r>
            <w:r w:rsidRPr="00547110">
              <w:rPr>
                <w:rFonts w:ascii="Calibri" w:eastAsia="Calibri" w:hAnsi="Calibri" w:cs="Calibri"/>
                <w:b/>
                <w:bCs/>
                <w:i/>
                <w:iCs/>
                <w:color w:val="000000"/>
                <w:sz w:val="20"/>
                <w:szCs w:val="20"/>
              </w:rPr>
              <w:t xml:space="preserve"> </w:t>
            </w:r>
            <w:r w:rsidRPr="00547110">
              <w:rPr>
                <w:rFonts w:ascii="Calibri" w:eastAsia="Calibri" w:hAnsi="Calibri" w:cs="Calibri"/>
                <w:color w:val="000000"/>
                <w:sz w:val="20"/>
                <w:szCs w:val="20"/>
              </w:rPr>
              <w:t>when the training is required to meet the objectives of the project or program, including training that is related to Federal grants manage</w:t>
            </w:r>
            <w:r w:rsidRPr="00A75390">
              <w:rPr>
                <w:rFonts w:ascii="Calibri" w:eastAsia="Calibri" w:hAnsi="Calibri" w:cs="Calibri"/>
                <w:color w:val="000000"/>
                <w:sz w:val="20"/>
                <w:szCs w:val="20"/>
              </w:rPr>
              <w:t xml:space="preserve">ment. </w:t>
            </w:r>
          </w:p>
        </w:tc>
      </w:tr>
      <w:tr w:rsidR="004F33DA" w:rsidRPr="00832F93" w14:paraId="1861930D" w14:textId="77777777" w:rsidTr="00F3479E">
        <w:tc>
          <w:tcPr>
            <w:tcW w:w="2250" w:type="dxa"/>
            <w:shd w:val="clear" w:color="auto" w:fill="auto"/>
          </w:tcPr>
          <w:p w14:paraId="48768167" w14:textId="77777777" w:rsidR="004F33DA" w:rsidRPr="00547110" w:rsidRDefault="004F33DA" w:rsidP="00F3479E">
            <w:pPr>
              <w:autoSpaceDE w:val="0"/>
              <w:autoSpaceDN w:val="0"/>
              <w:spacing w:line="240" w:lineRule="auto"/>
              <w:jc w:val="right"/>
              <w:rPr>
                <w:rFonts w:ascii="Calibri" w:eastAsia="Calibri" w:hAnsi="Calibri" w:cs="Calibri"/>
                <w:color w:val="000000"/>
                <w:sz w:val="20"/>
                <w:szCs w:val="20"/>
              </w:rPr>
            </w:pPr>
            <w:r w:rsidRPr="00547110">
              <w:rPr>
                <w:rFonts w:ascii="Calibri" w:eastAsia="Calibri" w:hAnsi="Calibri" w:cs="Calibri"/>
                <w:b/>
                <w:bCs/>
                <w:color w:val="000000"/>
                <w:sz w:val="20"/>
                <w:szCs w:val="20"/>
              </w:rPr>
              <w:t>Travel – Domestic and Foreign</w:t>
            </w:r>
          </w:p>
        </w:tc>
        <w:tc>
          <w:tcPr>
            <w:tcW w:w="8100" w:type="dxa"/>
            <w:shd w:val="clear" w:color="auto" w:fill="auto"/>
          </w:tcPr>
          <w:p w14:paraId="054F1DCB" w14:textId="77777777" w:rsidR="004F33DA" w:rsidRPr="00A75390" w:rsidRDefault="004F33DA" w:rsidP="00F3479E">
            <w:pPr>
              <w:pStyle w:val="Default"/>
              <w:spacing w:line="240" w:lineRule="auto"/>
              <w:rPr>
                <w:rFonts w:ascii="Calibri" w:eastAsia="Calibri" w:hAnsi="Calibri" w:cs="Calibri"/>
                <w:sz w:val="20"/>
                <w:szCs w:val="20"/>
              </w:rPr>
            </w:pPr>
            <w:r w:rsidRPr="00547110">
              <w:rPr>
                <w:rFonts w:ascii="Calibri" w:eastAsia="Calibri" w:hAnsi="Calibri" w:cs="Calibri"/>
                <w:i/>
                <w:iCs/>
                <w:sz w:val="20"/>
                <w:szCs w:val="20"/>
              </w:rPr>
              <w:t>Allowable</w:t>
            </w:r>
            <w:r w:rsidRPr="00547110">
              <w:rPr>
                <w:rFonts w:ascii="Calibri" w:eastAsia="Calibri" w:hAnsi="Calibri" w:cs="Calibri"/>
                <w:b/>
                <w:bCs/>
                <w:i/>
                <w:iCs/>
                <w:sz w:val="20"/>
                <w:szCs w:val="20"/>
              </w:rPr>
              <w:t xml:space="preserve"> </w:t>
            </w:r>
            <w:r w:rsidRPr="00547110">
              <w:rPr>
                <w:rFonts w:ascii="Calibri" w:eastAsia="Calibri" w:hAnsi="Calibri" w:cs="Calibri"/>
                <w:sz w:val="20"/>
                <w:szCs w:val="20"/>
              </w:rPr>
              <w:t xml:space="preserve">for travel, when provided in the approved budget or with prior written approval when costs are limited to those allowed by formal organizational policy and the purpose aligns with the legislated purpose of the program. </w:t>
            </w:r>
          </w:p>
          <w:p w14:paraId="4736B243" w14:textId="77777777" w:rsidR="004F33DA" w:rsidRPr="00A75390" w:rsidRDefault="004F33DA" w:rsidP="00F3479E">
            <w:pPr>
              <w:autoSpaceDE w:val="0"/>
              <w:autoSpaceDN w:val="0"/>
              <w:spacing w:line="240" w:lineRule="auto"/>
              <w:rPr>
                <w:rFonts w:ascii="Calibri" w:eastAsia="Calibri" w:hAnsi="Calibri" w:cs="Calibri"/>
                <w:color w:val="000000"/>
                <w:sz w:val="20"/>
                <w:szCs w:val="20"/>
              </w:rPr>
            </w:pPr>
            <w:r w:rsidRPr="00A75390">
              <w:rPr>
                <w:rFonts w:ascii="Calibri" w:eastAsia="Calibri" w:hAnsi="Calibri" w:cs="Calibri"/>
                <w:sz w:val="20"/>
                <w:szCs w:val="20"/>
              </w:rPr>
              <w:t xml:space="preserve">The allowable travel cost of recipients that do not have formal travel policies and for-profit entities may not exceed those established by the Federal Travel Regulation, issued by General Services Administration (GSA), including the maximum per diem and subsistence rates prescribed in those regulations. If a recipient does not have a formal travel policy, those regulations will be used to determine the amount that may be charged for travel costs. </w:t>
            </w:r>
          </w:p>
        </w:tc>
      </w:tr>
    </w:tbl>
    <w:p w14:paraId="56C284EF" w14:textId="77777777" w:rsidR="00D325C2" w:rsidRDefault="00D325C2"/>
    <w:sectPr w:rsidR="00D32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DA"/>
    <w:rsid w:val="004F33DA"/>
    <w:rsid w:val="00B24E16"/>
    <w:rsid w:val="00D252D0"/>
    <w:rsid w:val="00D32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988A"/>
  <w15:chartTrackingRefBased/>
  <w15:docId w15:val="{09D8C2FA-0693-420C-BB69-2640169B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3DA"/>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3DA"/>
    <w:pPr>
      <w:widowControl w:val="0"/>
      <w:autoSpaceDE w:val="0"/>
      <w:autoSpaceDN w:val="0"/>
      <w:adjustRightInd w:val="0"/>
      <w:spacing w:after="0" w:line="360" w:lineRule="atLeast"/>
      <w:jc w:val="both"/>
      <w:textAlignment w:val="baseline"/>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2C6921B094A4CB6C759F89BBAF4E8" ma:contentTypeVersion="14" ma:contentTypeDescription="Create a new document." ma:contentTypeScope="" ma:versionID="bd7a7b4e3430630b288e99c3879fe65e">
  <xsd:schema xmlns:xsd="http://www.w3.org/2001/XMLSchema" xmlns:xs="http://www.w3.org/2001/XMLSchema" xmlns:p="http://schemas.microsoft.com/office/2006/metadata/properties" xmlns:ns2="b73e03fc-2c2a-4eb5-9efb-9038c02c6da4" xmlns:ns3="fddfbcf2-9f8c-42e4-85dc-cc5232653894" targetNamespace="http://schemas.microsoft.com/office/2006/metadata/properties" ma:root="true" ma:fieldsID="c8c153e8e78ca39828c52e520d291e97" ns2:_="" ns3:_="">
    <xsd:import namespace="b73e03fc-2c2a-4eb5-9efb-9038c02c6da4"/>
    <xsd:import namespace="fddfbcf2-9f8c-42e4-85dc-cc52326538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e03fc-2c2a-4eb5-9efb-9038c02c6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dfbcf2-9f8c-42e4-85dc-cc52326538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d22b03d-0548-4dad-8729-6c585d12858a}" ma:internalName="TaxCatchAll" ma:showField="CatchAllData" ma:web="fddfbcf2-9f8c-42e4-85dc-cc5232653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3e03fc-2c2a-4eb5-9efb-9038c02c6da4">
      <Terms xmlns="http://schemas.microsoft.com/office/infopath/2007/PartnerControls"/>
    </lcf76f155ced4ddcb4097134ff3c332f>
    <TaxCatchAll xmlns="fddfbcf2-9f8c-42e4-85dc-cc5232653894" xsi:nil="true"/>
  </documentManagement>
</p:properties>
</file>

<file path=customXml/itemProps1.xml><?xml version="1.0" encoding="utf-8"?>
<ds:datastoreItem xmlns:ds="http://schemas.openxmlformats.org/officeDocument/2006/customXml" ds:itemID="{D88E2879-24E2-431F-BAA1-6F7B03988606}"/>
</file>

<file path=customXml/itemProps2.xml><?xml version="1.0" encoding="utf-8"?>
<ds:datastoreItem xmlns:ds="http://schemas.openxmlformats.org/officeDocument/2006/customXml" ds:itemID="{694EFE2E-1DCF-456E-928C-4485FE2A910B}"/>
</file>

<file path=customXml/itemProps3.xml><?xml version="1.0" encoding="utf-8"?>
<ds:datastoreItem xmlns:ds="http://schemas.openxmlformats.org/officeDocument/2006/customXml" ds:itemID="{1F745C6A-B270-4488-8A3D-AEE5C2D55652}"/>
</file>

<file path=docProps/app.xml><?xml version="1.0" encoding="utf-8"?>
<Properties xmlns="http://schemas.openxmlformats.org/officeDocument/2006/extended-properties" xmlns:vt="http://schemas.openxmlformats.org/officeDocument/2006/docPropsVTypes">
  <Template>Normal</Template>
  <TotalTime>1</TotalTime>
  <Pages>6</Pages>
  <Words>3232</Words>
  <Characters>18429</Characters>
  <Application>Microsoft Office Word</Application>
  <DocSecurity>0</DocSecurity>
  <Lines>153</Lines>
  <Paragraphs>43</Paragraphs>
  <ScaleCrop>false</ScaleCrop>
  <Company>State of Connecticut</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Rebecca</dc:creator>
  <cp:keywords/>
  <dc:description/>
  <cp:lastModifiedBy>Eddy, Rebecca</cp:lastModifiedBy>
  <cp:revision>1</cp:revision>
  <dcterms:created xsi:type="dcterms:W3CDTF">2023-02-01T18:09:00Z</dcterms:created>
  <dcterms:modified xsi:type="dcterms:W3CDTF">2023-02-01T18:10:00Z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0x0101008032C6921B094A4CB6C759F89BBAF4E8</vt:lpwstr>
  </property>
</Properties>
</file>