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CB3" w:rsidRPr="003016DD" w:rsidRDefault="00AE3113" w:rsidP="00AE3113">
      <w:pPr>
        <w:spacing w:after="0" w:line="240" w:lineRule="auto"/>
        <w:jc w:val="center"/>
        <w:rPr>
          <w:b/>
        </w:rPr>
      </w:pPr>
      <w:r w:rsidRPr="003016DD">
        <w:rPr>
          <w:b/>
        </w:rPr>
        <w:t>Accreditation Learning Community</w:t>
      </w:r>
    </w:p>
    <w:p w:rsidR="00AE3113" w:rsidRDefault="009E3FE3" w:rsidP="00AE3113">
      <w:pPr>
        <w:spacing w:after="0" w:line="240" w:lineRule="auto"/>
        <w:jc w:val="center"/>
      </w:pPr>
      <w:r>
        <w:t>January 24</w:t>
      </w:r>
      <w:r w:rsidR="00AE3113">
        <w:t>, 201</w:t>
      </w:r>
      <w:r>
        <w:t>8</w:t>
      </w:r>
    </w:p>
    <w:p w:rsidR="00AE3113" w:rsidRDefault="00AE3113" w:rsidP="00AE3113">
      <w:pPr>
        <w:spacing w:after="0" w:line="240" w:lineRule="auto"/>
        <w:jc w:val="center"/>
      </w:pPr>
      <w:r>
        <w:t>Meeting Summary</w:t>
      </w:r>
    </w:p>
    <w:p w:rsidR="00BE3987" w:rsidRDefault="00BE3987" w:rsidP="00AE3113">
      <w:pPr>
        <w:spacing w:after="0" w:line="240" w:lineRule="auto"/>
      </w:pPr>
    </w:p>
    <w:p w:rsidR="002A4BFD" w:rsidRDefault="002A4BFD" w:rsidP="00AE3113">
      <w:pPr>
        <w:spacing w:after="0" w:line="240" w:lineRule="auto"/>
      </w:pPr>
    </w:p>
    <w:p w:rsidR="00CC513E" w:rsidRDefault="00210D7E" w:rsidP="002A4BFD">
      <w:pPr>
        <w:spacing w:after="0" w:line="240" w:lineRule="auto"/>
        <w:rPr>
          <w:b/>
        </w:rPr>
      </w:pPr>
      <w:r>
        <w:rPr>
          <w:b/>
        </w:rPr>
        <w:t>Accreditation Landscape - Connecticut</w:t>
      </w:r>
    </w:p>
    <w:p w:rsidR="00210D7E" w:rsidRPr="00210D7E" w:rsidRDefault="00210D7E" w:rsidP="00210D7E">
      <w:r>
        <w:t>A slide in the power point demonstrates the landscape of accreditation across CT based on the Local Health Department Survey responses from 2017.</w:t>
      </w:r>
      <w:r w:rsidRPr="00210D7E">
        <w:rPr>
          <w:rFonts w:eastAsiaTheme="minorEastAsia" w:hAnsi="Calibri"/>
          <w:color w:val="000000" w:themeColor="text1"/>
          <w:kern w:val="24"/>
          <w:sz w:val="24"/>
          <w:szCs w:val="24"/>
        </w:rPr>
        <w:t xml:space="preserve"> </w:t>
      </w:r>
      <w:r>
        <w:t>CT has</w:t>
      </w:r>
      <w:r w:rsidRPr="00210D7E">
        <w:t xml:space="preserve"> 3 accredited local health departments, and one that has recently applied for accreditation. There are seven or eight other local health departments that indicated they plan to officially apply for accreditation in 2018. </w:t>
      </w:r>
    </w:p>
    <w:p w:rsidR="00210D7E" w:rsidRDefault="00210D7E" w:rsidP="00210D7E">
      <w:pPr>
        <w:spacing w:after="0" w:line="240" w:lineRule="auto"/>
      </w:pPr>
      <w:r>
        <w:t>The</w:t>
      </w:r>
      <w:r w:rsidRPr="00210D7E">
        <w:t xml:space="preserve"> goal for this learning community is to improve local health capacity and readiness for accreditation through peer collaboration and resource sharing, and increa</w:t>
      </w:r>
      <w:bookmarkStart w:id="0" w:name="_GoBack"/>
      <w:bookmarkEnd w:id="0"/>
      <w:r w:rsidRPr="00210D7E">
        <w:t>se the number of accredited health departments in the state. This is also an activity that supports a State Health Improvement Plan objective in the Health Systems focus area, which is to increase the percentage of governmental public health jurisdictions that meet PHAB standards, and aligns with the national Healthy People 2020 objective to increase the number of local and tribal health agencies that are accredited.</w:t>
      </w:r>
    </w:p>
    <w:p w:rsidR="00210D7E" w:rsidRPr="00210D7E" w:rsidRDefault="00210D7E" w:rsidP="00210D7E">
      <w:pPr>
        <w:spacing w:after="0" w:line="240" w:lineRule="auto"/>
      </w:pPr>
    </w:p>
    <w:p w:rsidR="00210D7E" w:rsidRPr="00210D7E" w:rsidRDefault="00210D7E" w:rsidP="00210D7E">
      <w:pPr>
        <w:spacing w:after="0" w:line="240" w:lineRule="auto"/>
      </w:pPr>
      <w:hyperlink r:id="rId5" w:history="1">
        <w:r w:rsidRPr="00210D7E">
          <w:rPr>
            <w:rStyle w:val="Hyperlink"/>
          </w:rPr>
          <w:t>Check out the SHIP Performance Dashboard indicators for local health accreditation</w:t>
        </w:r>
      </w:hyperlink>
      <w:r>
        <w:t>.</w:t>
      </w:r>
      <w:r w:rsidRPr="00210D7E">
        <w:t xml:space="preserve"> </w:t>
      </w:r>
      <w:r>
        <w:t>(View in Chrome if possible)</w:t>
      </w:r>
    </w:p>
    <w:p w:rsidR="00CC513E" w:rsidRPr="00210D7E" w:rsidRDefault="00CC513E" w:rsidP="002A4BFD">
      <w:pPr>
        <w:spacing w:after="0" w:line="240" w:lineRule="auto"/>
      </w:pPr>
    </w:p>
    <w:p w:rsidR="00210D7E" w:rsidRDefault="00210D7E" w:rsidP="002A4BFD">
      <w:pPr>
        <w:spacing w:after="0" w:line="240" w:lineRule="auto"/>
        <w:rPr>
          <w:b/>
        </w:rPr>
      </w:pPr>
    </w:p>
    <w:p w:rsidR="00210D7E" w:rsidRDefault="00210D7E" w:rsidP="00210D7E">
      <w:r w:rsidRPr="00210D7E">
        <w:rPr>
          <w:b/>
        </w:rPr>
        <w:t>CHIP Requirements: Measures 5.2.2L, 5.2.3A, 5.2.4A</w:t>
      </w:r>
      <w:r w:rsidR="00C45FA7">
        <w:br/>
      </w:r>
      <w:r>
        <w:t>As local health departments</w:t>
      </w:r>
      <w:r w:rsidRPr="00210D7E">
        <w:t xml:space="preserve"> develop or revise the objectives, strategies, and even activitie</w:t>
      </w:r>
      <w:r>
        <w:t>s, for the implementation of their</w:t>
      </w:r>
      <w:r w:rsidRPr="00210D7E">
        <w:t xml:space="preserve"> community health improvement plan, consider establishing alignment with the state health improvement priorities and strategies. Linking local health improvement plans with their state plans is a best practice reflected in the Healthy People 2020 Objective in Public Health Infrastructure – Increase the proportion of local public health agencies that have health improvement plans linked to their state plan.</w:t>
      </w:r>
      <w:r>
        <w:t xml:space="preserve"> </w:t>
      </w:r>
      <w:r w:rsidRPr="00210D7E">
        <w:t xml:space="preserve">To </w:t>
      </w:r>
      <w:r>
        <w:t>help this process, and to align</w:t>
      </w:r>
      <w:r w:rsidRPr="00210D7E">
        <w:t xml:space="preserve"> efforts at</w:t>
      </w:r>
      <w:r>
        <w:t xml:space="preserve"> the state with local efforts, CT DPH</w:t>
      </w:r>
      <w:r w:rsidRPr="00210D7E">
        <w:t xml:space="preserve"> developed the </w:t>
      </w:r>
      <w:hyperlink r:id="rId6" w:history="1">
        <w:r w:rsidRPr="00210D7E">
          <w:rPr>
            <w:rStyle w:val="Hyperlink"/>
          </w:rPr>
          <w:t>SHIP/CHIP Linkages: Crosswalk of Priorities and Strategies</w:t>
        </w:r>
      </w:hyperlink>
      <w:r>
        <w:t>.</w:t>
      </w:r>
    </w:p>
    <w:p w:rsidR="00210D7E" w:rsidRPr="00210D7E" w:rsidRDefault="00210D7E" w:rsidP="00210D7E">
      <w:r>
        <w:t xml:space="preserve">Whether a LHD </w:t>
      </w:r>
      <w:r w:rsidRPr="00210D7E">
        <w:t>complete</w:t>
      </w:r>
      <w:r>
        <w:t>s</w:t>
      </w:r>
      <w:r w:rsidRPr="00210D7E">
        <w:t xml:space="preserve"> a CHIP with </w:t>
      </w:r>
      <w:r>
        <w:t>a hospital or develop one on their</w:t>
      </w:r>
      <w:r w:rsidRPr="00210D7E">
        <w:t xml:space="preserve"> own, the plan must i</w:t>
      </w:r>
      <w:r>
        <w:t xml:space="preserve">nclude the components listed in Measure 5.2.2L. </w:t>
      </w:r>
      <w:r w:rsidRPr="00210D7E">
        <w:t xml:space="preserve">The documentation must be dated within 5 years previous from the date of submission of the documentation to PHAB. For example, CT DPH set a goal submission date of March 31, 2017 when we started collecting documentation at the end of 2014. This meant that documentation dated within 5 years could be as old as March 31, 2012. </w:t>
      </w:r>
      <w:r>
        <w:t>By starting to collect documentation so early, CT DPH was</w:t>
      </w:r>
      <w:r w:rsidRPr="00210D7E">
        <w:t xml:space="preserve"> able fix or develop documentation for gaps as </w:t>
      </w:r>
      <w:r>
        <w:t>they were identified. It is</w:t>
      </w:r>
      <w:r w:rsidRPr="00210D7E">
        <w:t xml:space="preserve"> also a good idea to highlight or point out the date in a document </w:t>
      </w:r>
      <w:r>
        <w:t>being</w:t>
      </w:r>
      <w:r w:rsidRPr="00210D7E">
        <w:t xml:space="preserve"> submit</w:t>
      </w:r>
      <w:r>
        <w:t>ted</w:t>
      </w:r>
      <w:r w:rsidRPr="00210D7E">
        <w:t xml:space="preserve"> so that the reviewer does not have to go searching for it.</w:t>
      </w:r>
    </w:p>
    <w:p w:rsidR="00210D7E" w:rsidRPr="00210D7E" w:rsidRDefault="00210D7E" w:rsidP="00210D7E"/>
    <w:p w:rsidR="00782C3F" w:rsidRDefault="00782C3F" w:rsidP="002A4BFD">
      <w:pPr>
        <w:spacing w:after="0" w:line="240" w:lineRule="auto"/>
      </w:pPr>
    </w:p>
    <w:p w:rsidR="002A4BFD" w:rsidRPr="002A4BFD" w:rsidRDefault="002A4BFD" w:rsidP="00AE3113">
      <w:pPr>
        <w:spacing w:after="0" w:line="240" w:lineRule="auto"/>
      </w:pPr>
    </w:p>
    <w:p w:rsidR="00BE3987" w:rsidRDefault="00BE3987" w:rsidP="00AE3113">
      <w:pPr>
        <w:spacing w:after="0" w:line="240" w:lineRule="auto"/>
      </w:pPr>
    </w:p>
    <w:p w:rsidR="00210D7E" w:rsidRDefault="00210D7E" w:rsidP="00AE3113">
      <w:pPr>
        <w:spacing w:after="0" w:line="240" w:lineRule="auto"/>
      </w:pPr>
    </w:p>
    <w:p w:rsidR="00210D7E" w:rsidRDefault="00210D7E" w:rsidP="00AE3113">
      <w:pPr>
        <w:spacing w:after="0" w:line="240" w:lineRule="auto"/>
      </w:pPr>
    </w:p>
    <w:p w:rsidR="004526E3" w:rsidRPr="004526E3" w:rsidRDefault="004526E3" w:rsidP="00AE3113">
      <w:pPr>
        <w:spacing w:after="0" w:line="240" w:lineRule="auto"/>
      </w:pPr>
      <w:r>
        <w:rPr>
          <w:b/>
        </w:rPr>
        <w:t>Next Meeting:</w:t>
      </w:r>
      <w:r>
        <w:t xml:space="preserve"> Wednesday </w:t>
      </w:r>
      <w:r w:rsidR="00F10ED2">
        <w:t>February</w:t>
      </w:r>
      <w:r w:rsidR="00C45FA7">
        <w:t xml:space="preserve"> 2</w:t>
      </w:r>
      <w:r w:rsidR="00F10ED2">
        <w:t>1</w:t>
      </w:r>
      <w:r>
        <w:t xml:space="preserve">, </w:t>
      </w:r>
      <w:r w:rsidR="009F617A">
        <w:t>1-2pm</w:t>
      </w:r>
      <w:r w:rsidR="001F0C97">
        <w:rPr>
          <w:noProof/>
        </w:rPr>
        <w:drawing>
          <wp:anchor distT="0" distB="0" distL="114300" distR="114300" simplePos="0" relativeHeight="251658240" behindDoc="0" locked="0" layoutInCell="1" allowOverlap="1">
            <wp:simplePos x="3552825" y="914400"/>
            <wp:positionH relativeFrom="margin">
              <wp:align>right</wp:align>
            </wp:positionH>
            <wp:positionV relativeFrom="margin">
              <wp:align>bottom</wp:align>
            </wp:positionV>
            <wp:extent cx="745490" cy="7937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h-color.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5490" cy="793750"/>
                    </a:xfrm>
                    <a:prstGeom prst="rect">
                      <a:avLst/>
                    </a:prstGeom>
                  </pic:spPr>
                </pic:pic>
              </a:graphicData>
            </a:graphic>
          </wp:anchor>
        </w:drawing>
      </w:r>
    </w:p>
    <w:sectPr w:rsidR="004526E3" w:rsidRPr="00452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11544"/>
    <w:multiLevelType w:val="hybridMultilevel"/>
    <w:tmpl w:val="15443560"/>
    <w:lvl w:ilvl="0" w:tplc="2C68038E">
      <w:start w:val="1"/>
      <w:numFmt w:val="bullet"/>
      <w:lvlText w:val="•"/>
      <w:lvlJc w:val="left"/>
      <w:pPr>
        <w:tabs>
          <w:tab w:val="num" w:pos="720"/>
        </w:tabs>
        <w:ind w:left="720" w:hanging="360"/>
      </w:pPr>
      <w:rPr>
        <w:rFonts w:ascii="Arial" w:hAnsi="Arial" w:hint="default"/>
      </w:rPr>
    </w:lvl>
    <w:lvl w:ilvl="1" w:tplc="C8001BF4">
      <w:numFmt w:val="bullet"/>
      <w:lvlText w:val="–"/>
      <w:lvlJc w:val="left"/>
      <w:pPr>
        <w:tabs>
          <w:tab w:val="num" w:pos="1440"/>
        </w:tabs>
        <w:ind w:left="1440" w:hanging="360"/>
      </w:pPr>
      <w:rPr>
        <w:rFonts w:ascii="Arial" w:hAnsi="Arial" w:hint="default"/>
      </w:rPr>
    </w:lvl>
    <w:lvl w:ilvl="2" w:tplc="E3281F30" w:tentative="1">
      <w:start w:val="1"/>
      <w:numFmt w:val="bullet"/>
      <w:lvlText w:val="•"/>
      <w:lvlJc w:val="left"/>
      <w:pPr>
        <w:tabs>
          <w:tab w:val="num" w:pos="2160"/>
        </w:tabs>
        <w:ind w:left="2160" w:hanging="360"/>
      </w:pPr>
      <w:rPr>
        <w:rFonts w:ascii="Arial" w:hAnsi="Arial" w:hint="default"/>
      </w:rPr>
    </w:lvl>
    <w:lvl w:ilvl="3" w:tplc="DA8A8662" w:tentative="1">
      <w:start w:val="1"/>
      <w:numFmt w:val="bullet"/>
      <w:lvlText w:val="•"/>
      <w:lvlJc w:val="left"/>
      <w:pPr>
        <w:tabs>
          <w:tab w:val="num" w:pos="2880"/>
        </w:tabs>
        <w:ind w:left="2880" w:hanging="360"/>
      </w:pPr>
      <w:rPr>
        <w:rFonts w:ascii="Arial" w:hAnsi="Arial" w:hint="default"/>
      </w:rPr>
    </w:lvl>
    <w:lvl w:ilvl="4" w:tplc="BFCA57FE" w:tentative="1">
      <w:start w:val="1"/>
      <w:numFmt w:val="bullet"/>
      <w:lvlText w:val="•"/>
      <w:lvlJc w:val="left"/>
      <w:pPr>
        <w:tabs>
          <w:tab w:val="num" w:pos="3600"/>
        </w:tabs>
        <w:ind w:left="3600" w:hanging="360"/>
      </w:pPr>
      <w:rPr>
        <w:rFonts w:ascii="Arial" w:hAnsi="Arial" w:hint="default"/>
      </w:rPr>
    </w:lvl>
    <w:lvl w:ilvl="5" w:tplc="0E7AACD2" w:tentative="1">
      <w:start w:val="1"/>
      <w:numFmt w:val="bullet"/>
      <w:lvlText w:val="•"/>
      <w:lvlJc w:val="left"/>
      <w:pPr>
        <w:tabs>
          <w:tab w:val="num" w:pos="4320"/>
        </w:tabs>
        <w:ind w:left="4320" w:hanging="360"/>
      </w:pPr>
      <w:rPr>
        <w:rFonts w:ascii="Arial" w:hAnsi="Arial" w:hint="default"/>
      </w:rPr>
    </w:lvl>
    <w:lvl w:ilvl="6" w:tplc="82128128" w:tentative="1">
      <w:start w:val="1"/>
      <w:numFmt w:val="bullet"/>
      <w:lvlText w:val="•"/>
      <w:lvlJc w:val="left"/>
      <w:pPr>
        <w:tabs>
          <w:tab w:val="num" w:pos="5040"/>
        </w:tabs>
        <w:ind w:left="5040" w:hanging="360"/>
      </w:pPr>
      <w:rPr>
        <w:rFonts w:ascii="Arial" w:hAnsi="Arial" w:hint="default"/>
      </w:rPr>
    </w:lvl>
    <w:lvl w:ilvl="7" w:tplc="42D2F82A" w:tentative="1">
      <w:start w:val="1"/>
      <w:numFmt w:val="bullet"/>
      <w:lvlText w:val="•"/>
      <w:lvlJc w:val="left"/>
      <w:pPr>
        <w:tabs>
          <w:tab w:val="num" w:pos="5760"/>
        </w:tabs>
        <w:ind w:left="5760" w:hanging="360"/>
      </w:pPr>
      <w:rPr>
        <w:rFonts w:ascii="Arial" w:hAnsi="Arial" w:hint="default"/>
      </w:rPr>
    </w:lvl>
    <w:lvl w:ilvl="8" w:tplc="1BE80F6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2245CF5"/>
    <w:multiLevelType w:val="hybridMultilevel"/>
    <w:tmpl w:val="EFC03CD4"/>
    <w:lvl w:ilvl="0" w:tplc="E084E0E6">
      <w:start w:val="1"/>
      <w:numFmt w:val="bullet"/>
      <w:lvlText w:val="•"/>
      <w:lvlJc w:val="left"/>
      <w:pPr>
        <w:tabs>
          <w:tab w:val="num" w:pos="720"/>
        </w:tabs>
        <w:ind w:left="720" w:hanging="360"/>
      </w:pPr>
      <w:rPr>
        <w:rFonts w:ascii="Arial" w:hAnsi="Arial" w:hint="default"/>
      </w:rPr>
    </w:lvl>
    <w:lvl w:ilvl="1" w:tplc="7D8E205A" w:tentative="1">
      <w:start w:val="1"/>
      <w:numFmt w:val="bullet"/>
      <w:lvlText w:val="•"/>
      <w:lvlJc w:val="left"/>
      <w:pPr>
        <w:tabs>
          <w:tab w:val="num" w:pos="1440"/>
        </w:tabs>
        <w:ind w:left="1440" w:hanging="360"/>
      </w:pPr>
      <w:rPr>
        <w:rFonts w:ascii="Arial" w:hAnsi="Arial" w:hint="default"/>
      </w:rPr>
    </w:lvl>
    <w:lvl w:ilvl="2" w:tplc="7054E640" w:tentative="1">
      <w:start w:val="1"/>
      <w:numFmt w:val="bullet"/>
      <w:lvlText w:val="•"/>
      <w:lvlJc w:val="left"/>
      <w:pPr>
        <w:tabs>
          <w:tab w:val="num" w:pos="2160"/>
        </w:tabs>
        <w:ind w:left="2160" w:hanging="360"/>
      </w:pPr>
      <w:rPr>
        <w:rFonts w:ascii="Arial" w:hAnsi="Arial" w:hint="default"/>
      </w:rPr>
    </w:lvl>
    <w:lvl w:ilvl="3" w:tplc="D60893F8" w:tentative="1">
      <w:start w:val="1"/>
      <w:numFmt w:val="bullet"/>
      <w:lvlText w:val="•"/>
      <w:lvlJc w:val="left"/>
      <w:pPr>
        <w:tabs>
          <w:tab w:val="num" w:pos="2880"/>
        </w:tabs>
        <w:ind w:left="2880" w:hanging="360"/>
      </w:pPr>
      <w:rPr>
        <w:rFonts w:ascii="Arial" w:hAnsi="Arial" w:hint="default"/>
      </w:rPr>
    </w:lvl>
    <w:lvl w:ilvl="4" w:tplc="25BAAF52" w:tentative="1">
      <w:start w:val="1"/>
      <w:numFmt w:val="bullet"/>
      <w:lvlText w:val="•"/>
      <w:lvlJc w:val="left"/>
      <w:pPr>
        <w:tabs>
          <w:tab w:val="num" w:pos="3600"/>
        </w:tabs>
        <w:ind w:left="3600" w:hanging="360"/>
      </w:pPr>
      <w:rPr>
        <w:rFonts w:ascii="Arial" w:hAnsi="Arial" w:hint="default"/>
      </w:rPr>
    </w:lvl>
    <w:lvl w:ilvl="5" w:tplc="6B8087F2" w:tentative="1">
      <w:start w:val="1"/>
      <w:numFmt w:val="bullet"/>
      <w:lvlText w:val="•"/>
      <w:lvlJc w:val="left"/>
      <w:pPr>
        <w:tabs>
          <w:tab w:val="num" w:pos="4320"/>
        </w:tabs>
        <w:ind w:left="4320" w:hanging="360"/>
      </w:pPr>
      <w:rPr>
        <w:rFonts w:ascii="Arial" w:hAnsi="Arial" w:hint="default"/>
      </w:rPr>
    </w:lvl>
    <w:lvl w:ilvl="6" w:tplc="B2027722" w:tentative="1">
      <w:start w:val="1"/>
      <w:numFmt w:val="bullet"/>
      <w:lvlText w:val="•"/>
      <w:lvlJc w:val="left"/>
      <w:pPr>
        <w:tabs>
          <w:tab w:val="num" w:pos="5040"/>
        </w:tabs>
        <w:ind w:left="5040" w:hanging="360"/>
      </w:pPr>
      <w:rPr>
        <w:rFonts w:ascii="Arial" w:hAnsi="Arial" w:hint="default"/>
      </w:rPr>
    </w:lvl>
    <w:lvl w:ilvl="7" w:tplc="F77A9EC8" w:tentative="1">
      <w:start w:val="1"/>
      <w:numFmt w:val="bullet"/>
      <w:lvlText w:val="•"/>
      <w:lvlJc w:val="left"/>
      <w:pPr>
        <w:tabs>
          <w:tab w:val="num" w:pos="5760"/>
        </w:tabs>
        <w:ind w:left="5760" w:hanging="360"/>
      </w:pPr>
      <w:rPr>
        <w:rFonts w:ascii="Arial" w:hAnsi="Arial" w:hint="default"/>
      </w:rPr>
    </w:lvl>
    <w:lvl w:ilvl="8" w:tplc="FF70F06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722577E"/>
    <w:multiLevelType w:val="hybridMultilevel"/>
    <w:tmpl w:val="8490171A"/>
    <w:lvl w:ilvl="0" w:tplc="B1F818C4">
      <w:start w:val="1"/>
      <w:numFmt w:val="bullet"/>
      <w:lvlText w:val="•"/>
      <w:lvlJc w:val="left"/>
      <w:pPr>
        <w:tabs>
          <w:tab w:val="num" w:pos="720"/>
        </w:tabs>
        <w:ind w:left="720" w:hanging="360"/>
      </w:pPr>
      <w:rPr>
        <w:rFonts w:ascii="Arial" w:hAnsi="Arial" w:hint="default"/>
      </w:rPr>
    </w:lvl>
    <w:lvl w:ilvl="1" w:tplc="9BC09714">
      <w:numFmt w:val="bullet"/>
      <w:lvlText w:val="–"/>
      <w:lvlJc w:val="left"/>
      <w:pPr>
        <w:tabs>
          <w:tab w:val="num" w:pos="1440"/>
        </w:tabs>
        <w:ind w:left="1440" w:hanging="360"/>
      </w:pPr>
      <w:rPr>
        <w:rFonts w:ascii="Arial" w:hAnsi="Arial" w:hint="default"/>
      </w:rPr>
    </w:lvl>
    <w:lvl w:ilvl="2" w:tplc="4476E7F4" w:tentative="1">
      <w:start w:val="1"/>
      <w:numFmt w:val="bullet"/>
      <w:lvlText w:val="•"/>
      <w:lvlJc w:val="left"/>
      <w:pPr>
        <w:tabs>
          <w:tab w:val="num" w:pos="2160"/>
        </w:tabs>
        <w:ind w:left="2160" w:hanging="360"/>
      </w:pPr>
      <w:rPr>
        <w:rFonts w:ascii="Arial" w:hAnsi="Arial" w:hint="default"/>
      </w:rPr>
    </w:lvl>
    <w:lvl w:ilvl="3" w:tplc="09E87476" w:tentative="1">
      <w:start w:val="1"/>
      <w:numFmt w:val="bullet"/>
      <w:lvlText w:val="•"/>
      <w:lvlJc w:val="left"/>
      <w:pPr>
        <w:tabs>
          <w:tab w:val="num" w:pos="2880"/>
        </w:tabs>
        <w:ind w:left="2880" w:hanging="360"/>
      </w:pPr>
      <w:rPr>
        <w:rFonts w:ascii="Arial" w:hAnsi="Arial" w:hint="default"/>
      </w:rPr>
    </w:lvl>
    <w:lvl w:ilvl="4" w:tplc="34145170" w:tentative="1">
      <w:start w:val="1"/>
      <w:numFmt w:val="bullet"/>
      <w:lvlText w:val="•"/>
      <w:lvlJc w:val="left"/>
      <w:pPr>
        <w:tabs>
          <w:tab w:val="num" w:pos="3600"/>
        </w:tabs>
        <w:ind w:left="3600" w:hanging="360"/>
      </w:pPr>
      <w:rPr>
        <w:rFonts w:ascii="Arial" w:hAnsi="Arial" w:hint="default"/>
      </w:rPr>
    </w:lvl>
    <w:lvl w:ilvl="5" w:tplc="8D1CD2BE" w:tentative="1">
      <w:start w:val="1"/>
      <w:numFmt w:val="bullet"/>
      <w:lvlText w:val="•"/>
      <w:lvlJc w:val="left"/>
      <w:pPr>
        <w:tabs>
          <w:tab w:val="num" w:pos="4320"/>
        </w:tabs>
        <w:ind w:left="4320" w:hanging="360"/>
      </w:pPr>
      <w:rPr>
        <w:rFonts w:ascii="Arial" w:hAnsi="Arial" w:hint="default"/>
      </w:rPr>
    </w:lvl>
    <w:lvl w:ilvl="6" w:tplc="46384BAA" w:tentative="1">
      <w:start w:val="1"/>
      <w:numFmt w:val="bullet"/>
      <w:lvlText w:val="•"/>
      <w:lvlJc w:val="left"/>
      <w:pPr>
        <w:tabs>
          <w:tab w:val="num" w:pos="5040"/>
        </w:tabs>
        <w:ind w:left="5040" w:hanging="360"/>
      </w:pPr>
      <w:rPr>
        <w:rFonts w:ascii="Arial" w:hAnsi="Arial" w:hint="default"/>
      </w:rPr>
    </w:lvl>
    <w:lvl w:ilvl="7" w:tplc="1D303248" w:tentative="1">
      <w:start w:val="1"/>
      <w:numFmt w:val="bullet"/>
      <w:lvlText w:val="•"/>
      <w:lvlJc w:val="left"/>
      <w:pPr>
        <w:tabs>
          <w:tab w:val="num" w:pos="5760"/>
        </w:tabs>
        <w:ind w:left="5760" w:hanging="360"/>
      </w:pPr>
      <w:rPr>
        <w:rFonts w:ascii="Arial" w:hAnsi="Arial" w:hint="default"/>
      </w:rPr>
    </w:lvl>
    <w:lvl w:ilvl="8" w:tplc="459E542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113"/>
    <w:rsid w:val="001F0C97"/>
    <w:rsid w:val="00210D7E"/>
    <w:rsid w:val="002A4BFD"/>
    <w:rsid w:val="003016DD"/>
    <w:rsid w:val="004526E3"/>
    <w:rsid w:val="004D2B6E"/>
    <w:rsid w:val="00782C3F"/>
    <w:rsid w:val="00785E33"/>
    <w:rsid w:val="009E3FE3"/>
    <w:rsid w:val="009F617A"/>
    <w:rsid w:val="00AE0CB3"/>
    <w:rsid w:val="00AE3113"/>
    <w:rsid w:val="00B25DBD"/>
    <w:rsid w:val="00B47126"/>
    <w:rsid w:val="00BE3987"/>
    <w:rsid w:val="00C45FA7"/>
    <w:rsid w:val="00C907CA"/>
    <w:rsid w:val="00CC513E"/>
    <w:rsid w:val="00CD286C"/>
    <w:rsid w:val="00DA2220"/>
    <w:rsid w:val="00F10ED2"/>
    <w:rsid w:val="00F25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F24E3-4659-44AF-8678-8241ADB2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3113"/>
    <w:rPr>
      <w:color w:val="0563C1" w:themeColor="hyperlink"/>
      <w:u w:val="single"/>
    </w:rPr>
  </w:style>
  <w:style w:type="paragraph" w:styleId="NormalWeb">
    <w:name w:val="Normal (Web)"/>
    <w:basedOn w:val="Normal"/>
    <w:uiPriority w:val="99"/>
    <w:semiHidden/>
    <w:unhideWhenUsed/>
    <w:rsid w:val="00782C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483607">
      <w:bodyDiv w:val="1"/>
      <w:marLeft w:val="0"/>
      <w:marRight w:val="0"/>
      <w:marTop w:val="0"/>
      <w:marBottom w:val="0"/>
      <w:divBdr>
        <w:top w:val="none" w:sz="0" w:space="0" w:color="auto"/>
        <w:left w:val="none" w:sz="0" w:space="0" w:color="auto"/>
        <w:bottom w:val="none" w:sz="0" w:space="0" w:color="auto"/>
        <w:right w:val="none" w:sz="0" w:space="0" w:color="auto"/>
      </w:divBdr>
    </w:div>
    <w:div w:id="338974031">
      <w:bodyDiv w:val="1"/>
      <w:marLeft w:val="0"/>
      <w:marRight w:val="0"/>
      <w:marTop w:val="0"/>
      <w:marBottom w:val="0"/>
      <w:divBdr>
        <w:top w:val="none" w:sz="0" w:space="0" w:color="auto"/>
        <w:left w:val="none" w:sz="0" w:space="0" w:color="auto"/>
        <w:bottom w:val="none" w:sz="0" w:space="0" w:color="auto"/>
        <w:right w:val="none" w:sz="0" w:space="0" w:color="auto"/>
      </w:divBdr>
    </w:div>
    <w:div w:id="375281638">
      <w:bodyDiv w:val="1"/>
      <w:marLeft w:val="0"/>
      <w:marRight w:val="0"/>
      <w:marTop w:val="0"/>
      <w:marBottom w:val="0"/>
      <w:divBdr>
        <w:top w:val="none" w:sz="0" w:space="0" w:color="auto"/>
        <w:left w:val="none" w:sz="0" w:space="0" w:color="auto"/>
        <w:bottom w:val="none" w:sz="0" w:space="0" w:color="auto"/>
        <w:right w:val="none" w:sz="0" w:space="0" w:color="auto"/>
      </w:divBdr>
    </w:div>
    <w:div w:id="446243524">
      <w:bodyDiv w:val="1"/>
      <w:marLeft w:val="0"/>
      <w:marRight w:val="0"/>
      <w:marTop w:val="0"/>
      <w:marBottom w:val="0"/>
      <w:divBdr>
        <w:top w:val="none" w:sz="0" w:space="0" w:color="auto"/>
        <w:left w:val="none" w:sz="0" w:space="0" w:color="auto"/>
        <w:bottom w:val="none" w:sz="0" w:space="0" w:color="auto"/>
        <w:right w:val="none" w:sz="0" w:space="0" w:color="auto"/>
      </w:divBdr>
      <w:divsChild>
        <w:div w:id="40640377">
          <w:marLeft w:val="547"/>
          <w:marRight w:val="0"/>
          <w:marTop w:val="96"/>
          <w:marBottom w:val="240"/>
          <w:divBdr>
            <w:top w:val="none" w:sz="0" w:space="0" w:color="auto"/>
            <w:left w:val="none" w:sz="0" w:space="0" w:color="auto"/>
            <w:bottom w:val="none" w:sz="0" w:space="0" w:color="auto"/>
            <w:right w:val="none" w:sz="0" w:space="0" w:color="auto"/>
          </w:divBdr>
        </w:div>
        <w:div w:id="1000233770">
          <w:marLeft w:val="547"/>
          <w:marRight w:val="0"/>
          <w:marTop w:val="96"/>
          <w:marBottom w:val="240"/>
          <w:divBdr>
            <w:top w:val="none" w:sz="0" w:space="0" w:color="auto"/>
            <w:left w:val="none" w:sz="0" w:space="0" w:color="auto"/>
            <w:bottom w:val="none" w:sz="0" w:space="0" w:color="auto"/>
            <w:right w:val="none" w:sz="0" w:space="0" w:color="auto"/>
          </w:divBdr>
        </w:div>
        <w:div w:id="1789624260">
          <w:marLeft w:val="547"/>
          <w:marRight w:val="0"/>
          <w:marTop w:val="96"/>
          <w:marBottom w:val="240"/>
          <w:divBdr>
            <w:top w:val="none" w:sz="0" w:space="0" w:color="auto"/>
            <w:left w:val="none" w:sz="0" w:space="0" w:color="auto"/>
            <w:bottom w:val="none" w:sz="0" w:space="0" w:color="auto"/>
            <w:right w:val="none" w:sz="0" w:space="0" w:color="auto"/>
          </w:divBdr>
        </w:div>
        <w:div w:id="1738279968">
          <w:marLeft w:val="1166"/>
          <w:marRight w:val="0"/>
          <w:marTop w:val="86"/>
          <w:marBottom w:val="240"/>
          <w:divBdr>
            <w:top w:val="none" w:sz="0" w:space="0" w:color="auto"/>
            <w:left w:val="none" w:sz="0" w:space="0" w:color="auto"/>
            <w:bottom w:val="none" w:sz="0" w:space="0" w:color="auto"/>
            <w:right w:val="none" w:sz="0" w:space="0" w:color="auto"/>
          </w:divBdr>
        </w:div>
        <w:div w:id="144978916">
          <w:marLeft w:val="1166"/>
          <w:marRight w:val="0"/>
          <w:marTop w:val="86"/>
          <w:marBottom w:val="240"/>
          <w:divBdr>
            <w:top w:val="none" w:sz="0" w:space="0" w:color="auto"/>
            <w:left w:val="none" w:sz="0" w:space="0" w:color="auto"/>
            <w:bottom w:val="none" w:sz="0" w:space="0" w:color="auto"/>
            <w:right w:val="none" w:sz="0" w:space="0" w:color="auto"/>
          </w:divBdr>
        </w:div>
        <w:div w:id="701370743">
          <w:marLeft w:val="1166"/>
          <w:marRight w:val="0"/>
          <w:marTop w:val="86"/>
          <w:marBottom w:val="240"/>
          <w:divBdr>
            <w:top w:val="none" w:sz="0" w:space="0" w:color="auto"/>
            <w:left w:val="none" w:sz="0" w:space="0" w:color="auto"/>
            <w:bottom w:val="none" w:sz="0" w:space="0" w:color="auto"/>
            <w:right w:val="none" w:sz="0" w:space="0" w:color="auto"/>
          </w:divBdr>
        </w:div>
      </w:divsChild>
    </w:div>
    <w:div w:id="1019813092">
      <w:bodyDiv w:val="1"/>
      <w:marLeft w:val="0"/>
      <w:marRight w:val="0"/>
      <w:marTop w:val="0"/>
      <w:marBottom w:val="0"/>
      <w:divBdr>
        <w:top w:val="none" w:sz="0" w:space="0" w:color="auto"/>
        <w:left w:val="none" w:sz="0" w:space="0" w:color="auto"/>
        <w:bottom w:val="none" w:sz="0" w:space="0" w:color="auto"/>
        <w:right w:val="none" w:sz="0" w:space="0" w:color="auto"/>
      </w:divBdr>
    </w:div>
    <w:div w:id="1620187681">
      <w:bodyDiv w:val="1"/>
      <w:marLeft w:val="0"/>
      <w:marRight w:val="0"/>
      <w:marTop w:val="0"/>
      <w:marBottom w:val="0"/>
      <w:divBdr>
        <w:top w:val="none" w:sz="0" w:space="0" w:color="auto"/>
        <w:left w:val="none" w:sz="0" w:space="0" w:color="auto"/>
        <w:bottom w:val="none" w:sz="0" w:space="0" w:color="auto"/>
        <w:right w:val="none" w:sz="0" w:space="0" w:color="auto"/>
      </w:divBdr>
      <w:divsChild>
        <w:div w:id="1107850940">
          <w:marLeft w:val="547"/>
          <w:marRight w:val="0"/>
          <w:marTop w:val="96"/>
          <w:marBottom w:val="240"/>
          <w:divBdr>
            <w:top w:val="none" w:sz="0" w:space="0" w:color="auto"/>
            <w:left w:val="none" w:sz="0" w:space="0" w:color="auto"/>
            <w:bottom w:val="none" w:sz="0" w:space="0" w:color="auto"/>
            <w:right w:val="none" w:sz="0" w:space="0" w:color="auto"/>
          </w:divBdr>
        </w:div>
        <w:div w:id="1922790726">
          <w:marLeft w:val="1166"/>
          <w:marRight w:val="0"/>
          <w:marTop w:val="86"/>
          <w:marBottom w:val="240"/>
          <w:divBdr>
            <w:top w:val="none" w:sz="0" w:space="0" w:color="auto"/>
            <w:left w:val="none" w:sz="0" w:space="0" w:color="auto"/>
            <w:bottom w:val="none" w:sz="0" w:space="0" w:color="auto"/>
            <w:right w:val="none" w:sz="0" w:space="0" w:color="auto"/>
          </w:divBdr>
        </w:div>
        <w:div w:id="1025863954">
          <w:marLeft w:val="1166"/>
          <w:marRight w:val="0"/>
          <w:marTop w:val="86"/>
          <w:marBottom w:val="240"/>
          <w:divBdr>
            <w:top w:val="none" w:sz="0" w:space="0" w:color="auto"/>
            <w:left w:val="none" w:sz="0" w:space="0" w:color="auto"/>
            <w:bottom w:val="none" w:sz="0" w:space="0" w:color="auto"/>
            <w:right w:val="none" w:sz="0" w:space="0" w:color="auto"/>
          </w:divBdr>
        </w:div>
        <w:div w:id="585918417">
          <w:marLeft w:val="547"/>
          <w:marRight w:val="0"/>
          <w:marTop w:val="96"/>
          <w:marBottom w:val="240"/>
          <w:divBdr>
            <w:top w:val="none" w:sz="0" w:space="0" w:color="auto"/>
            <w:left w:val="none" w:sz="0" w:space="0" w:color="auto"/>
            <w:bottom w:val="none" w:sz="0" w:space="0" w:color="auto"/>
            <w:right w:val="none" w:sz="0" w:space="0" w:color="auto"/>
          </w:divBdr>
        </w:div>
        <w:div w:id="1860196344">
          <w:marLeft w:val="547"/>
          <w:marRight w:val="0"/>
          <w:marTop w:val="96"/>
          <w:marBottom w:val="240"/>
          <w:divBdr>
            <w:top w:val="none" w:sz="0" w:space="0" w:color="auto"/>
            <w:left w:val="none" w:sz="0" w:space="0" w:color="auto"/>
            <w:bottom w:val="none" w:sz="0" w:space="0" w:color="auto"/>
            <w:right w:val="none" w:sz="0" w:space="0" w:color="auto"/>
          </w:divBdr>
        </w:div>
        <w:div w:id="2049866540">
          <w:marLeft w:val="547"/>
          <w:marRight w:val="0"/>
          <w:marTop w:val="96"/>
          <w:marBottom w:val="240"/>
          <w:divBdr>
            <w:top w:val="none" w:sz="0" w:space="0" w:color="auto"/>
            <w:left w:val="none" w:sz="0" w:space="0" w:color="auto"/>
            <w:bottom w:val="none" w:sz="0" w:space="0" w:color="auto"/>
            <w:right w:val="none" w:sz="0" w:space="0" w:color="auto"/>
          </w:divBdr>
        </w:div>
        <w:div w:id="579952436">
          <w:marLeft w:val="547"/>
          <w:marRight w:val="0"/>
          <w:marTop w:val="96"/>
          <w:marBottom w:val="240"/>
          <w:divBdr>
            <w:top w:val="none" w:sz="0" w:space="0" w:color="auto"/>
            <w:left w:val="none" w:sz="0" w:space="0" w:color="auto"/>
            <w:bottom w:val="none" w:sz="0" w:space="0" w:color="auto"/>
            <w:right w:val="none" w:sz="0" w:space="0" w:color="auto"/>
          </w:divBdr>
        </w:div>
      </w:divsChild>
    </w:div>
    <w:div w:id="1901820208">
      <w:bodyDiv w:val="1"/>
      <w:marLeft w:val="0"/>
      <w:marRight w:val="0"/>
      <w:marTop w:val="0"/>
      <w:marBottom w:val="0"/>
      <w:divBdr>
        <w:top w:val="none" w:sz="0" w:space="0" w:color="auto"/>
        <w:left w:val="none" w:sz="0" w:space="0" w:color="auto"/>
        <w:bottom w:val="none" w:sz="0" w:space="0" w:color="auto"/>
        <w:right w:val="none" w:sz="0" w:space="0" w:color="auto"/>
      </w:divBdr>
    </w:div>
    <w:div w:id="211447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al.ct.gov/-/media/Departments-and-Agencies/DPH/dph/state_health_planning/SHA-SHIP/2017/20171127CrosswalkVer4web.pdf?la=en" TargetMode="External"/><Relationship Id="rId5" Type="http://schemas.openxmlformats.org/officeDocument/2006/relationships/hyperlink" Target="http://www.portal.ct.gov/DPH/State-Health-Planning/Healthy-CT-2020-Dashboards/48-HLTHSYS-Infrastructu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1</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Touma, Melissa</dc:creator>
  <cp:keywords/>
  <dc:description/>
  <cp:lastModifiedBy>Touma, Melissa</cp:lastModifiedBy>
  <cp:revision>4</cp:revision>
  <dcterms:created xsi:type="dcterms:W3CDTF">2018-02-02T19:53:00Z</dcterms:created>
  <dcterms:modified xsi:type="dcterms:W3CDTF">2018-02-05T19:44:00Z</dcterms:modified>
</cp:coreProperties>
</file>