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D56" w:rsidRPr="008A355F" w:rsidRDefault="00CF5A53" w:rsidP="00CF5A53">
      <w:pPr>
        <w:pStyle w:val="Heading1"/>
        <w:jc w:val="center"/>
      </w:pPr>
      <w:r>
        <w:t>FFY 2020 NSGP P</w:t>
      </w:r>
      <w:r w:rsidRPr="008A355F">
        <w:t>rocurement</w:t>
      </w:r>
      <w:r w:rsidR="007D5D56" w:rsidRPr="008A355F">
        <w:t xml:space="preserve"> Policies</w:t>
      </w:r>
    </w:p>
    <w:p w:rsidR="007D5D56" w:rsidRDefault="007D5D56"/>
    <w:p w:rsidR="00EC22B2" w:rsidRDefault="007C6A25" w:rsidP="00402B45">
      <w:pPr>
        <w:jc w:val="both"/>
      </w:pPr>
      <w:r>
        <w:t xml:space="preserve">2 </w:t>
      </w:r>
      <w:r w:rsidR="00E2762F">
        <w:t>Code of Federal Regulations (</w:t>
      </w:r>
      <w:r>
        <w:t>CFR</w:t>
      </w:r>
      <w:r w:rsidR="00E2762F">
        <w:t xml:space="preserve">) </w:t>
      </w:r>
      <w:r>
        <w:t>-</w:t>
      </w:r>
      <w:r w:rsidR="002013E1">
        <w:t xml:space="preserve"> Part 200 </w:t>
      </w:r>
      <w:r w:rsidR="007D5D56">
        <w:t>requires each entity have established procurement guidelines</w:t>
      </w:r>
      <w:r w:rsidR="000E28C0">
        <w:t xml:space="preserve"> to ensure the lowest responsible supplier is being utilized</w:t>
      </w:r>
      <w:r w:rsidR="007D5D56">
        <w:t xml:space="preserve">.  </w:t>
      </w:r>
      <w:r w:rsidR="00EC22B2">
        <w:t xml:space="preserve">The guidelines do not have be overly complex but should address how procurement occurs based on the projected value of the goods/services being sought. </w:t>
      </w:r>
    </w:p>
    <w:p w:rsidR="001A4BAD" w:rsidRDefault="007D5D56" w:rsidP="00402B45">
      <w:pPr>
        <w:jc w:val="both"/>
      </w:pPr>
      <w:r>
        <w:t>The Guidelines can match those of the State of Connecticut</w:t>
      </w:r>
      <w:r w:rsidR="00EC22B2">
        <w:t>,</w:t>
      </w:r>
      <w:r>
        <w:t xml:space="preserve"> or be more stringent in nature.  Here is an excerpt from the State of Connecticut’s Policy:  </w:t>
      </w:r>
    </w:p>
    <w:p w:rsidR="007D5D56" w:rsidRPr="002013E1" w:rsidRDefault="007D5D56" w:rsidP="00402B45">
      <w:pPr>
        <w:jc w:val="both"/>
        <w:rPr>
          <w:i/>
        </w:rPr>
      </w:pPr>
      <w:r w:rsidRPr="002013E1">
        <w:rPr>
          <w:i/>
        </w:rPr>
        <w:t>a) Minor nonrecurring purchases of any type of goods or services up to $5,000 (annually, per item)</w:t>
      </w:r>
      <w:r w:rsidR="002013E1" w:rsidRPr="002013E1">
        <w:rPr>
          <w:i/>
        </w:rPr>
        <w:t>,</w:t>
      </w:r>
      <w:r w:rsidRPr="002013E1">
        <w:rPr>
          <w:i/>
        </w:rPr>
        <w:t xml:space="preserve"> also known as direct or open market purchases, may be made without obtaining quotations or bids.    </w:t>
      </w:r>
    </w:p>
    <w:p w:rsidR="007C6A25" w:rsidRDefault="007D5D56" w:rsidP="00402B45">
      <w:pPr>
        <w:spacing w:after="0" w:line="240" w:lineRule="auto"/>
        <w:jc w:val="both"/>
        <w:rPr>
          <w:i/>
        </w:rPr>
      </w:pPr>
      <w:r w:rsidRPr="002013E1">
        <w:rPr>
          <w:i/>
        </w:rPr>
        <w:t xml:space="preserve">b) Purchases over $5,000 and up to $50,000 (annually, per item) must be based upon, when possible, at least three written quotations or bids, from responsible and qualified sources of supply.  </w:t>
      </w:r>
    </w:p>
    <w:p w:rsidR="007D5D56" w:rsidRDefault="002013E1" w:rsidP="00402B45">
      <w:pPr>
        <w:spacing w:after="0" w:line="240" w:lineRule="auto"/>
        <w:jc w:val="both"/>
      </w:pPr>
      <w:r>
        <w:t>[We do not need to see the three bids, however retain them for your grant file]</w:t>
      </w:r>
    </w:p>
    <w:p w:rsidR="007C6A25" w:rsidRPr="002013E1" w:rsidRDefault="007C6A25" w:rsidP="00402B45">
      <w:pPr>
        <w:spacing w:after="0" w:line="240" w:lineRule="auto"/>
        <w:jc w:val="both"/>
      </w:pPr>
    </w:p>
    <w:p w:rsidR="007D5D56" w:rsidRDefault="007D5D56" w:rsidP="00402B45">
      <w:pPr>
        <w:spacing w:after="0" w:line="240" w:lineRule="auto"/>
        <w:jc w:val="both"/>
        <w:rPr>
          <w:i/>
        </w:rPr>
      </w:pPr>
      <w:r w:rsidRPr="002013E1">
        <w:rPr>
          <w:i/>
        </w:rPr>
        <w:t xml:space="preserve">c) Purchases over $50,000 and less than $200,000 (annually, per item) must be based upon, when possible, at least three written quotations or bids, from responsible and qualified sources of supply. </w:t>
      </w:r>
    </w:p>
    <w:p w:rsidR="007D5D56" w:rsidRDefault="007D5D56" w:rsidP="00402B45">
      <w:pPr>
        <w:spacing w:after="0" w:line="240" w:lineRule="auto"/>
        <w:jc w:val="both"/>
      </w:pPr>
      <w:r>
        <w:t>[How you choose to make public the request for proposals</w:t>
      </w:r>
      <w:r w:rsidR="00EC22B2">
        <w:t xml:space="preserve"> is up to your entity</w:t>
      </w:r>
      <w:r w:rsidR="002013E1">
        <w:t xml:space="preserve"> ie. newspaper, cooperative purchasing groups, website posting…</w:t>
      </w:r>
      <w:r w:rsidR="00EC22B2">
        <w:t>]</w:t>
      </w:r>
    </w:p>
    <w:p w:rsidR="002013E1" w:rsidRDefault="002013E1" w:rsidP="00402B45">
      <w:pPr>
        <w:spacing w:after="0" w:line="240" w:lineRule="auto"/>
        <w:jc w:val="both"/>
      </w:pPr>
    </w:p>
    <w:p w:rsidR="002013E1" w:rsidRPr="00402B45" w:rsidRDefault="002013E1" w:rsidP="00402B45">
      <w:pPr>
        <w:spacing w:after="0" w:line="240" w:lineRule="auto"/>
        <w:jc w:val="both"/>
        <w:rPr>
          <w:rFonts w:cstheme="minorHAnsi"/>
        </w:rPr>
      </w:pPr>
      <w:r>
        <w:t>Additionally</w:t>
      </w:r>
      <w:r w:rsidR="00402B45">
        <w:t>, t</w:t>
      </w:r>
      <w:r w:rsidR="00402B45" w:rsidRPr="00402B45">
        <w:rPr>
          <w:rFonts w:cstheme="minorHAnsi"/>
          <w:color w:val="333333"/>
          <w:shd w:val="clear" w:color="auto" w:fill="FFFFFF"/>
        </w:rPr>
        <w:t xml:space="preserve">he </w:t>
      </w:r>
      <w:hyperlink r:id="rId4" w:history="1">
        <w:r w:rsidR="00402B45" w:rsidRPr="00402B45">
          <w:rPr>
            <w:rFonts w:cstheme="minorHAnsi"/>
          </w:rPr>
          <w:t>non-Federal entity</w:t>
        </w:r>
      </w:hyperlink>
      <w:r w:rsidR="00402B45" w:rsidRPr="00402B45">
        <w:rPr>
          <w:rFonts w:cstheme="minorHAnsi"/>
          <w:color w:val="333333"/>
          <w:shd w:val="clear" w:color="auto" w:fill="FFFFFF"/>
        </w:rPr>
        <w:t xml:space="preserve"> must maintain written standards of conduct covering conflicts of interest and governing the actions of its employees engaged in the selection, award and administration of </w:t>
      </w:r>
      <w:hyperlink r:id="rId5" w:history="1">
        <w:r w:rsidR="00402B45" w:rsidRPr="00402B45">
          <w:rPr>
            <w:rFonts w:cstheme="minorHAnsi"/>
          </w:rPr>
          <w:t>contracts</w:t>
        </w:r>
      </w:hyperlink>
      <w:r w:rsidR="00402B45" w:rsidRPr="00402B45">
        <w:rPr>
          <w:rFonts w:cstheme="minorHAnsi"/>
          <w:shd w:val="clear" w:color="auto" w:fill="FFFFFF"/>
        </w:rPr>
        <w:t>.</w:t>
      </w:r>
      <w:r w:rsidR="00402B45" w:rsidRPr="00402B45">
        <w:rPr>
          <w:rFonts w:cstheme="minorHAnsi"/>
          <w:color w:val="333333"/>
          <w:shd w:val="clear" w:color="auto" w:fill="FFFFFF"/>
        </w:rPr>
        <w:t xml:space="preserve"> No employee, officer, or agent may participate in the selection, award, or administration of a </w:t>
      </w:r>
      <w:hyperlink r:id="rId6" w:history="1">
        <w:r w:rsidR="00402B45" w:rsidRPr="00402B45">
          <w:rPr>
            <w:rFonts w:cstheme="minorHAnsi"/>
          </w:rPr>
          <w:t>contract</w:t>
        </w:r>
      </w:hyperlink>
      <w:r w:rsidR="00402B45" w:rsidRPr="00402B45">
        <w:rPr>
          <w:rFonts w:cstheme="minorHAnsi"/>
          <w:shd w:val="clear" w:color="auto" w:fill="FFFFFF"/>
        </w:rPr>
        <w:t xml:space="preserve"> </w:t>
      </w:r>
      <w:r w:rsidR="00402B45" w:rsidRPr="00402B45">
        <w:rPr>
          <w:rFonts w:cstheme="minorHAnsi"/>
          <w:color w:val="333333"/>
          <w:shd w:val="clear" w:color="auto" w:fill="FFFFFF"/>
        </w:rPr>
        <w:t xml:space="preserve">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w:t>
      </w:r>
      <w:hyperlink r:id="rId7" w:history="1">
        <w:r w:rsidR="00402B45" w:rsidRPr="00402B45">
          <w:rPr>
            <w:rFonts w:cstheme="minorHAnsi"/>
          </w:rPr>
          <w:t>contract</w:t>
        </w:r>
      </w:hyperlink>
      <w:r w:rsidR="00402B45" w:rsidRPr="00402B45">
        <w:rPr>
          <w:rFonts w:cstheme="minorHAnsi"/>
          <w:shd w:val="clear" w:color="auto" w:fill="FFFFFF"/>
        </w:rPr>
        <w:t xml:space="preserve">. </w:t>
      </w:r>
      <w:r w:rsidR="00402B45" w:rsidRPr="00402B45">
        <w:rPr>
          <w:rFonts w:cstheme="minorHAnsi"/>
          <w:color w:val="333333"/>
          <w:shd w:val="clear" w:color="auto" w:fill="FFFFFF"/>
        </w:rPr>
        <w:t xml:space="preserve">The officers, employees, and agents of the </w:t>
      </w:r>
      <w:hyperlink r:id="rId8" w:history="1">
        <w:r w:rsidR="00402B45" w:rsidRPr="00402B45">
          <w:rPr>
            <w:rFonts w:cstheme="minorHAnsi"/>
          </w:rPr>
          <w:t>non-Federal entity</w:t>
        </w:r>
      </w:hyperlink>
      <w:r w:rsidR="00402B45" w:rsidRPr="00402B45">
        <w:rPr>
          <w:rFonts w:cstheme="minorHAnsi"/>
          <w:color w:val="333333"/>
          <w:shd w:val="clear" w:color="auto" w:fill="FFFFFF"/>
        </w:rPr>
        <w:t xml:space="preserve"> may neither solicit nor accept gratuities, favors, or anything of monetary value from </w:t>
      </w:r>
      <w:hyperlink r:id="rId9" w:history="1">
        <w:r w:rsidR="00402B45" w:rsidRPr="00402B45">
          <w:rPr>
            <w:rFonts w:cstheme="minorHAnsi"/>
          </w:rPr>
          <w:t>contractors</w:t>
        </w:r>
      </w:hyperlink>
      <w:r w:rsidR="00402B45" w:rsidRPr="00402B45">
        <w:rPr>
          <w:rFonts w:cstheme="minorHAnsi"/>
          <w:color w:val="333333"/>
          <w:shd w:val="clear" w:color="auto" w:fill="FFFFFF"/>
        </w:rPr>
        <w:t xml:space="preserve"> or parties to subcontracts.</w:t>
      </w:r>
    </w:p>
    <w:p w:rsidR="00402B45" w:rsidRDefault="00402B45" w:rsidP="00402B45">
      <w:pPr>
        <w:jc w:val="both"/>
      </w:pPr>
    </w:p>
    <w:p w:rsidR="007D5D56" w:rsidRDefault="002013E1" w:rsidP="00402B45">
      <w:pPr>
        <w:jc w:val="both"/>
      </w:pPr>
      <w:r>
        <w:t>Once your guidelines are completed</w:t>
      </w:r>
      <w:r w:rsidR="00BC33A1">
        <w:t>,</w:t>
      </w:r>
      <w:r>
        <w:t xml:space="preserve"> p</w:t>
      </w:r>
      <w:r w:rsidR="007D5D56">
        <w:t xml:space="preserve">lease </w:t>
      </w:r>
      <w:r>
        <w:t xml:space="preserve">submit </w:t>
      </w:r>
      <w:r w:rsidR="00BC33A1">
        <w:t>them</w:t>
      </w:r>
      <w:r>
        <w:t xml:space="preserve"> </w:t>
      </w:r>
      <w:r w:rsidR="00CF5A53">
        <w:t xml:space="preserve">to </w:t>
      </w:r>
      <w:r>
        <w:t xml:space="preserve">us on </w:t>
      </w:r>
      <w:r w:rsidR="007D5D56">
        <w:t>your entity’s letterhead</w:t>
      </w:r>
      <w:r w:rsidR="00BC33A1">
        <w:t xml:space="preserve">. </w:t>
      </w:r>
      <w:r w:rsidR="00CF5A53">
        <w:t xml:space="preserve"> Following these guidelines </w:t>
      </w:r>
      <w:r w:rsidR="00E2762F">
        <w:t xml:space="preserve">complied with the intent of 2CFR Part 200 </w:t>
      </w:r>
      <w:r w:rsidR="00CF5A53">
        <w:t xml:space="preserve">and assists </w:t>
      </w:r>
      <w:r>
        <w:t xml:space="preserve">your entity </w:t>
      </w:r>
      <w:r w:rsidR="00CF5A53">
        <w:t xml:space="preserve">in </w:t>
      </w:r>
      <w:r w:rsidR="007D5D56">
        <w:t>obtain</w:t>
      </w:r>
      <w:r w:rsidR="00CF5A53">
        <w:t>ing competitive pricing t</w:t>
      </w:r>
      <w:r w:rsidR="007D5D56">
        <w:t xml:space="preserve">o ensure good stewardship of the federal funds. </w:t>
      </w:r>
    </w:p>
    <w:p w:rsidR="00355FDF" w:rsidRDefault="00355FDF" w:rsidP="007D5D56">
      <w:r>
        <w:t xml:space="preserve">Any questions refer them to </w:t>
      </w:r>
      <w:hyperlink r:id="rId10" w:history="1">
        <w:r w:rsidRPr="00142FB8">
          <w:rPr>
            <w:rStyle w:val="Hyperlink"/>
          </w:rPr>
          <w:t>DEMHS.NSGP@Ct.Gov</w:t>
        </w:r>
      </w:hyperlink>
      <w:r>
        <w:t xml:space="preserve"> </w:t>
      </w:r>
      <w:bookmarkStart w:id="0" w:name="_GoBack"/>
      <w:bookmarkEnd w:id="0"/>
    </w:p>
    <w:sectPr w:rsidR="00355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72B"/>
    <w:rsid w:val="000E28C0"/>
    <w:rsid w:val="002013E1"/>
    <w:rsid w:val="002F572B"/>
    <w:rsid w:val="00355FDF"/>
    <w:rsid w:val="00366700"/>
    <w:rsid w:val="00402B45"/>
    <w:rsid w:val="005D3DEA"/>
    <w:rsid w:val="007C6A25"/>
    <w:rsid w:val="007D5D56"/>
    <w:rsid w:val="008A355F"/>
    <w:rsid w:val="008B1FC5"/>
    <w:rsid w:val="00BC33A1"/>
    <w:rsid w:val="00CF5A53"/>
    <w:rsid w:val="00E2762F"/>
    <w:rsid w:val="00EC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677AB-2093-447D-9415-26AE6241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35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35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A35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5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A355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A355F"/>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55F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e70d4d5b3d21f635ea2aec391214bde6&amp;term_occur=999&amp;term_src=Title:2:Subtitle:A:Chapter:II:Part:200:Subpart:D:Subjgrp:31:200.318" TargetMode="External"/><Relationship Id="rId3" Type="http://schemas.openxmlformats.org/officeDocument/2006/relationships/webSettings" Target="webSettings.xml"/><Relationship Id="rId7" Type="http://schemas.openxmlformats.org/officeDocument/2006/relationships/hyperlink" Target="https://www.law.cornell.edu/definitions/index.php?width=840&amp;height=800&amp;iframe=true&amp;def_id=dad614c8a49266d2767ab3a834546ad5&amp;term_occur=999&amp;term_src=Title:2:Subtitle:A:Chapter:II:Part:200:Subpart:D:Subjgrp:31:200.31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w.cornell.edu/definitions/index.php?width=840&amp;height=800&amp;iframe=true&amp;def_id=dad614c8a49266d2767ab3a834546ad5&amp;term_occur=999&amp;term_src=Title:2:Subtitle:A:Chapter:II:Part:200:Subpart:D:Subjgrp:31:200.318" TargetMode="External"/><Relationship Id="rId11" Type="http://schemas.openxmlformats.org/officeDocument/2006/relationships/fontTable" Target="fontTable.xml"/><Relationship Id="rId5" Type="http://schemas.openxmlformats.org/officeDocument/2006/relationships/hyperlink" Target="https://www.law.cornell.edu/definitions/index.php?width=840&amp;height=800&amp;iframe=true&amp;def_id=dad614c8a49266d2767ab3a834546ad5&amp;term_occur=999&amp;term_src=Title:2:Subtitle:A:Chapter:II:Part:200:Subpart:D:Subjgrp:31:200.318" TargetMode="External"/><Relationship Id="rId10" Type="http://schemas.openxmlformats.org/officeDocument/2006/relationships/hyperlink" Target="mailto:DEMHS.NSGP@Ct.Gov" TargetMode="External"/><Relationship Id="rId4" Type="http://schemas.openxmlformats.org/officeDocument/2006/relationships/hyperlink" Target="https://www.law.cornell.edu/definitions/index.php?width=840&amp;height=800&amp;iframe=true&amp;def_id=e70d4d5b3d21f635ea2aec391214bde6&amp;term_occur=999&amp;term_src=Title:2:Subtitle:A:Chapter:II:Part:200:Subpart:D:Subjgrp:31:200.318" TargetMode="External"/><Relationship Id="rId9" Type="http://schemas.openxmlformats.org/officeDocument/2006/relationships/hyperlink" Target="https://www.law.cornell.edu/definitions/index.php?width=840&amp;height=800&amp;iframe=true&amp;def_id=74f8c247fb5c2e5672df209600833d51&amp;term_occur=999&amp;term_src=Title:2:Subtitle:A:Chapter:II:Part:200:Subpart:D:Subjgrp:31:20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Drozynski, Robert</dc:creator>
  <cp:keywords/>
  <dc:description/>
  <cp:lastModifiedBy>Drozynski, Robert</cp:lastModifiedBy>
  <cp:revision>11</cp:revision>
  <dcterms:created xsi:type="dcterms:W3CDTF">2020-07-14T11:16:00Z</dcterms:created>
  <dcterms:modified xsi:type="dcterms:W3CDTF">2020-07-20T12:59:00Z</dcterms:modified>
</cp:coreProperties>
</file>