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D2" w:rsidRDefault="00020128">
      <w:pPr>
        <w:pStyle w:val="Body"/>
        <w:spacing w:after="0" w:line="240" w:lineRule="auto"/>
        <w:jc w:val="center"/>
        <w:rPr>
          <w:rFonts w:ascii="Arial" w:eastAsia="Arial" w:hAnsi="Arial" w:cs="Arial"/>
          <w:b/>
          <w:bCs/>
          <w:sz w:val="24"/>
          <w:szCs w:val="24"/>
          <w:u w:val="single"/>
        </w:rPr>
      </w:pPr>
      <w:bookmarkStart w:id="0" w:name="_GoBack"/>
      <w:bookmarkEnd w:id="0"/>
      <w:r>
        <w:rPr>
          <w:rFonts w:ascii="Arial" w:hAnsi="Arial"/>
          <w:b/>
          <w:bCs/>
          <w:sz w:val="24"/>
          <w:szCs w:val="24"/>
          <w:u w:val="single"/>
        </w:rPr>
        <w:t>VACCINATION SITE PLANNING GUIDE</w:t>
      </w:r>
    </w:p>
    <w:p w:rsidR="00332DD2" w:rsidRDefault="00020128">
      <w:pPr>
        <w:pStyle w:val="Body"/>
        <w:spacing w:after="0" w:line="240" w:lineRule="auto"/>
        <w:jc w:val="center"/>
        <w:rPr>
          <w:rFonts w:ascii="Arial" w:eastAsia="Arial" w:hAnsi="Arial" w:cs="Arial"/>
          <w:i/>
          <w:iCs/>
          <w:sz w:val="24"/>
          <w:szCs w:val="24"/>
        </w:rPr>
      </w:pPr>
      <w:r>
        <w:rPr>
          <w:rFonts w:ascii="Arial" w:hAnsi="Arial"/>
          <w:i/>
          <w:iCs/>
          <w:sz w:val="24"/>
          <w:szCs w:val="24"/>
        </w:rPr>
        <w:t>January 2</w:t>
      </w:r>
      <w:r w:rsidR="00C74AE4">
        <w:rPr>
          <w:rFonts w:ascii="Arial" w:hAnsi="Arial"/>
          <w:i/>
          <w:iCs/>
          <w:sz w:val="24"/>
          <w:szCs w:val="24"/>
        </w:rPr>
        <w:t>7</w:t>
      </w:r>
      <w:r>
        <w:rPr>
          <w:rFonts w:ascii="Arial" w:hAnsi="Arial"/>
          <w:i/>
          <w:iCs/>
          <w:sz w:val="24"/>
          <w:szCs w:val="24"/>
        </w:rPr>
        <w:t>, 2021</w:t>
      </w:r>
    </w:p>
    <w:p w:rsidR="00332DD2" w:rsidRDefault="00332DD2">
      <w:pPr>
        <w:pStyle w:val="Body"/>
        <w:spacing w:after="0" w:line="240" w:lineRule="auto"/>
        <w:rPr>
          <w:rFonts w:ascii="Arial" w:eastAsia="Arial" w:hAnsi="Arial" w:cs="Arial"/>
        </w:rPr>
      </w:pPr>
    </w:p>
    <w:p w:rsidR="00332DD2" w:rsidRDefault="00332DD2">
      <w:pPr>
        <w:pStyle w:val="Body"/>
        <w:spacing w:after="0" w:line="240" w:lineRule="auto"/>
        <w:rPr>
          <w:rFonts w:ascii="Arial" w:eastAsia="Arial" w:hAnsi="Arial" w:cs="Arial"/>
        </w:rPr>
      </w:pPr>
    </w:p>
    <w:p w:rsidR="00332DD2" w:rsidRDefault="00C74AE4">
      <w:pPr>
        <w:pStyle w:val="Body"/>
        <w:spacing w:after="0" w:line="276" w:lineRule="auto"/>
        <w:rPr>
          <w:rFonts w:ascii="Arial" w:eastAsia="Arial" w:hAnsi="Arial" w:cs="Arial"/>
          <w:color w:val="1F497D"/>
          <w:u w:color="1F497D"/>
        </w:rPr>
      </w:pPr>
      <w:r>
        <w:rPr>
          <w:rFonts w:ascii="Arial" w:hAnsi="Arial"/>
          <w:b/>
          <w:bCs/>
          <w:sz w:val="24"/>
          <w:szCs w:val="24"/>
          <w:u w:val="single"/>
          <w:lang w:val="fr-FR"/>
        </w:rPr>
        <w:t>Introduction :</w:t>
      </w:r>
      <w:r w:rsidR="00020128">
        <w:rPr>
          <w:rFonts w:ascii="Arial" w:hAnsi="Arial"/>
        </w:rPr>
        <w:t xml:space="preserve">  The purpose of this Vaccination Site Planning Guide and the accompanying plan/checklist template is to provide a basic advance planning structure and establish a simple communications process for vaccination providers, location owners/tenants and state and local officials to work together in advance of the opening of any vaccination location to identify and resolve any logistics issues ahead of time.  The attached template checklist and plan can also be used to help address any issues that may arise in connection with an ongoing vaccination site. The Guide and checklist may be used both in connection with mass vaccination sites as well as with smaller community sites</w:t>
      </w:r>
      <w:r w:rsidR="00FD7221">
        <w:rPr>
          <w:rFonts w:ascii="Arial" w:hAnsi="Arial"/>
        </w:rPr>
        <w:t xml:space="preserve"> if local or state resources may be requested</w:t>
      </w:r>
      <w:r w:rsidR="00020128">
        <w:rPr>
          <w:rFonts w:ascii="Arial" w:hAnsi="Arial"/>
        </w:rPr>
        <w:t xml:space="preserve">.  </w:t>
      </w:r>
    </w:p>
    <w:p w:rsidR="00332DD2" w:rsidRDefault="00332DD2">
      <w:pPr>
        <w:pStyle w:val="Body"/>
        <w:spacing w:after="0" w:line="240" w:lineRule="auto"/>
        <w:jc w:val="center"/>
        <w:rPr>
          <w:rFonts w:ascii="Arial" w:eastAsia="Arial" w:hAnsi="Arial" w:cs="Arial"/>
        </w:rPr>
      </w:pPr>
    </w:p>
    <w:p w:rsidR="00332DD2" w:rsidRDefault="00020128">
      <w:pPr>
        <w:pStyle w:val="Body"/>
        <w:spacing w:after="0" w:line="240" w:lineRule="auto"/>
        <w:rPr>
          <w:rFonts w:ascii="Arial" w:eastAsia="Arial" w:hAnsi="Arial" w:cs="Arial"/>
          <w:b/>
          <w:bCs/>
          <w:color w:val="201F1E"/>
          <w:sz w:val="24"/>
          <w:szCs w:val="24"/>
          <w:u w:color="201F1E"/>
        </w:rPr>
      </w:pPr>
      <w:r>
        <w:rPr>
          <w:rFonts w:ascii="Arial" w:hAnsi="Arial"/>
          <w:b/>
          <w:bCs/>
          <w:color w:val="201F1E"/>
          <w:sz w:val="24"/>
          <w:szCs w:val="24"/>
          <w:u w:val="single" w:color="201F1E"/>
        </w:rPr>
        <w:t>Guidance on Setting Up a Vaccination Site:</w:t>
      </w:r>
    </w:p>
    <w:p w:rsidR="00332DD2" w:rsidRDefault="00020128">
      <w:pPr>
        <w:pStyle w:val="Body"/>
        <w:spacing w:after="0" w:line="240" w:lineRule="auto"/>
        <w:rPr>
          <w:rFonts w:ascii="Arial" w:eastAsia="Arial" w:hAnsi="Arial" w:cs="Arial"/>
          <w:color w:val="201F1E"/>
          <w:u w:color="201F1E"/>
        </w:rPr>
      </w:pPr>
      <w:r>
        <w:rPr>
          <w:rFonts w:ascii="Arial" w:hAnsi="Arial"/>
          <w:color w:val="201F1E"/>
          <w:u w:color="201F1E"/>
        </w:rPr>
        <w:t> </w:t>
      </w:r>
    </w:p>
    <w:p w:rsidR="00332DD2" w:rsidRDefault="00020128">
      <w:pPr>
        <w:pStyle w:val="Body"/>
        <w:spacing w:after="0" w:line="276" w:lineRule="auto"/>
        <w:rPr>
          <w:rFonts w:ascii="Arial" w:eastAsia="Arial" w:hAnsi="Arial" w:cs="Arial"/>
          <w:color w:val="201F1E"/>
          <w:u w:color="201F1E"/>
        </w:rPr>
      </w:pPr>
      <w:r>
        <w:rPr>
          <w:rFonts w:ascii="Arial" w:hAnsi="Arial"/>
          <w:color w:val="201F1E"/>
          <w:u w:color="201F1E"/>
        </w:rPr>
        <w:t xml:space="preserve">1.As State officials, local public health (LHD)s, and vaccination partners (e.g., </w:t>
      </w:r>
      <w:r w:rsidRPr="00C74AE4">
        <w:rPr>
          <w:rFonts w:ascii="Arial" w:hAnsi="Arial"/>
          <w:color w:val="auto"/>
          <w:u w:color="201F1E"/>
        </w:rPr>
        <w:t>pharmacies,</w:t>
      </w:r>
      <w:r w:rsidRPr="00C74AE4">
        <w:rPr>
          <w:rFonts w:ascii="Arial" w:hAnsi="Arial"/>
          <w:color w:val="auto"/>
          <w:u w:color="201F1E"/>
          <w:lang w:val="pt-PT"/>
        </w:rPr>
        <w:t xml:space="preserve"> hospital</w:t>
      </w:r>
      <w:r w:rsidRPr="00C74AE4">
        <w:rPr>
          <w:rFonts w:ascii="Arial" w:hAnsi="Arial"/>
          <w:color w:val="auto"/>
          <w:u w:color="201F1E"/>
        </w:rPr>
        <w:t>s</w:t>
      </w:r>
      <w:r>
        <w:rPr>
          <w:rFonts w:ascii="Arial" w:hAnsi="Arial"/>
          <w:color w:val="201F1E"/>
          <w:u w:color="201F1E"/>
        </w:rPr>
        <w:t xml:space="preserve">, </w:t>
      </w:r>
      <w:r w:rsidRPr="00C74AE4">
        <w:rPr>
          <w:rFonts w:ascii="Arial" w:hAnsi="Arial"/>
          <w:color w:val="auto"/>
          <w:u w:color="201F1E"/>
        </w:rPr>
        <w:t xml:space="preserve">FQHCs, other) </w:t>
      </w:r>
      <w:r>
        <w:rPr>
          <w:rFonts w:ascii="Arial" w:hAnsi="Arial"/>
          <w:color w:val="201F1E"/>
          <w:u w:color="201F1E"/>
        </w:rPr>
        <w:t>work to identify a local vaccination site, it is helpful to the planning process to keep other state and local partners informed regarding the proposed operation.  The CT Division of Emergency Management and Homeland Security (DEMHS) has a regional coordinator in each of the five DEMHS emergency planning regions, which are the same regions used by the CT Department of Public Health.  When the DEMHS Regional Coordinator is notified of a potential site</w:t>
      </w:r>
      <w:r w:rsidRPr="00C74AE4">
        <w:rPr>
          <w:rFonts w:ascii="Arial" w:hAnsi="Arial"/>
          <w:color w:val="auto"/>
          <w:u w:color="201F1E"/>
        </w:rPr>
        <w:t xml:space="preserve">, he/she may work </w:t>
      </w:r>
      <w:r>
        <w:rPr>
          <w:rFonts w:ascii="Arial" w:hAnsi="Arial"/>
          <w:color w:val="201F1E"/>
          <w:u w:color="201F1E"/>
        </w:rPr>
        <w:t xml:space="preserve">with other state, local and private sector partners to make sure that a pre-event planning call is arranged.  </w:t>
      </w:r>
    </w:p>
    <w:p w:rsidR="00332DD2" w:rsidRDefault="00332DD2">
      <w:pPr>
        <w:pStyle w:val="ListParagraph"/>
        <w:spacing w:after="0" w:line="276" w:lineRule="auto"/>
        <w:rPr>
          <w:rFonts w:ascii="Arial" w:eastAsia="Arial" w:hAnsi="Arial" w:cs="Arial"/>
          <w:color w:val="201F1E"/>
          <w:u w:color="201F1E"/>
        </w:rPr>
      </w:pPr>
    </w:p>
    <w:p w:rsidR="00332DD2" w:rsidRDefault="00020128">
      <w:pPr>
        <w:pStyle w:val="Body"/>
        <w:spacing w:after="0" w:line="276" w:lineRule="auto"/>
        <w:rPr>
          <w:rFonts w:ascii="Arial" w:eastAsia="Arial" w:hAnsi="Arial" w:cs="Arial"/>
          <w:color w:val="201F1E"/>
          <w:u w:color="201F1E"/>
        </w:rPr>
      </w:pPr>
      <w:r>
        <w:rPr>
          <w:rFonts w:ascii="Arial" w:hAnsi="Arial"/>
          <w:color w:val="201F1E"/>
          <w:u w:color="201F1E"/>
        </w:rPr>
        <w:t>2.Depending on the size and location of the potential site, these partners may include the local Public Health, Emergency Management Director, Law Enforcement, Emergency Medical Services, Fire Marshal, state Military Department, Public Health, Emergency Management, and/or Department of Transportation.  Having these groups at the table will help to address any potential issues in advance.  Issues may include staffing or equipment resources, zoning, transportation, etc.</w:t>
      </w:r>
    </w:p>
    <w:p w:rsidR="00332DD2" w:rsidRDefault="00020128">
      <w:pPr>
        <w:pStyle w:val="Body"/>
        <w:spacing w:after="0" w:line="276" w:lineRule="auto"/>
        <w:ind w:left="780"/>
        <w:rPr>
          <w:rFonts w:ascii="Arial" w:eastAsia="Arial" w:hAnsi="Arial" w:cs="Arial"/>
          <w:color w:val="201F1E"/>
          <w:u w:color="201F1E"/>
        </w:rPr>
      </w:pPr>
      <w:r>
        <w:rPr>
          <w:rFonts w:ascii="Arial" w:hAnsi="Arial"/>
          <w:color w:val="1F497D"/>
          <w:u w:color="1F497D"/>
        </w:rPr>
        <w:t> </w:t>
      </w:r>
    </w:p>
    <w:p w:rsidR="00332DD2" w:rsidRDefault="00020128">
      <w:pPr>
        <w:pStyle w:val="Body"/>
        <w:spacing w:after="0" w:line="276" w:lineRule="auto"/>
        <w:rPr>
          <w:rFonts w:ascii="Arial" w:eastAsia="Arial" w:hAnsi="Arial" w:cs="Arial"/>
          <w:color w:val="201F1E"/>
          <w:u w:color="201F1E"/>
        </w:rPr>
      </w:pPr>
      <w:r>
        <w:rPr>
          <w:rFonts w:ascii="Arial" w:hAnsi="Arial"/>
          <w:color w:val="201F1E"/>
          <w:u w:color="201F1E"/>
        </w:rPr>
        <w:t>3.It is important that all agencies or entities involved in the potential site activation provide point of contact (POC) information including a POC for the vaccination partner and a POC with the location where the vaccinations are going to be provided.</w:t>
      </w:r>
    </w:p>
    <w:p w:rsidR="00332DD2" w:rsidRDefault="00332DD2">
      <w:pPr>
        <w:pStyle w:val="Body"/>
        <w:spacing w:after="0" w:line="276" w:lineRule="auto"/>
        <w:ind w:left="720" w:hanging="360"/>
        <w:rPr>
          <w:rFonts w:ascii="Arial" w:eastAsia="Arial" w:hAnsi="Arial" w:cs="Arial"/>
          <w:color w:val="201F1E"/>
          <w:u w:color="201F1E"/>
        </w:rPr>
      </w:pPr>
    </w:p>
    <w:p w:rsidR="00332DD2" w:rsidRDefault="00020128">
      <w:pPr>
        <w:pStyle w:val="Body"/>
        <w:spacing w:after="0" w:line="276" w:lineRule="auto"/>
        <w:rPr>
          <w:rFonts w:ascii="Arial" w:eastAsia="Arial" w:hAnsi="Arial" w:cs="Arial"/>
          <w:color w:val="201F1E"/>
          <w:u w:color="201F1E"/>
        </w:rPr>
      </w:pPr>
      <w:r>
        <w:rPr>
          <w:rFonts w:ascii="Arial" w:hAnsi="Arial"/>
          <w:color w:val="201F1E"/>
          <w:u w:color="201F1E"/>
        </w:rPr>
        <w:t xml:space="preserve">4.The map of DEMHS Regions can be found at </w:t>
      </w:r>
      <w:hyperlink r:id="rId6" w:history="1">
        <w:r>
          <w:rPr>
            <w:rStyle w:val="Hyperlink0"/>
          </w:rPr>
          <w:t>www.ct.gov/demhs</w:t>
        </w:r>
      </w:hyperlink>
      <w:r>
        <w:rPr>
          <w:rFonts w:ascii="Arial" w:hAnsi="Arial"/>
          <w:color w:val="201F1E"/>
          <w:u w:color="201F1E"/>
        </w:rPr>
        <w:t>.  Here is the contact information for the five DEMHS Regional Coordinators:</w:t>
      </w:r>
    </w:p>
    <w:p w:rsidR="00332DD2" w:rsidRDefault="00020128">
      <w:pPr>
        <w:pStyle w:val="Body"/>
        <w:spacing w:after="0" w:line="276" w:lineRule="auto"/>
        <w:ind w:left="720" w:hanging="360"/>
        <w:rPr>
          <w:rFonts w:ascii="Arial" w:eastAsia="Arial" w:hAnsi="Arial" w:cs="Arial"/>
          <w:color w:val="201F1E"/>
          <w:u w:color="201F1E"/>
        </w:rPr>
      </w:pPr>
      <w:r>
        <w:rPr>
          <w:rFonts w:ascii="Arial" w:eastAsia="Arial" w:hAnsi="Arial" w:cs="Arial"/>
          <w:color w:val="201F1E"/>
          <w:u w:color="201F1E"/>
          <w:lang w:val="it-IT"/>
        </w:rPr>
        <w:tab/>
        <w:t>Region 1</w:t>
      </w:r>
      <w:r>
        <w:rPr>
          <w:rFonts w:ascii="Arial" w:hAnsi="Arial"/>
          <w:color w:val="201F1E"/>
          <w:u w:color="201F1E"/>
        </w:rPr>
        <w:t xml:space="preserve">—Bob Kenny--   </w:t>
      </w:r>
      <w:hyperlink r:id="rId7" w:history="1">
        <w:r>
          <w:rPr>
            <w:rStyle w:val="Hyperlink0"/>
          </w:rPr>
          <w:t>Robert.kenny@ct.gov</w:t>
        </w:r>
      </w:hyperlink>
    </w:p>
    <w:p w:rsidR="00332DD2" w:rsidRDefault="00020128">
      <w:pPr>
        <w:pStyle w:val="Body"/>
        <w:spacing w:after="0" w:line="276" w:lineRule="auto"/>
        <w:ind w:left="720" w:hanging="360"/>
        <w:rPr>
          <w:rFonts w:ascii="Arial" w:eastAsia="Arial" w:hAnsi="Arial" w:cs="Arial"/>
          <w:color w:val="201F1E"/>
          <w:u w:color="201F1E"/>
        </w:rPr>
      </w:pPr>
      <w:r>
        <w:rPr>
          <w:rFonts w:ascii="Arial" w:eastAsia="Arial" w:hAnsi="Arial" w:cs="Arial"/>
          <w:color w:val="201F1E"/>
          <w:u w:color="201F1E"/>
          <w:lang w:val="it-IT"/>
        </w:rPr>
        <w:tab/>
        <w:t>Region 2</w:t>
      </w:r>
      <w:r>
        <w:rPr>
          <w:rFonts w:ascii="Arial" w:hAnsi="Arial"/>
          <w:color w:val="201F1E"/>
          <w:u w:color="201F1E"/>
        </w:rPr>
        <w:t xml:space="preserve">—Jake Manke--   </w:t>
      </w:r>
      <w:hyperlink r:id="rId8" w:history="1">
        <w:r>
          <w:rPr>
            <w:rStyle w:val="Hyperlink0"/>
          </w:rPr>
          <w:t>Jacob.manke@ct.gov</w:t>
        </w:r>
      </w:hyperlink>
    </w:p>
    <w:p w:rsidR="00332DD2" w:rsidRDefault="00020128">
      <w:pPr>
        <w:pStyle w:val="Body"/>
        <w:spacing w:after="0" w:line="276" w:lineRule="auto"/>
        <w:ind w:left="720" w:hanging="360"/>
        <w:rPr>
          <w:rFonts w:ascii="Arial" w:eastAsia="Arial" w:hAnsi="Arial" w:cs="Arial"/>
          <w:color w:val="201F1E"/>
          <w:u w:color="201F1E"/>
        </w:rPr>
      </w:pPr>
      <w:r>
        <w:rPr>
          <w:rFonts w:ascii="Arial" w:eastAsia="Arial" w:hAnsi="Arial" w:cs="Arial"/>
          <w:color w:val="201F1E"/>
          <w:u w:color="201F1E"/>
          <w:lang w:val="it-IT"/>
        </w:rPr>
        <w:tab/>
        <w:t>Region 3</w:t>
      </w:r>
      <w:r>
        <w:rPr>
          <w:rFonts w:ascii="Arial" w:hAnsi="Arial"/>
          <w:color w:val="201F1E"/>
          <w:u w:color="201F1E"/>
        </w:rPr>
        <w:t xml:space="preserve">—Bill Turley--    </w:t>
      </w:r>
      <w:hyperlink r:id="rId9" w:history="1">
        <w:r>
          <w:rPr>
            <w:rStyle w:val="Hyperlink0"/>
          </w:rPr>
          <w:t>William.turley@ct.gov</w:t>
        </w:r>
      </w:hyperlink>
    </w:p>
    <w:p w:rsidR="00332DD2" w:rsidRDefault="00020128">
      <w:pPr>
        <w:pStyle w:val="Body"/>
        <w:spacing w:after="0" w:line="276" w:lineRule="auto"/>
        <w:ind w:left="720" w:hanging="360"/>
        <w:rPr>
          <w:rFonts w:ascii="Arial" w:eastAsia="Arial" w:hAnsi="Arial" w:cs="Arial"/>
          <w:color w:val="201F1E"/>
          <w:u w:color="201F1E"/>
        </w:rPr>
      </w:pPr>
      <w:r>
        <w:rPr>
          <w:rFonts w:ascii="Arial" w:eastAsia="Arial" w:hAnsi="Arial" w:cs="Arial"/>
          <w:color w:val="201F1E"/>
          <w:u w:color="201F1E"/>
          <w:lang w:val="it-IT"/>
        </w:rPr>
        <w:tab/>
        <w:t>Region 4</w:t>
      </w:r>
      <w:r>
        <w:rPr>
          <w:rFonts w:ascii="Arial" w:hAnsi="Arial"/>
          <w:color w:val="201F1E"/>
          <w:u w:color="201F1E"/>
        </w:rPr>
        <w:t xml:space="preserve">—Mike Caplet--  </w:t>
      </w:r>
      <w:hyperlink r:id="rId10" w:history="1">
        <w:r>
          <w:rPr>
            <w:rStyle w:val="Hyperlink0"/>
          </w:rPr>
          <w:t>Mike.caplet@ct.gov</w:t>
        </w:r>
      </w:hyperlink>
    </w:p>
    <w:p w:rsidR="00332DD2" w:rsidRDefault="00020128">
      <w:pPr>
        <w:pStyle w:val="Body"/>
        <w:spacing w:after="0" w:line="276" w:lineRule="auto"/>
        <w:ind w:left="720" w:hanging="360"/>
      </w:pPr>
      <w:r>
        <w:rPr>
          <w:rFonts w:ascii="Arial" w:hAnsi="Arial"/>
          <w:color w:val="201F1E"/>
          <w:u w:color="201F1E"/>
          <w:lang w:val="it-IT"/>
        </w:rPr>
        <w:t xml:space="preserve"> </w:t>
      </w:r>
      <w:r>
        <w:rPr>
          <w:rFonts w:ascii="Arial" w:hAnsi="Arial"/>
          <w:color w:val="201F1E"/>
          <w:u w:color="201F1E"/>
          <w:lang w:val="it-IT"/>
        </w:rPr>
        <w:tab/>
        <w:t>Region 5</w:t>
      </w:r>
      <w:r>
        <w:rPr>
          <w:rFonts w:ascii="Arial" w:hAnsi="Arial"/>
          <w:color w:val="201F1E"/>
          <w:u w:color="201F1E"/>
        </w:rPr>
        <w:t xml:space="preserve">—John Field--     </w:t>
      </w:r>
      <w:hyperlink r:id="rId11" w:history="1">
        <w:r>
          <w:rPr>
            <w:rStyle w:val="Hyperlink0"/>
          </w:rPr>
          <w:t>John.field@ct.gov</w:t>
        </w:r>
      </w:hyperlink>
      <w:r>
        <w:rPr>
          <w:rFonts w:ascii="Arial" w:hAnsi="Arial"/>
          <w:color w:val="201F1E"/>
          <w:sz w:val="24"/>
          <w:szCs w:val="24"/>
          <w:u w:color="201F1E"/>
        </w:rPr>
        <w:t xml:space="preserve"> </w:t>
      </w:r>
    </w:p>
    <w:sectPr w:rsidR="00332DD2">
      <w:headerReference w:type="default" r:id="rId12"/>
      <w:headerReference w:type="first" r:id="rId13"/>
      <w:pgSz w:w="12240" w:h="15840"/>
      <w:pgMar w:top="1440" w:right="1080" w:bottom="1440" w:left="108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F5B" w:rsidRDefault="00CB4F5B">
      <w:r>
        <w:separator/>
      </w:r>
    </w:p>
  </w:endnote>
  <w:endnote w:type="continuationSeparator" w:id="0">
    <w:p w:rsidR="00CB4F5B" w:rsidRDefault="00CB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F5B" w:rsidRDefault="00CB4F5B">
      <w:r>
        <w:separator/>
      </w:r>
    </w:p>
  </w:footnote>
  <w:footnote w:type="continuationSeparator" w:id="0">
    <w:p w:rsidR="00CB4F5B" w:rsidRDefault="00CB4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D2" w:rsidRDefault="00020128">
    <w:pPr>
      <w:pStyle w:val="Header"/>
    </w:pPr>
    <w:r>
      <w:rPr>
        <w:noProof/>
      </w:rPr>
      <mc:AlternateContent>
        <mc:Choice Requires="wps">
          <w:drawing>
            <wp:anchor distT="152400" distB="152400" distL="152400" distR="152400" simplePos="0" relativeHeight="251656704" behindDoc="1" locked="0" layoutInCell="1" allowOverlap="1">
              <wp:simplePos x="0" y="0"/>
              <wp:positionH relativeFrom="page">
                <wp:posOffset>1267460</wp:posOffset>
              </wp:positionH>
              <wp:positionV relativeFrom="page">
                <wp:posOffset>3458209</wp:posOffset>
              </wp:positionV>
              <wp:extent cx="5237480" cy="3141980"/>
              <wp:effectExtent l="343846" t="1391596" r="343846" b="1391596"/>
              <wp:wrapNone/>
              <wp:docPr id="1073741825" name="officeArt object"/>
              <wp:cNvGraphicFramePr/>
              <a:graphic xmlns:a="http://schemas.openxmlformats.org/drawingml/2006/main">
                <a:graphicData uri="http://schemas.microsoft.com/office/word/2010/wordprocessingShape">
                  <wps:wsp>
                    <wps:cNvSpPr txBox="1"/>
                    <wps:spPr>
                      <a:xfrm rot="18900000">
                        <a:off x="0" y="0"/>
                        <a:ext cx="5237480" cy="3141980"/>
                      </a:xfrm>
                      <a:prstGeom prst="rect">
                        <a:avLst/>
                      </a:prstGeom>
                      <a:noFill/>
                      <a:ln w="12700" cap="flat">
                        <a:noFill/>
                        <a:miter lim="400000"/>
                      </a:ln>
                      <a:effectLst/>
                    </wps:spPr>
                    <wps:txbx>
                      <w:txbxContent>
                        <w:p w:rsidR="00332DD2" w:rsidRDefault="00020128">
                          <w:pPr>
                            <w:pStyle w:val="Caption"/>
                            <w:tabs>
                              <w:tab w:val="left" w:pos="1440"/>
                              <w:tab w:val="left" w:pos="2880"/>
                              <w:tab w:val="left" w:pos="4320"/>
                              <w:tab w:val="left" w:pos="5760"/>
                              <w:tab w:val="left" w:pos="7200"/>
                            </w:tabs>
                          </w:pPr>
                          <w:r>
                            <w:rPr>
                              <w:color w:val="C0C0C0"/>
                              <w:sz w:val="494"/>
                              <w:szCs w:val="494"/>
                            </w:rPr>
                            <w:t>DRAFT</w:t>
                          </w:r>
                        </w:p>
                      </w:txbxContent>
                    </wps:txbx>
                    <wps:bodyPr wrap="square" lIns="0" tIns="0" rIns="0" bIns="0" numCol="1" anchor="ctr">
                      <a:normAutofit/>
                    </wps:bodyPr>
                  </wps:wsp>
                </a:graphicData>
              </a:graphic>
            </wp:anchor>
          </w:drawing>
        </mc:Choice>
        <mc:Fallback xmlns:w16se="http://schemas.microsoft.com/office/word/2015/wordml/symex" xmlns:cx1="http://schemas.microsoft.com/office/drawing/2015/9/8/chartex" xmlns:cx="http://schemas.microsoft.com/office/drawing/2014/chartex">
          <w:pict>
            <v:shape id="_x0000_s1026" type="#_x0000_t202" style="visibility:visible;position:absolute;margin-left:99.8pt;margin-top:272.3pt;width:412.4pt;height:247.4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pPr>
                    <w:r>
                      <w:rPr>
                        <w:color w:val="c0c0c0"/>
                        <w:sz w:val="494"/>
                        <w:szCs w:val="494"/>
                        <w:rtl w:val="0"/>
                        <w:lang w:val="de-DE"/>
                      </w:rPr>
                      <w:t>DRAFT</w:t>
                    </w:r>
                  </w:p>
                </w:txbxContent>
              </v:textbox>
              <w10:wrap type="none" side="bothSides"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D2" w:rsidRDefault="00020128">
    <w:pPr>
      <w:pStyle w:val="Body"/>
      <w:ind w:left="153" w:right="153"/>
      <w:jc w:val="center"/>
      <w:rPr>
        <w:smallCaps/>
        <w:color w:val="0070C0"/>
        <w:u w:color="0070C0"/>
      </w:rPr>
    </w:pPr>
    <w:r>
      <w:rPr>
        <w:noProof/>
      </w:rPr>
      <w:drawing>
        <wp:anchor distT="152400" distB="152400" distL="152400" distR="152400" simplePos="0" relativeHeight="251657728" behindDoc="1" locked="0" layoutInCell="1" allowOverlap="1">
          <wp:simplePos x="0" y="0"/>
          <wp:positionH relativeFrom="page">
            <wp:posOffset>6343650</wp:posOffset>
          </wp:positionH>
          <wp:positionV relativeFrom="page">
            <wp:posOffset>228600</wp:posOffset>
          </wp:positionV>
          <wp:extent cx="971550" cy="962025"/>
          <wp:effectExtent l="0" t="0" r="0" b="0"/>
          <wp:wrapNone/>
          <wp:docPr id="1073741826" name="officeArt object" descr="DEMHS Logo 640"/>
          <wp:cNvGraphicFramePr/>
          <a:graphic xmlns:a="http://schemas.openxmlformats.org/drawingml/2006/main">
            <a:graphicData uri="http://schemas.openxmlformats.org/drawingml/2006/picture">
              <pic:pic xmlns:pic="http://schemas.openxmlformats.org/drawingml/2006/picture">
                <pic:nvPicPr>
                  <pic:cNvPr id="1073741826" name="DEMHS Logo 640" descr="DEMHS Logo 640"/>
                  <pic:cNvPicPr>
                    <a:picLocks noChangeAspect="1"/>
                  </pic:cNvPicPr>
                </pic:nvPicPr>
                <pic:blipFill>
                  <a:blip r:embed="rId1">
                    <a:extLst/>
                  </a:blip>
                  <a:stretch>
                    <a:fillRect/>
                  </a:stretch>
                </pic:blipFill>
                <pic:spPr>
                  <a:xfrm>
                    <a:off x="0" y="0"/>
                    <a:ext cx="971550" cy="96202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simplePos x="0" y="0"/>
          <wp:positionH relativeFrom="page">
            <wp:posOffset>76200</wp:posOffset>
          </wp:positionH>
          <wp:positionV relativeFrom="page">
            <wp:posOffset>276225</wp:posOffset>
          </wp:positionV>
          <wp:extent cx="914400" cy="914400"/>
          <wp:effectExtent l="0" t="0" r="0" b="0"/>
          <wp:wrapNone/>
          <wp:docPr id="1073741827" name="officeArt object" descr="DESPP-Logo-300.png"/>
          <wp:cNvGraphicFramePr/>
          <a:graphic xmlns:a="http://schemas.openxmlformats.org/drawingml/2006/main">
            <a:graphicData uri="http://schemas.openxmlformats.org/drawingml/2006/picture">
              <pic:pic xmlns:pic="http://schemas.openxmlformats.org/drawingml/2006/picture">
                <pic:nvPicPr>
                  <pic:cNvPr id="1073741827" name="DESPP-Logo-300.png" descr="DESPP-Logo-300.png"/>
                  <pic:cNvPicPr>
                    <a:picLocks noChangeAspect="1"/>
                  </pic:cNvPicPr>
                </pic:nvPicPr>
                <pic:blipFill>
                  <a:blip r:embed="rId2">
                    <a:extLst/>
                  </a:blip>
                  <a:stretch>
                    <a:fillRect/>
                  </a:stretch>
                </pic:blipFill>
                <pic:spPr>
                  <a:xfrm>
                    <a:off x="0" y="0"/>
                    <a:ext cx="914400" cy="914400"/>
                  </a:xfrm>
                  <a:prstGeom prst="rect">
                    <a:avLst/>
                  </a:prstGeom>
                  <a:ln w="12700" cap="flat">
                    <a:noFill/>
                    <a:miter lim="400000"/>
                  </a:ln>
                  <a:effectLst/>
                </pic:spPr>
              </pic:pic>
            </a:graphicData>
          </a:graphic>
        </wp:anchor>
      </w:drawing>
    </w:r>
  </w:p>
  <w:p w:rsidR="00332DD2" w:rsidRDefault="00020128">
    <w:pPr>
      <w:pStyle w:val="Body"/>
      <w:ind w:left="153" w:right="153"/>
      <w:jc w:val="center"/>
      <w:rPr>
        <w:rFonts w:ascii="Arial" w:eastAsia="Arial" w:hAnsi="Arial" w:cs="Arial"/>
        <w:smallCaps/>
        <w:color w:val="0070C0"/>
        <w:u w:color="0070C0"/>
      </w:rPr>
    </w:pPr>
    <w:r>
      <w:rPr>
        <w:rFonts w:ascii="Arial" w:hAnsi="Arial"/>
        <w:smallCaps/>
        <w:color w:val="0070C0"/>
        <w:u w:color="0070C0"/>
      </w:rPr>
      <w:t>State of Connecticut</w:t>
    </w:r>
  </w:p>
  <w:p w:rsidR="00332DD2" w:rsidRDefault="00020128">
    <w:pPr>
      <w:pStyle w:val="Body"/>
      <w:ind w:left="153" w:right="153"/>
      <w:jc w:val="center"/>
      <w:rPr>
        <w:rFonts w:ascii="Arial" w:eastAsia="Arial" w:hAnsi="Arial" w:cs="Arial"/>
        <w:smallCaps/>
        <w:color w:val="0070C0"/>
        <w:u w:color="0070C0"/>
      </w:rPr>
    </w:pPr>
    <w:r>
      <w:rPr>
        <w:rFonts w:ascii="Arial" w:hAnsi="Arial"/>
        <w:smallCaps/>
        <w:color w:val="0070C0"/>
        <w:u w:color="0070C0"/>
      </w:rPr>
      <w:t>Department of Emergency Services &amp; Public Protection</w:t>
    </w:r>
  </w:p>
  <w:p w:rsidR="00332DD2" w:rsidRDefault="00020128">
    <w:pPr>
      <w:pStyle w:val="Body"/>
      <w:ind w:left="153" w:right="153"/>
      <w:jc w:val="center"/>
      <w:rPr>
        <w:rFonts w:ascii="Arial" w:eastAsia="Arial" w:hAnsi="Arial" w:cs="Arial"/>
        <w:b/>
        <w:bCs/>
        <w:smallCaps/>
        <w:color w:val="0070C0"/>
        <w:sz w:val="28"/>
        <w:szCs w:val="28"/>
        <w:u w:color="0070C0"/>
      </w:rPr>
    </w:pPr>
    <w:r>
      <w:rPr>
        <w:rFonts w:ascii="Arial" w:hAnsi="Arial"/>
        <w:b/>
        <w:bCs/>
        <w:smallCaps/>
        <w:color w:val="0070C0"/>
        <w:sz w:val="28"/>
        <w:szCs w:val="28"/>
        <w:u w:color="0070C0"/>
      </w:rPr>
      <w:t>Division of Emergency Management &amp; Homeland Security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D2"/>
    <w:rsid w:val="00020128"/>
    <w:rsid w:val="00210865"/>
    <w:rsid w:val="00332DD2"/>
    <w:rsid w:val="003F1650"/>
    <w:rsid w:val="008344D4"/>
    <w:rsid w:val="00C74AE4"/>
    <w:rsid w:val="00CB4F5B"/>
    <w:rsid w:val="00FD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47175-0B78-40F8-AD66-382861F2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cob.manke@ct.gov"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Robert.kenny@ct.go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gov/demhs" TargetMode="External"/><Relationship Id="rId11" Type="http://schemas.openxmlformats.org/officeDocument/2006/relationships/hyperlink" Target="mailto:John.field@ct.gov"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Mike.caplet@ct.gov" TargetMode="External"/><Relationship Id="rId4" Type="http://schemas.openxmlformats.org/officeDocument/2006/relationships/footnotes" Target="footnotes.xml"/><Relationship Id="rId9" Type="http://schemas.openxmlformats.org/officeDocument/2006/relationships/hyperlink" Target="mailto:William.turley@ct.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Brenda</dc:creator>
  <cp:lastModifiedBy>Scoville, Eric</cp:lastModifiedBy>
  <cp:revision>2</cp:revision>
  <dcterms:created xsi:type="dcterms:W3CDTF">2021-01-28T20:53:00Z</dcterms:created>
  <dcterms:modified xsi:type="dcterms:W3CDTF">2021-01-28T20:53:00Z</dcterms:modified>
</cp:coreProperties>
</file>