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26FD" w14:textId="77777777" w:rsidR="00CE50DF" w:rsidRDefault="00CE50DF" w:rsidP="00672101">
      <w:pPr>
        <w:sectPr w:rsidR="00CE50DF" w:rsidSect="007243E7">
          <w:headerReference w:type="default" r:id="rId8"/>
          <w:headerReference w:type="first" r:id="rId9"/>
          <w:pgSz w:w="12240" w:h="15840"/>
          <w:pgMar w:top="1980" w:right="990" w:bottom="1440" w:left="810" w:header="720" w:footer="720" w:gutter="0"/>
          <w:cols w:space="720"/>
          <w:titlePg/>
          <w:docGrid w:linePitch="360"/>
        </w:sectPr>
      </w:pPr>
    </w:p>
    <w:p w14:paraId="4CA01CA0" w14:textId="2F3D87EB" w:rsidR="00311D63" w:rsidRPr="007B0EFD" w:rsidRDefault="00311D63" w:rsidP="007B0EFD">
      <w:pPr>
        <w:ind w:right="720"/>
        <w:jc w:val="center"/>
        <w:rPr>
          <w:b/>
          <w:bCs/>
          <w:color w:val="000000" w:themeColor="text1"/>
        </w:rPr>
      </w:pPr>
      <w:r w:rsidRPr="007B0EFD">
        <w:rPr>
          <w:b/>
          <w:bCs/>
          <w:color w:val="000000" w:themeColor="text1"/>
        </w:rPr>
        <w:t>An Environmental Program Fact Sheet</w:t>
      </w:r>
    </w:p>
    <w:p w14:paraId="45C04D2E" w14:textId="77777777" w:rsidR="00161DE3" w:rsidRDefault="00161DE3" w:rsidP="00161DE3">
      <w:pPr>
        <w:ind w:left="720" w:right="720"/>
      </w:pPr>
    </w:p>
    <w:p w14:paraId="07BE6F57" w14:textId="2CC11CD9" w:rsidR="0045526F" w:rsidRDefault="0045526F" w:rsidP="007143ED">
      <w:pPr>
        <w:ind w:right="720"/>
      </w:pPr>
      <w:r>
        <w:t>Please be aware that the</w:t>
      </w:r>
      <w:r w:rsidR="008A39A4">
        <w:t xml:space="preserve"> Connecticut</w:t>
      </w:r>
      <w:r>
        <w:t xml:space="preserve"> U</w:t>
      </w:r>
      <w:r w:rsidR="008A39A4">
        <w:t xml:space="preserve">nderground Storage Tank (UST) </w:t>
      </w:r>
      <w:r>
        <w:t xml:space="preserve">regulations have been </w:t>
      </w:r>
      <w:r w:rsidR="00E3273F">
        <w:t>revised</w:t>
      </w:r>
      <w:r>
        <w:t xml:space="preserve"> effective December 1, 2021.  </w:t>
      </w:r>
      <w:r w:rsidR="00E3273F">
        <w:t>As such, y</w:t>
      </w:r>
      <w:r>
        <w:t xml:space="preserve">ou should be aware of the </w:t>
      </w:r>
      <w:r w:rsidR="00E3273F">
        <w:t xml:space="preserve">new </w:t>
      </w:r>
      <w:r>
        <w:t>requirements</w:t>
      </w:r>
      <w:r w:rsidR="00E3273F">
        <w:t xml:space="preserve"> applicable to all Connecticut UST owners and operators.</w:t>
      </w:r>
    </w:p>
    <w:p w14:paraId="5346F384" w14:textId="77777777" w:rsidR="0045526F" w:rsidRDefault="0045526F" w:rsidP="0045526F"/>
    <w:p w14:paraId="57479750" w14:textId="76D3D4CB" w:rsidR="007143ED" w:rsidRDefault="007143ED" w:rsidP="00650EC2">
      <w:r w:rsidRPr="00E3273F">
        <w:t xml:space="preserve">The </w:t>
      </w:r>
      <w:r w:rsidR="008C4087" w:rsidRPr="00E3273F">
        <w:t xml:space="preserve">new regulations </w:t>
      </w:r>
      <w:r w:rsidR="00650EC2" w:rsidRPr="00E3273F">
        <w:t>amend</w:t>
      </w:r>
      <w:r w:rsidR="008C4087" w:rsidRPr="00E3273F">
        <w:t xml:space="preserve"> </w:t>
      </w:r>
      <w:r w:rsidR="00A62A9C" w:rsidRPr="00E3273F">
        <w:t>sections 22a-449(d)</w:t>
      </w:r>
      <w:r w:rsidR="00E3273F">
        <w:t>-</w:t>
      </w:r>
      <w:r w:rsidR="00A62A9C" w:rsidRPr="00E3273F">
        <w:t>10</w:t>
      </w:r>
      <w:r w:rsidR="007906FF" w:rsidRPr="00E3273F">
        <w:t>1</w:t>
      </w:r>
      <w:r w:rsidR="00E3273F">
        <w:t xml:space="preserve"> through 103 of the Regulations of Connecticut State Agencies (RCSA). </w:t>
      </w:r>
      <w:r w:rsidR="006957AA" w:rsidRPr="00E3273F">
        <w:t xml:space="preserve"> </w:t>
      </w:r>
      <w:r w:rsidR="00A702AC">
        <w:t xml:space="preserve">To assist in </w:t>
      </w:r>
      <w:r w:rsidR="00CA70C7">
        <w:t>implementing</w:t>
      </w:r>
      <w:r w:rsidR="00A702AC">
        <w:t xml:space="preserve"> the </w:t>
      </w:r>
      <w:r w:rsidR="009666C4">
        <w:t xml:space="preserve">revised </w:t>
      </w:r>
      <w:r w:rsidR="00C729C6">
        <w:t>regulations, we</w:t>
      </w:r>
      <w:r w:rsidR="009666C4">
        <w:t xml:space="preserve"> are providing </w:t>
      </w:r>
      <w:r w:rsidR="00195EC0">
        <w:t>general information</w:t>
      </w:r>
      <w:r w:rsidR="00E3273F">
        <w:t xml:space="preserve"> to you</w:t>
      </w:r>
      <w:r w:rsidR="00C729C6">
        <w:t xml:space="preserve">. </w:t>
      </w:r>
      <w:r w:rsidR="00650EC2">
        <w:t xml:space="preserve">The </w:t>
      </w:r>
      <w:r w:rsidR="00E3273F">
        <w:t xml:space="preserve">final regulations </w:t>
      </w:r>
      <w:r w:rsidR="00650EC2">
        <w:t>can be found here</w:t>
      </w:r>
      <w:r w:rsidR="00E3273F">
        <w:t>:</w:t>
      </w:r>
    </w:p>
    <w:p w14:paraId="637456F6" w14:textId="7CED985F" w:rsidR="00650EC2" w:rsidRDefault="00784BA2" w:rsidP="00650EC2">
      <w:pPr>
        <w:rPr>
          <w:rStyle w:val="Hyperlink"/>
        </w:rPr>
      </w:pPr>
      <w:hyperlink r:id="rId10" w:history="1">
        <w:r w:rsidR="00E3273F" w:rsidRPr="00F96109">
          <w:rPr>
            <w:rStyle w:val="Hyperlink"/>
          </w:rPr>
          <w:t>https://eregulations.ct.gov/eRegsPortal/Browse/RCSA/Title_22aSubtitle_22a-449(d)/</w:t>
        </w:r>
      </w:hyperlink>
      <w:r w:rsidR="00E3273F">
        <w:rPr>
          <w:rStyle w:val="Hyperlink"/>
        </w:rPr>
        <w:t xml:space="preserve">. </w:t>
      </w:r>
      <w:r w:rsidR="00650EC2">
        <w:rPr>
          <w:rStyle w:val="Hyperlink"/>
        </w:rPr>
        <w:t xml:space="preserve"> </w:t>
      </w:r>
    </w:p>
    <w:p w14:paraId="33E0A26A" w14:textId="77777777" w:rsidR="00CA70C7" w:rsidRDefault="00CA70C7" w:rsidP="00672101"/>
    <w:p w14:paraId="702A5B11" w14:textId="06A14448" w:rsidR="00195EC0" w:rsidRDefault="008C4087" w:rsidP="00672101">
      <w:r>
        <w:t>Below is a s</w:t>
      </w:r>
      <w:r w:rsidR="00650EC2">
        <w:t>ummary</w:t>
      </w:r>
      <w:r>
        <w:t xml:space="preserve"> </w:t>
      </w:r>
      <w:r w:rsidR="00A702AC">
        <w:t>of th</w:t>
      </w:r>
      <w:r w:rsidR="003C3707">
        <w:t>e</w:t>
      </w:r>
      <w:r w:rsidR="00A702AC">
        <w:t xml:space="preserve"> UST </w:t>
      </w:r>
      <w:r w:rsidR="00650EC2">
        <w:t xml:space="preserve">regulatory </w:t>
      </w:r>
      <w:r w:rsidR="00E3273F">
        <w:t>revisions</w:t>
      </w:r>
      <w:r w:rsidR="00650EC2">
        <w:t xml:space="preserve"> </w:t>
      </w:r>
      <w:bookmarkStart w:id="0" w:name="_Hlk90039552"/>
      <w:r w:rsidR="00650EC2">
        <w:t xml:space="preserve">that </w:t>
      </w:r>
      <w:r w:rsidR="00311D63">
        <w:t xml:space="preserve">may </w:t>
      </w:r>
      <w:r w:rsidR="00650EC2">
        <w:t xml:space="preserve">impact your </w:t>
      </w:r>
      <w:r w:rsidR="00311D63">
        <w:t xml:space="preserve">structural and </w:t>
      </w:r>
      <w:r w:rsidR="003C3707">
        <w:t xml:space="preserve">operational compliance. </w:t>
      </w:r>
      <w:bookmarkEnd w:id="0"/>
    </w:p>
    <w:p w14:paraId="2A7EED48" w14:textId="6261AB16" w:rsidR="0031374C" w:rsidRDefault="0031374C" w:rsidP="00672101"/>
    <w:p w14:paraId="2E7309E5" w14:textId="23D58970" w:rsidR="00A15745" w:rsidRDefault="00A15745" w:rsidP="00A1574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1AD6">
        <w:rPr>
          <w:rFonts w:ascii="Times New Roman" w:eastAsia="Times New Roman" w:hAnsi="Times New Roman" w:cs="Times New Roman"/>
          <w:sz w:val="24"/>
          <w:szCs w:val="24"/>
        </w:rPr>
        <w:t xml:space="preserve">Any UST system installed before October 1, 2003 that stores fuel solely for use by emergency power generators must have release detection systems in accordance with RCSA section 22a-449(d)-104. </w:t>
      </w:r>
      <w:r w:rsidR="00C04E8A">
        <w:rPr>
          <w:rFonts w:ascii="Times New Roman" w:eastAsia="Times New Roman" w:hAnsi="Times New Roman" w:cs="Times New Roman"/>
          <w:sz w:val="24"/>
          <w:szCs w:val="24"/>
        </w:rPr>
        <w:t>Note: there is an existing requirement that a</w:t>
      </w:r>
      <w:r w:rsidRPr="00171AD6">
        <w:rPr>
          <w:rFonts w:ascii="Times New Roman" w:eastAsia="Times New Roman" w:hAnsi="Times New Roman" w:cs="Times New Roman"/>
          <w:sz w:val="24"/>
          <w:szCs w:val="24"/>
        </w:rPr>
        <w:t xml:space="preserve">ny UST system that was installed on or after October 1, 2003 must be fully interstitially monitored pursuant to CGS section 22a-449(o). </w:t>
      </w:r>
    </w:p>
    <w:p w14:paraId="60614E62" w14:textId="77777777" w:rsidR="00E3273F" w:rsidRPr="00171AD6" w:rsidRDefault="00E3273F" w:rsidP="00E3273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87535F3" w14:textId="65604306" w:rsidR="00CD2D6D" w:rsidRDefault="00CD2D6D" w:rsidP="00CD2D6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1AD6">
        <w:rPr>
          <w:rFonts w:ascii="Times New Roman" w:eastAsia="Times New Roman" w:hAnsi="Times New Roman" w:cs="Times New Roman"/>
          <w:sz w:val="24"/>
          <w:szCs w:val="24"/>
        </w:rPr>
        <w:t>Airport Hydrant Fuel Systems and Field Constructed Tank</w:t>
      </w:r>
      <w:r w:rsidR="00171AD6" w:rsidRPr="00171AD6">
        <w:rPr>
          <w:rFonts w:ascii="Times New Roman" w:eastAsia="Times New Roman" w:hAnsi="Times New Roman" w:cs="Times New Roman"/>
          <w:sz w:val="24"/>
          <w:szCs w:val="24"/>
        </w:rPr>
        <w:t xml:space="preserve">s are prohibited by regulation in Connecticut </w:t>
      </w:r>
      <w:r w:rsidR="00171AD6" w:rsidRPr="00171AD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bookmarkStart w:id="1" w:name="_Hlk90031074"/>
      <w:r w:rsidR="00171AD6" w:rsidRPr="00171AD6">
        <w:rPr>
          <w:rFonts w:ascii="Times New Roman" w:eastAsia="Times New Roman" w:hAnsi="Times New Roman" w:cs="Times New Roman"/>
          <w:b/>
          <w:bCs/>
          <w:sz w:val="24"/>
          <w:szCs w:val="24"/>
        </w:rPr>
        <w:t>RCSA sec. 22a-449-</w:t>
      </w:r>
      <w:bookmarkEnd w:id="1"/>
      <w:r w:rsidR="00171AD6" w:rsidRPr="00171AD6">
        <w:rPr>
          <w:rFonts w:ascii="Times New Roman" w:eastAsia="Times New Roman" w:hAnsi="Times New Roman" w:cs="Times New Roman"/>
          <w:b/>
          <w:bCs/>
          <w:sz w:val="24"/>
          <w:szCs w:val="24"/>
        </w:rPr>
        <w:t>101(b)]</w:t>
      </w:r>
      <w:r w:rsidRPr="00171A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F825B5" w14:textId="77777777" w:rsidR="00E3273F" w:rsidRPr="00E3273F" w:rsidRDefault="00E3273F" w:rsidP="00E3273F">
      <w:pPr>
        <w:rPr>
          <w:szCs w:val="24"/>
        </w:rPr>
      </w:pPr>
    </w:p>
    <w:p w14:paraId="114B48EB" w14:textId="21F20604" w:rsidR="0031374C" w:rsidRDefault="00A15745" w:rsidP="00844A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5745">
        <w:rPr>
          <w:rFonts w:ascii="Times New Roman" w:eastAsia="Times New Roman" w:hAnsi="Times New Roman" w:cs="Times New Roman"/>
          <w:sz w:val="24"/>
          <w:szCs w:val="24"/>
        </w:rPr>
        <w:t xml:space="preserve">Flow restrictors in vent lines (e.g., ball floats) must be removed by </w:t>
      </w:r>
      <w:r w:rsidR="00A30A51" w:rsidRPr="009E43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May 30</w:t>
      </w:r>
      <w:r w:rsidR="00193BC1" w:rsidRPr="009E43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6ED6" w:rsidRPr="00CF6ED6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 w:rsidRPr="00CF6ED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15745">
        <w:rPr>
          <w:rFonts w:ascii="Times New Roman" w:eastAsia="Times New Roman" w:hAnsi="Times New Roman" w:cs="Times New Roman"/>
          <w:sz w:val="24"/>
          <w:szCs w:val="24"/>
        </w:rPr>
        <w:t>hey are no longer deemed an acceptable form of overfill protection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</w:t>
      </w:r>
      <w:r w:rsidRPr="00171AD6">
        <w:rPr>
          <w:rFonts w:ascii="Times New Roman" w:eastAsia="Times New Roman" w:hAnsi="Times New Roman" w:cs="Times New Roman"/>
          <w:b/>
          <w:bCs/>
          <w:sz w:val="24"/>
          <w:szCs w:val="24"/>
        </w:rPr>
        <w:t>RCSA sec. 22a-449-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102(a)(5)(A)]</w:t>
      </w:r>
      <w:r w:rsidR="0031374C" w:rsidRPr="00A157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1374C" w:rsidRPr="00A15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D9EAB" w14:textId="77777777" w:rsidR="00E3273F" w:rsidRPr="00E3273F" w:rsidRDefault="00E3273F" w:rsidP="00E3273F">
      <w:pPr>
        <w:rPr>
          <w:szCs w:val="24"/>
        </w:rPr>
      </w:pPr>
    </w:p>
    <w:p w14:paraId="6E2662F6" w14:textId="77777777" w:rsidR="007243E7" w:rsidRDefault="007243E7" w:rsidP="007243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Integrity testing is required once every three years, revised from every 5 years, for UST Systems, including but not limited to, test</w:t>
      </w:r>
      <w:r w:rsidRPr="00171AD6">
        <w:rPr>
          <w:rFonts w:ascii="Times New Roman" w:eastAsia="Times New Roman" w:hAnsi="Times New Roman" w:cs="Times New Roman"/>
          <w:sz w:val="24"/>
          <w:szCs w:val="24"/>
        </w:rPr>
        <w:t xml:space="preserve">ing of </w:t>
      </w:r>
      <w:r>
        <w:rPr>
          <w:rFonts w:ascii="Times New Roman" w:eastAsia="Times New Roman" w:hAnsi="Times New Roman" w:cs="Times New Roman"/>
          <w:sz w:val="24"/>
          <w:szCs w:val="24"/>
        </w:rPr>
        <w:t>secondary containment and spill prevention systems,</w:t>
      </w:r>
      <w:r w:rsidRPr="00171AD6">
        <w:rPr>
          <w:rFonts w:ascii="Times New Roman" w:eastAsia="Times New Roman" w:hAnsi="Times New Roman" w:cs="Times New Roman"/>
          <w:sz w:val="24"/>
          <w:szCs w:val="24"/>
        </w:rPr>
        <w:t xml:space="preserve"> under dispenser containment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sumps (“UDCs”), </w:t>
      </w:r>
      <w:r w:rsidRPr="00171AD6">
        <w:rPr>
          <w:rFonts w:ascii="Times New Roman" w:eastAsia="Times New Roman" w:hAnsi="Times New Roman" w:cs="Times New Roman"/>
          <w:sz w:val="24"/>
          <w:szCs w:val="24"/>
        </w:rPr>
        <w:t>piping containment sumps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(“STPs”), spill buckets and piping transition </w:t>
      </w:r>
      <w:r w:rsidRPr="00E16608">
        <w:rPr>
          <w:rFonts w:ascii="Times New Roman" w:eastAsia="Times New Roman" w:hAnsi="Times New Roman" w:cs="Times New Roman"/>
          <w:sz w:val="24"/>
          <w:szCs w:val="24"/>
        </w:rPr>
        <w:t xml:space="preserve">sumps. This requirement does not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apply </w:t>
      </w:r>
      <w:r w:rsidRPr="00E16608">
        <w:rPr>
          <w:rFonts w:ascii="Times New Roman" w:eastAsia="Times New Roman" w:hAnsi="Times New Roman" w:cs="Times New Roman"/>
          <w:sz w:val="24"/>
          <w:szCs w:val="24"/>
        </w:rPr>
        <w:t xml:space="preserve">to UST systems </w:t>
      </w:r>
      <w:r w:rsidRPr="00E16608">
        <w:rPr>
          <w:rFonts w:ascii="Times New Roman" w:hAnsi="Times New Roman" w:cs="Times New Roman"/>
          <w:sz w:val="24"/>
          <w:szCs w:val="24"/>
        </w:rPr>
        <w:t>that automatically monitors the integrity of both primary and secondary containment</w:t>
      </w:r>
      <w:r w:rsidRPr="00E16608">
        <w:rPr>
          <w:rFonts w:ascii="Times New Roman" w:eastAsia="Times New Roman" w:hAnsi="Times New Roman" w:cs="Times New Roman"/>
          <w:sz w:val="24"/>
          <w:szCs w:val="24"/>
        </w:rPr>
        <w:t xml:space="preserve"> which 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continuously monitored by being </w:t>
      </w:r>
      <w:r w:rsidRPr="00E16608">
        <w:rPr>
          <w:rFonts w:ascii="Times New Roman" w:eastAsia="Times New Roman" w:hAnsi="Times New Roman" w:cs="Times New Roman"/>
          <w:sz w:val="24"/>
          <w:szCs w:val="24"/>
        </w:rPr>
        <w:t xml:space="preserve">brine-filled </w:t>
      </w:r>
      <w:r w:rsidRPr="00E16608">
        <w:rPr>
          <w:rFonts w:ascii="Times New Roman" w:hAnsi="Times New Roman" w:cs="Times New Roman"/>
          <w:sz w:val="24"/>
          <w:szCs w:val="24"/>
        </w:rPr>
        <w:t>or under constant vacuum</w:t>
      </w:r>
      <w:r>
        <w:rPr>
          <w:rFonts w:ascii="Times New Roman" w:hAnsi="Times New Roman" w:cs="Times New Roman"/>
          <w:sz w:val="24"/>
          <w:szCs w:val="24"/>
        </w:rPr>
        <w:t xml:space="preserve">. For UST </w:t>
      </w:r>
      <w:r w:rsidRPr="00673B6B">
        <w:rPr>
          <w:rFonts w:ascii="Times New Roman" w:hAnsi="Times New Roman" w:cs="Times New Roman"/>
          <w:sz w:val="24"/>
          <w:szCs w:val="24"/>
        </w:rPr>
        <w:t>Systems installed before</w:t>
      </w:r>
      <w:r w:rsidRPr="00CA7E09">
        <w:rPr>
          <w:rFonts w:ascii="Times New Roman" w:hAnsi="Times New Roman" w:cs="Times New Roman"/>
          <w:sz w:val="24"/>
          <w:szCs w:val="24"/>
        </w:rPr>
        <w:t xml:space="preserve"> August 8, 2012,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1F07">
        <w:rPr>
          <w:rFonts w:ascii="Times New Roman" w:hAnsi="Times New Roman" w:cs="Times New Roman"/>
          <w:sz w:val="24"/>
          <w:szCs w:val="24"/>
        </w:rPr>
        <w:t xml:space="preserve">he testing required </w:t>
      </w:r>
      <w:r w:rsidRPr="00CA7E09">
        <w:rPr>
          <w:rFonts w:ascii="Times New Roman" w:hAnsi="Times New Roman" w:cs="Times New Roman"/>
          <w:sz w:val="24"/>
          <w:szCs w:val="24"/>
        </w:rPr>
        <w:t>does not need to include a piping containment sump or under dispenser containment sump unless such sumps meet the requirements of a new piping containment sump or a new under-dispenser containment sump.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B6B">
        <w:rPr>
          <w:rFonts w:ascii="Times New Roman" w:hAnsi="Times New Roman" w:cs="Times New Roman"/>
          <w:sz w:val="24"/>
          <w:szCs w:val="24"/>
        </w:rPr>
        <w:t>I</w:t>
      </w:r>
      <w:r w:rsidRPr="0067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 testing</w:t>
      </w:r>
      <w:r w:rsidRPr="0027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not been conducted previously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a UST System installed prior to August 8, 2012</w:t>
      </w:r>
      <w:r w:rsidRPr="0027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the required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Pr="0027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27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must be conducted no later than </w:t>
      </w:r>
      <w:r w:rsidRPr="00273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December 1, 2022</w:t>
      </w:r>
      <w:r w:rsidRPr="0027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16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885">
        <w:rPr>
          <w:rFonts w:ascii="Times New Roman" w:eastAsia="Times New Roman" w:hAnsi="Times New Roman" w:cs="Times New Roman"/>
          <w:b/>
          <w:bCs/>
          <w:sz w:val="24"/>
          <w:szCs w:val="24"/>
        </w:rPr>
        <w:t>[RCSA sec. 22a-449-102(a)(15) &amp; RCSA sec. 22a-449-103(a)(4)].</w:t>
      </w:r>
      <w:r w:rsidRPr="0017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F5D7E" w14:textId="77777777" w:rsidR="007243E7" w:rsidRPr="00E3273F" w:rsidRDefault="007243E7" w:rsidP="007243E7">
      <w:pPr>
        <w:rPr>
          <w:szCs w:val="24"/>
        </w:rPr>
      </w:pPr>
    </w:p>
    <w:p w14:paraId="4FA29ACA" w14:textId="77777777" w:rsidR="007243E7" w:rsidRPr="00E3273F" w:rsidRDefault="007243E7" w:rsidP="007243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2A3">
        <w:rPr>
          <w:rFonts w:ascii="Times New Roman" w:hAnsi="Times New Roman" w:cs="Times New Roman"/>
          <w:sz w:val="24"/>
          <w:szCs w:val="24"/>
        </w:rPr>
        <w:t xml:space="preserve">Any UST system storing greater than ten (10) percent ethanol or greater than twenty (20) percent biodiesel must demonstrate </w:t>
      </w:r>
      <w:r>
        <w:rPr>
          <w:rFonts w:ascii="Times New Roman" w:hAnsi="Times New Roman" w:cs="Times New Roman"/>
          <w:sz w:val="24"/>
          <w:szCs w:val="24"/>
        </w:rPr>
        <w:t xml:space="preserve">through documentation </w:t>
      </w:r>
      <w:r w:rsidRPr="00CA42A3">
        <w:rPr>
          <w:rFonts w:ascii="Times New Roman" w:hAnsi="Times New Roman" w:cs="Times New Roman"/>
          <w:sz w:val="24"/>
          <w:szCs w:val="24"/>
        </w:rPr>
        <w:t xml:space="preserve">that such regulated </w:t>
      </w:r>
      <w:r w:rsidRPr="00CA42A3">
        <w:rPr>
          <w:rFonts w:ascii="Times New Roman" w:hAnsi="Times New Roman" w:cs="Times New Roman"/>
          <w:sz w:val="24"/>
          <w:szCs w:val="24"/>
        </w:rPr>
        <w:lastRenderedPageBreak/>
        <w:t xml:space="preserve">substances are compatible with the tank, piping, new </w:t>
      </w:r>
      <w:r>
        <w:rPr>
          <w:rFonts w:ascii="Times New Roman" w:hAnsi="Times New Roman" w:cs="Times New Roman"/>
          <w:sz w:val="24"/>
          <w:szCs w:val="24"/>
        </w:rPr>
        <w:t>STPs</w:t>
      </w:r>
      <w:r w:rsidRPr="00CA42A3">
        <w:rPr>
          <w:rFonts w:ascii="Times New Roman" w:hAnsi="Times New Roman" w:cs="Times New Roman"/>
          <w:sz w:val="24"/>
          <w:szCs w:val="24"/>
        </w:rPr>
        <w:t xml:space="preserve">, new </w:t>
      </w:r>
      <w:r>
        <w:rPr>
          <w:rFonts w:ascii="Times New Roman" w:hAnsi="Times New Roman" w:cs="Times New Roman"/>
          <w:sz w:val="24"/>
          <w:szCs w:val="24"/>
        </w:rPr>
        <w:t>UDCs</w:t>
      </w:r>
      <w:r w:rsidRPr="00CA42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dispensing</w:t>
      </w:r>
      <w:r w:rsidRPr="00CA42A3">
        <w:rPr>
          <w:rFonts w:ascii="Times New Roman" w:hAnsi="Times New Roman" w:cs="Times New Roman"/>
          <w:sz w:val="24"/>
          <w:szCs w:val="24"/>
        </w:rPr>
        <w:t xml:space="preserve"> equipment, release detection equipment, and spill and overfill equipment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2A3">
        <w:rPr>
          <w:rFonts w:ascii="Times New Roman" w:hAnsi="Times New Roman" w:cs="Times New Roman"/>
          <w:b/>
          <w:bCs/>
          <w:sz w:val="24"/>
          <w:szCs w:val="24"/>
        </w:rPr>
        <w:t>[RCSA sec. 22a-449-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103(c)].</w:t>
      </w:r>
    </w:p>
    <w:p w14:paraId="2C19266E" w14:textId="77777777" w:rsidR="007243E7" w:rsidRPr="00E3273F" w:rsidRDefault="007243E7" w:rsidP="007243E7">
      <w:pPr>
        <w:rPr>
          <w:szCs w:val="24"/>
        </w:rPr>
      </w:pPr>
    </w:p>
    <w:p w14:paraId="5BE404C7" w14:textId="77777777" w:rsidR="007243E7" w:rsidRPr="00E3273F" w:rsidRDefault="007243E7" w:rsidP="007243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1908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Pr="00B21908">
        <w:rPr>
          <w:rFonts w:ascii="Times New Roman" w:hAnsi="Times New Roman" w:cs="Times New Roman"/>
          <w:sz w:val="24"/>
          <w:szCs w:val="24"/>
        </w:rPr>
        <w:t xml:space="preserve">30 days of any repair to spill prevention equipment, the repaired equipment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B21908">
        <w:rPr>
          <w:rFonts w:ascii="Times New Roman" w:hAnsi="Times New Roman" w:cs="Times New Roman"/>
          <w:sz w:val="24"/>
          <w:szCs w:val="24"/>
        </w:rPr>
        <w:t xml:space="preserve"> be tested to ensure that the equipment is liquid tight. The testing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B21908">
        <w:rPr>
          <w:rFonts w:ascii="Times New Roman" w:hAnsi="Times New Roman" w:cs="Times New Roman"/>
          <w:sz w:val="24"/>
          <w:szCs w:val="24"/>
        </w:rPr>
        <w:t xml:space="preserve"> be done using vacuum, pressure, or liquid in accordance with requirements developed by the manufacturer of the spill prevention equipment; or a code of practice developed by a nationally recognized association or independent testing laboratory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2A3">
        <w:rPr>
          <w:rFonts w:ascii="Times New Roman" w:hAnsi="Times New Roman" w:cs="Times New Roman"/>
          <w:b/>
          <w:bCs/>
          <w:sz w:val="24"/>
          <w:szCs w:val="24"/>
        </w:rPr>
        <w:t>[RCSA sec. 22a-449-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103(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(6)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59836AF" w14:textId="77777777" w:rsidR="007243E7" w:rsidRPr="00E3273F" w:rsidRDefault="007243E7" w:rsidP="007243E7">
      <w:pPr>
        <w:rPr>
          <w:szCs w:val="24"/>
        </w:rPr>
      </w:pPr>
    </w:p>
    <w:p w14:paraId="4B76C319" w14:textId="77777777" w:rsidR="007243E7" w:rsidRPr="00E3273F" w:rsidRDefault="007243E7" w:rsidP="007243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1908">
        <w:rPr>
          <w:rFonts w:ascii="Times New Roman" w:eastAsia="Times New Roman" w:hAnsi="Times New Roman" w:cs="Times New Roman"/>
          <w:sz w:val="24"/>
          <w:szCs w:val="24"/>
        </w:rPr>
        <w:t xml:space="preserve">Within 30 days of </w:t>
      </w:r>
      <w:r w:rsidRPr="00B21908">
        <w:rPr>
          <w:rFonts w:ascii="Times New Roman" w:hAnsi="Times New Roman" w:cs="Times New Roman"/>
          <w:sz w:val="24"/>
          <w:szCs w:val="24"/>
        </w:rPr>
        <w:t xml:space="preserve">any repair to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Pr="00B21908">
        <w:rPr>
          <w:rFonts w:ascii="Times New Roman" w:hAnsi="Times New Roman" w:cs="Times New Roman"/>
          <w:sz w:val="24"/>
          <w:szCs w:val="24"/>
        </w:rPr>
        <w:t xml:space="preserve">overfill prevention equipment, the repaired equipment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B21908">
        <w:rPr>
          <w:rFonts w:ascii="Times New Roman" w:hAnsi="Times New Roman" w:cs="Times New Roman"/>
          <w:sz w:val="24"/>
          <w:szCs w:val="24"/>
        </w:rPr>
        <w:t xml:space="preserve"> be inspected to ensure that the equipment is set to activate at the correct level specified in </w:t>
      </w:r>
      <w:r>
        <w:rPr>
          <w:rFonts w:ascii="Times New Roman" w:hAnsi="Times New Roman" w:cs="Times New Roman"/>
          <w:sz w:val="24"/>
          <w:szCs w:val="24"/>
        </w:rPr>
        <w:t>RCSA se</w:t>
      </w:r>
      <w:r w:rsidRPr="00B2190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1908">
        <w:rPr>
          <w:rFonts w:ascii="Times New Roman" w:hAnsi="Times New Roman" w:cs="Times New Roman"/>
          <w:sz w:val="24"/>
          <w:szCs w:val="24"/>
        </w:rPr>
        <w:t xml:space="preserve"> 22a-449(d)-102(a)(5)(A)(ii) and will activate when regulated substances reach such level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908">
        <w:rPr>
          <w:rFonts w:ascii="Times New Roman" w:hAnsi="Times New Roman" w:cs="Times New Roman"/>
          <w:sz w:val="24"/>
          <w:szCs w:val="24"/>
        </w:rPr>
        <w:t xml:space="preserve">Any such inspection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Pr="00B21908">
        <w:rPr>
          <w:rFonts w:ascii="Times New Roman" w:hAnsi="Times New Roman" w:cs="Times New Roman"/>
          <w:sz w:val="24"/>
          <w:szCs w:val="24"/>
        </w:rPr>
        <w:t>be conducted in accordance with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21908">
        <w:rPr>
          <w:rFonts w:ascii="Times New Roman" w:hAnsi="Times New Roman" w:cs="Times New Roman"/>
          <w:sz w:val="24"/>
          <w:szCs w:val="24"/>
        </w:rPr>
        <w:t xml:space="preserve">equirements developed by the manufacturer of such equipment, 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1908">
        <w:rPr>
          <w:rFonts w:ascii="Times New Roman" w:hAnsi="Times New Roman" w:cs="Times New Roman"/>
          <w:sz w:val="24"/>
          <w:szCs w:val="24"/>
        </w:rPr>
        <w:t xml:space="preserve"> code of practice developed by a nationally recognized association or independent testing laboratory </w:t>
      </w:r>
      <w:r w:rsidRPr="00B21908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CA42A3">
        <w:rPr>
          <w:rFonts w:ascii="Times New Roman" w:hAnsi="Times New Roman" w:cs="Times New Roman"/>
          <w:b/>
          <w:bCs/>
          <w:sz w:val="24"/>
          <w:szCs w:val="24"/>
        </w:rPr>
        <w:t>RCSA sec. 22a-449-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103(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(7)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].</w:t>
      </w:r>
    </w:p>
    <w:p w14:paraId="262762A9" w14:textId="77777777" w:rsidR="007243E7" w:rsidRPr="00E3273F" w:rsidRDefault="007243E7" w:rsidP="007243E7">
      <w:pPr>
        <w:rPr>
          <w:szCs w:val="24"/>
        </w:rPr>
      </w:pPr>
    </w:p>
    <w:p w14:paraId="3B93518E" w14:textId="5000B94C" w:rsidR="00650EC2" w:rsidRDefault="007243E7" w:rsidP="00C04E8A">
      <w:pPr>
        <w:pStyle w:val="ListParagraph"/>
        <w:numPr>
          <w:ilvl w:val="0"/>
          <w:numId w:val="1"/>
        </w:numPr>
      </w:pPr>
      <w:r w:rsidRPr="00650EC2">
        <w:rPr>
          <w:rFonts w:ascii="Times New Roman" w:hAnsi="Times New Roman" w:cs="Times New Roman"/>
          <w:sz w:val="24"/>
          <w:szCs w:val="24"/>
        </w:rPr>
        <w:t>Within 30 days following a repair to a new UDC sump or new STP sump, the repaired sumps and the dispenser associated with such sumps must not be returned to service until the owner or operator conducts a test, in accordance with RCSA sec. 22a-449(d)-102(a)(15)(F), that demonstrates that the repaired sumps meet the requirements of a new UDC sump or new STP sump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908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CA42A3">
        <w:rPr>
          <w:rFonts w:ascii="Times New Roman" w:hAnsi="Times New Roman" w:cs="Times New Roman"/>
          <w:b/>
          <w:bCs/>
          <w:sz w:val="24"/>
          <w:szCs w:val="24"/>
        </w:rPr>
        <w:t>RCSA sec. 22a-449-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103(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(8)(A)&amp;(B)</w:t>
      </w:r>
      <w:r w:rsidRPr="00CA42A3">
        <w:rPr>
          <w:rFonts w:ascii="Times New Roman" w:eastAsia="Times New Roman" w:hAnsi="Times New Roman" w:cs="Times New Roman"/>
          <w:b/>
          <w:bCs/>
          <w:sz w:val="24"/>
          <w:szCs w:val="24"/>
        </w:rPr>
        <w:t>].</w:t>
      </w:r>
    </w:p>
    <w:p w14:paraId="58790064" w14:textId="77777777" w:rsidR="007243E7" w:rsidRDefault="007243E7" w:rsidP="00087868">
      <w:pPr>
        <w:rPr>
          <w:b/>
          <w:bCs/>
          <w:i/>
          <w:iCs/>
          <w:u w:val="single"/>
        </w:rPr>
      </w:pPr>
    </w:p>
    <w:p w14:paraId="5FA5B067" w14:textId="55207017" w:rsidR="00087868" w:rsidRDefault="00E3273F" w:rsidP="0008786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You should</w:t>
      </w:r>
      <w:r w:rsidR="00087868" w:rsidRPr="00087868">
        <w:rPr>
          <w:b/>
          <w:bCs/>
          <w:i/>
          <w:iCs/>
          <w:u w:val="single"/>
        </w:rPr>
        <w:t xml:space="preserve"> </w:t>
      </w:r>
      <w:r w:rsidR="00E82472">
        <w:rPr>
          <w:b/>
          <w:bCs/>
          <w:i/>
          <w:iCs/>
          <w:u w:val="single"/>
        </w:rPr>
        <w:t xml:space="preserve">review </w:t>
      </w:r>
      <w:r w:rsidR="00025CB5">
        <w:rPr>
          <w:b/>
          <w:bCs/>
          <w:i/>
          <w:iCs/>
          <w:u w:val="single"/>
        </w:rPr>
        <w:t>your UST</w:t>
      </w:r>
      <w:r w:rsidR="00E82472">
        <w:rPr>
          <w:b/>
          <w:bCs/>
          <w:i/>
          <w:iCs/>
          <w:u w:val="single"/>
        </w:rPr>
        <w:t xml:space="preserve"> systems</w:t>
      </w:r>
      <w:r w:rsidR="00025CB5">
        <w:rPr>
          <w:b/>
          <w:bCs/>
          <w:i/>
          <w:iCs/>
          <w:u w:val="single"/>
        </w:rPr>
        <w:t xml:space="preserve"> and</w:t>
      </w:r>
      <w:r w:rsidR="00E82472">
        <w:rPr>
          <w:b/>
          <w:bCs/>
          <w:i/>
          <w:iCs/>
          <w:u w:val="single"/>
        </w:rPr>
        <w:t xml:space="preserve"> </w:t>
      </w:r>
      <w:r w:rsidR="00087868" w:rsidRPr="00087868">
        <w:rPr>
          <w:b/>
          <w:bCs/>
          <w:i/>
          <w:iCs/>
          <w:u w:val="single"/>
        </w:rPr>
        <w:t>testing schedules</w:t>
      </w:r>
      <w:r w:rsidR="00E82472">
        <w:rPr>
          <w:b/>
          <w:bCs/>
          <w:i/>
          <w:iCs/>
          <w:u w:val="single"/>
        </w:rPr>
        <w:t xml:space="preserve"> for the new </w:t>
      </w:r>
      <w:r w:rsidR="00025CB5">
        <w:rPr>
          <w:b/>
          <w:bCs/>
          <w:i/>
          <w:iCs/>
          <w:u w:val="single"/>
        </w:rPr>
        <w:t xml:space="preserve">regulatory </w:t>
      </w:r>
      <w:r w:rsidR="00E82472">
        <w:rPr>
          <w:b/>
          <w:bCs/>
          <w:i/>
          <w:iCs/>
          <w:u w:val="single"/>
        </w:rPr>
        <w:t xml:space="preserve">requirements. </w:t>
      </w:r>
      <w:r>
        <w:rPr>
          <w:b/>
          <w:bCs/>
          <w:i/>
          <w:iCs/>
          <w:u w:val="single"/>
        </w:rPr>
        <w:t xml:space="preserve"> </w:t>
      </w:r>
    </w:p>
    <w:p w14:paraId="659F83EA" w14:textId="3394927B" w:rsidR="00025CB5" w:rsidRDefault="00025CB5" w:rsidP="00087868">
      <w:pPr>
        <w:rPr>
          <w:b/>
          <w:bCs/>
          <w:i/>
          <w:iCs/>
          <w:u w:val="single"/>
        </w:rPr>
      </w:pPr>
    </w:p>
    <w:p w14:paraId="384288FB" w14:textId="77777777" w:rsidR="00025CB5" w:rsidRPr="00E82472" w:rsidRDefault="00025CB5" w:rsidP="00025CB5">
      <w:pPr>
        <w:rPr>
          <w:color w:val="0A0A0A"/>
          <w:shd w:val="clear" w:color="auto" w:fill="FEFEFE"/>
        </w:rPr>
      </w:pPr>
      <w:r w:rsidRPr="00992454">
        <w:rPr>
          <w:color w:val="0A0A0A"/>
          <w:shd w:val="clear" w:color="auto" w:fill="FEFEFE"/>
        </w:rPr>
        <w:t xml:space="preserve">If you need assistance </w:t>
      </w:r>
      <w:r>
        <w:rPr>
          <w:color w:val="0A0A0A"/>
          <w:shd w:val="clear" w:color="auto" w:fill="FEFEFE"/>
        </w:rPr>
        <w:t xml:space="preserve">with implementing the required changes, due to the new regulation, it is recommended that you </w:t>
      </w:r>
      <w:r w:rsidRPr="00992454">
        <w:rPr>
          <w:color w:val="0A0A0A"/>
          <w:shd w:val="clear" w:color="auto" w:fill="FEFEFE"/>
        </w:rPr>
        <w:t>consult with your UST equipment service provider, fuel supplier, or industry group</w:t>
      </w:r>
      <w:r>
        <w:rPr>
          <w:rStyle w:val="Strong"/>
          <w:rFonts w:ascii="Open Sans" w:hAnsi="Open Sans" w:cs="Open Sans"/>
          <w:color w:val="0A0A0A"/>
          <w:shd w:val="clear" w:color="auto" w:fill="FEFEFE"/>
        </w:rPr>
        <w:t>.</w:t>
      </w:r>
    </w:p>
    <w:p w14:paraId="48F34D29" w14:textId="67C0E582" w:rsidR="00992454" w:rsidRDefault="00992454" w:rsidP="007143ED"/>
    <w:p w14:paraId="505F8C34" w14:textId="73C54556" w:rsidR="00025CB5" w:rsidRDefault="00D0118F" w:rsidP="007143ED">
      <w:pPr>
        <w:rPr>
          <w:color w:val="0A0A0A"/>
          <w:lang w:val="en"/>
        </w:rPr>
      </w:pPr>
      <w:r w:rsidRPr="00277CCF">
        <w:rPr>
          <w:color w:val="0A0A0A"/>
          <w:lang w:val="en"/>
        </w:rPr>
        <w:t xml:space="preserve">It is important to note that any UST </w:t>
      </w:r>
      <w:r w:rsidR="00277CCF" w:rsidRPr="00277CCF">
        <w:rPr>
          <w:color w:val="0A0A0A"/>
          <w:lang w:val="en"/>
        </w:rPr>
        <w:t>O</w:t>
      </w:r>
      <w:r w:rsidRPr="00277CCF">
        <w:rPr>
          <w:color w:val="0A0A0A"/>
          <w:lang w:val="en"/>
        </w:rPr>
        <w:t>wner/</w:t>
      </w:r>
      <w:r w:rsidR="00277CCF" w:rsidRPr="00277CCF">
        <w:rPr>
          <w:color w:val="0A0A0A"/>
          <w:lang w:val="en"/>
        </w:rPr>
        <w:t>O</w:t>
      </w:r>
      <w:r w:rsidRPr="00277CCF">
        <w:rPr>
          <w:color w:val="0A0A0A"/>
          <w:lang w:val="en"/>
        </w:rPr>
        <w:t xml:space="preserve">perator making changes to their UST system(s) must report those changes to the Department, within 30 days, through </w:t>
      </w:r>
      <w:r w:rsidR="00025CB5" w:rsidRPr="00277CCF">
        <w:rPr>
          <w:color w:val="0A0A0A"/>
          <w:lang w:val="en"/>
        </w:rPr>
        <w:t>ez</w:t>
      </w:r>
      <w:r w:rsidRPr="00277CCF">
        <w:rPr>
          <w:color w:val="0A0A0A"/>
          <w:lang w:val="en"/>
        </w:rPr>
        <w:t>File.  The documentation must be maintained on-site in accordance with other UST recordkeeping requirements and be available for future inspections by DEEP staff.</w:t>
      </w:r>
      <w:r w:rsidR="00025CB5" w:rsidRPr="00277CCF">
        <w:rPr>
          <w:color w:val="0A0A0A"/>
          <w:lang w:val="en"/>
        </w:rPr>
        <w:t xml:space="preserve">  </w:t>
      </w:r>
    </w:p>
    <w:p w14:paraId="7201E382" w14:textId="4D81E863" w:rsidR="00311D63" w:rsidRDefault="00311D63" w:rsidP="007143ED">
      <w:pPr>
        <w:rPr>
          <w:color w:val="0A0A0A"/>
          <w:lang w:val="en"/>
        </w:rPr>
      </w:pPr>
    </w:p>
    <w:p w14:paraId="0BBD090A" w14:textId="0BB2CBFE" w:rsidR="00311D63" w:rsidRPr="00277CCF" w:rsidRDefault="00311D63" w:rsidP="007143ED">
      <w:pPr>
        <w:rPr>
          <w:color w:val="0A0A0A"/>
          <w:lang w:val="en"/>
        </w:rPr>
      </w:pPr>
      <w:r>
        <w:rPr>
          <w:color w:val="0A0A0A"/>
          <w:lang w:val="en"/>
        </w:rPr>
        <w:t xml:space="preserve">Information on these </w:t>
      </w:r>
      <w:hyperlink r:id="rId11" w:history="1">
        <w:r w:rsidRPr="007B0EFD">
          <w:rPr>
            <w:rStyle w:val="Hyperlink"/>
            <w:lang w:val="en"/>
          </w:rPr>
          <w:t>revised UST regulations</w:t>
        </w:r>
      </w:hyperlink>
      <w:r>
        <w:rPr>
          <w:color w:val="0A0A0A"/>
          <w:lang w:val="en"/>
        </w:rPr>
        <w:t xml:space="preserve"> and be found at the UST Program’s internet website:  </w:t>
      </w:r>
      <w:hyperlink r:id="rId12" w:history="1">
        <w:r w:rsidRPr="00311D63">
          <w:rPr>
            <w:rStyle w:val="Hyperlink"/>
          </w:rPr>
          <w:t>https://portal.ct.gov/DEEP/Underground-Storage-Tanks/Underground-Storage-Tanks</w:t>
        </w:r>
      </w:hyperlink>
      <w:r>
        <w:t>.</w:t>
      </w:r>
    </w:p>
    <w:p w14:paraId="1C8F2A07" w14:textId="77777777" w:rsidR="00025CB5" w:rsidRDefault="00025CB5" w:rsidP="007143ED">
      <w:pPr>
        <w:rPr>
          <w:color w:val="0A0A0A"/>
          <w:lang w:val="en"/>
        </w:rPr>
      </w:pPr>
    </w:p>
    <w:p w14:paraId="2297D56A" w14:textId="756FB7CB" w:rsidR="00025CB5" w:rsidRPr="00992454" w:rsidRDefault="00C04017" w:rsidP="00025CB5">
      <w:r>
        <w:rPr>
          <w:rFonts w:ascii="open-sans" w:hAnsi="open-sans" w:cs="Arial"/>
          <w:color w:val="0A0A0A"/>
          <w:lang w:val="en"/>
        </w:rPr>
        <w:t>For questions or assistance regarding ezFile</w:t>
      </w:r>
      <w:r w:rsidR="00025CB5">
        <w:rPr>
          <w:rFonts w:ascii="open-sans" w:hAnsi="open-sans" w:cs="Arial"/>
          <w:color w:val="0A0A0A"/>
          <w:lang w:val="en"/>
        </w:rPr>
        <w:t xml:space="preserve"> or </w:t>
      </w:r>
      <w:r w:rsidR="00025CB5">
        <w:t>UST program implementation</w:t>
      </w:r>
      <w:r>
        <w:rPr>
          <w:rFonts w:ascii="open-sans" w:hAnsi="open-sans" w:cs="Arial"/>
          <w:color w:val="0A0A0A"/>
          <w:lang w:val="en"/>
        </w:rPr>
        <w:t xml:space="preserve">, </w:t>
      </w:r>
      <w:r w:rsidR="00025CB5">
        <w:rPr>
          <w:rFonts w:ascii="open-sans" w:hAnsi="open-sans" w:cs="Arial"/>
          <w:color w:val="0A0A0A"/>
          <w:lang w:val="en"/>
        </w:rPr>
        <w:t xml:space="preserve">please contact </w:t>
      </w:r>
      <w:r w:rsidR="00025CB5" w:rsidRPr="00992454">
        <w:rPr>
          <w:color w:val="0A0A0A"/>
          <w:shd w:val="clear" w:color="auto" w:fill="FEFEFE"/>
        </w:rPr>
        <w:t xml:space="preserve">the </w:t>
      </w:r>
      <w:r w:rsidR="00025CB5">
        <w:t xml:space="preserve">Emergency Response and Spill Prevention </w:t>
      </w:r>
      <w:r w:rsidR="00025CB5" w:rsidRPr="00992454">
        <w:t>Division</w:t>
      </w:r>
      <w:r w:rsidR="00025CB5">
        <w:t xml:space="preserve">’s Licensing and Enforcement Program </w:t>
      </w:r>
      <w:r w:rsidR="00025CB5" w:rsidRPr="00992454">
        <w:t xml:space="preserve">at (860) 424-3374 </w:t>
      </w:r>
      <w:r w:rsidR="00025CB5" w:rsidRPr="00992454">
        <w:rPr>
          <w:color w:val="0A0A0A"/>
          <w:shd w:val="clear" w:color="auto" w:fill="FEFEFE"/>
        </w:rPr>
        <w:t>or email </w:t>
      </w:r>
      <w:hyperlink r:id="rId13" w:history="1">
        <w:r w:rsidR="00025CB5" w:rsidRPr="00992454">
          <w:rPr>
            <w:rStyle w:val="Hyperlink"/>
            <w:b/>
            <w:bCs/>
            <w:color w:val="054266"/>
            <w:shd w:val="clear" w:color="auto" w:fill="FEFEFE"/>
          </w:rPr>
          <w:t>deep.USTEnforcement@ct.gov</w:t>
        </w:r>
      </w:hyperlink>
      <w:r w:rsidR="00025CB5">
        <w:t xml:space="preserve">. </w:t>
      </w:r>
    </w:p>
    <w:p w14:paraId="1056AD12" w14:textId="683A53B1" w:rsidR="00E11BAA" w:rsidRDefault="007143ED" w:rsidP="0060640A">
      <w:r>
        <w:t xml:space="preserve"> </w:t>
      </w:r>
    </w:p>
    <w:p w14:paraId="37A49394" w14:textId="036EDFCE" w:rsidR="0045526F" w:rsidRDefault="00E11BAA" w:rsidP="00672101">
      <w:r w:rsidRPr="00992454">
        <w:rPr>
          <w:rStyle w:val="Emphasis"/>
          <w:color w:val="0A0A0A"/>
          <w:shd w:val="clear" w:color="auto" w:fill="FEFEFE"/>
        </w:rPr>
        <w:t xml:space="preserve">This </w:t>
      </w:r>
      <w:r w:rsidR="00E82472">
        <w:rPr>
          <w:rStyle w:val="Emphasis"/>
          <w:color w:val="0A0A0A"/>
          <w:shd w:val="clear" w:color="auto" w:fill="FEFEFE"/>
        </w:rPr>
        <w:t>document is intended t</w:t>
      </w:r>
      <w:r w:rsidRPr="00992454">
        <w:rPr>
          <w:rStyle w:val="Emphasis"/>
          <w:color w:val="0A0A0A"/>
          <w:shd w:val="clear" w:color="auto" w:fill="FEFEFE"/>
        </w:rPr>
        <w:t xml:space="preserve">o </w:t>
      </w:r>
      <w:r w:rsidR="00E82472">
        <w:rPr>
          <w:rStyle w:val="Emphasis"/>
          <w:color w:val="0A0A0A"/>
          <w:shd w:val="clear" w:color="auto" w:fill="FEFEFE"/>
        </w:rPr>
        <w:t xml:space="preserve">help to </w:t>
      </w:r>
      <w:r w:rsidRPr="00992454">
        <w:rPr>
          <w:rStyle w:val="Emphasis"/>
          <w:color w:val="0A0A0A"/>
          <w:shd w:val="clear" w:color="auto" w:fill="FEFEFE"/>
        </w:rPr>
        <w:t xml:space="preserve">answer general </w:t>
      </w:r>
      <w:r w:rsidR="006404CD" w:rsidRPr="00992454">
        <w:rPr>
          <w:rStyle w:val="Emphasis"/>
          <w:color w:val="0A0A0A"/>
          <w:shd w:val="clear" w:color="auto" w:fill="FEFEFE"/>
        </w:rPr>
        <w:t>questions</w:t>
      </w:r>
      <w:r w:rsidR="006404CD">
        <w:rPr>
          <w:rStyle w:val="Emphasis"/>
          <w:color w:val="0A0A0A"/>
          <w:shd w:val="clear" w:color="auto" w:fill="FEFEFE"/>
        </w:rPr>
        <w:t xml:space="preserve"> and provide </w:t>
      </w:r>
      <w:r w:rsidR="00E82472">
        <w:rPr>
          <w:rStyle w:val="Emphasis"/>
          <w:color w:val="0A0A0A"/>
          <w:shd w:val="clear" w:color="auto" w:fill="FEFEFE"/>
        </w:rPr>
        <w:t>outreach</w:t>
      </w:r>
      <w:r w:rsidRPr="00992454">
        <w:rPr>
          <w:rStyle w:val="Emphasis"/>
          <w:color w:val="0A0A0A"/>
          <w:shd w:val="clear" w:color="auto" w:fill="FEFEFE"/>
        </w:rPr>
        <w:t xml:space="preserve"> </w:t>
      </w:r>
      <w:r w:rsidR="00E82472">
        <w:rPr>
          <w:rStyle w:val="Emphasis"/>
          <w:color w:val="0A0A0A"/>
          <w:shd w:val="clear" w:color="auto" w:fill="FEFEFE"/>
        </w:rPr>
        <w:t>on the new regulatory requirements effective December 1, 2021.</w:t>
      </w:r>
      <w:r w:rsidRPr="00992454">
        <w:rPr>
          <w:rStyle w:val="Emphasis"/>
          <w:color w:val="0A0A0A"/>
          <w:shd w:val="clear" w:color="auto" w:fill="FEFEFE"/>
        </w:rPr>
        <w:t xml:space="preserve"> It is your responsibility to comply with all </w:t>
      </w:r>
      <w:r w:rsidR="006404CD">
        <w:rPr>
          <w:rStyle w:val="Emphasis"/>
          <w:color w:val="0A0A0A"/>
          <w:shd w:val="clear" w:color="auto" w:fill="FEFEFE"/>
        </w:rPr>
        <w:t>applicable requirements.  The Department of Energy and En</w:t>
      </w:r>
      <w:r w:rsidR="00784BA2">
        <w:rPr>
          <w:rStyle w:val="Emphasis"/>
          <w:color w:val="0A0A0A"/>
          <w:shd w:val="clear" w:color="auto" w:fill="FEFEFE"/>
        </w:rPr>
        <w:t>vironmental</w:t>
      </w:r>
      <w:r w:rsidR="006404CD">
        <w:rPr>
          <w:rStyle w:val="Emphasis"/>
          <w:color w:val="0A0A0A"/>
          <w:shd w:val="clear" w:color="auto" w:fill="FEFEFE"/>
        </w:rPr>
        <w:t xml:space="preserve"> Protection reserves the right to take enforcement action against any violator of applicable state laws or regulations. </w:t>
      </w:r>
      <w:r w:rsidRPr="00992454">
        <w:rPr>
          <w:rStyle w:val="Emphasis"/>
          <w:color w:val="0A0A0A"/>
          <w:shd w:val="clear" w:color="auto" w:fill="FEFEFE"/>
        </w:rPr>
        <w:t xml:space="preserve">You should refer to the appropriate </w:t>
      </w:r>
      <w:r w:rsidR="006404CD">
        <w:rPr>
          <w:rStyle w:val="Emphasis"/>
          <w:color w:val="0A0A0A"/>
          <w:shd w:val="clear" w:color="auto" w:fill="FEFEFE"/>
        </w:rPr>
        <w:t xml:space="preserve">sections of the </w:t>
      </w:r>
      <w:r w:rsidRPr="00992454">
        <w:rPr>
          <w:rStyle w:val="Emphasis"/>
          <w:color w:val="0A0A0A"/>
          <w:shd w:val="clear" w:color="auto" w:fill="FEFEFE"/>
        </w:rPr>
        <w:t>regulations</w:t>
      </w:r>
      <w:r>
        <w:rPr>
          <w:rStyle w:val="Emphasis"/>
          <w:color w:val="0A0A0A"/>
          <w:shd w:val="clear" w:color="auto" w:fill="FEFEFE"/>
        </w:rPr>
        <w:t xml:space="preserve"> </w:t>
      </w:r>
      <w:r w:rsidRPr="00992454">
        <w:rPr>
          <w:rStyle w:val="Emphasis"/>
          <w:color w:val="0A0A0A"/>
          <w:shd w:val="clear" w:color="auto" w:fill="FEFEFE"/>
        </w:rPr>
        <w:t xml:space="preserve">for specific regulatory </w:t>
      </w:r>
      <w:r w:rsidR="006404CD">
        <w:rPr>
          <w:rStyle w:val="Emphasis"/>
          <w:color w:val="0A0A0A"/>
          <w:shd w:val="clear" w:color="auto" w:fill="FEFEFE"/>
        </w:rPr>
        <w:t xml:space="preserve">provisions, as not all regulations are contained in the summary above. </w:t>
      </w:r>
    </w:p>
    <w:sectPr w:rsidR="0045526F" w:rsidSect="007243E7">
      <w:type w:val="continuous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17A37" w14:textId="77777777" w:rsidR="0050384F" w:rsidRDefault="0050384F" w:rsidP="005E738C">
      <w:r>
        <w:separator/>
      </w:r>
    </w:p>
  </w:endnote>
  <w:endnote w:type="continuationSeparator" w:id="0">
    <w:p w14:paraId="5B7F35F1" w14:textId="77777777" w:rsidR="0050384F" w:rsidRDefault="0050384F" w:rsidP="005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DFEF2" w14:textId="77777777" w:rsidR="0050384F" w:rsidRDefault="0050384F" w:rsidP="005E738C">
      <w:r>
        <w:separator/>
      </w:r>
    </w:p>
  </w:footnote>
  <w:footnote w:type="continuationSeparator" w:id="0">
    <w:p w14:paraId="6561A44E" w14:textId="77777777" w:rsidR="0050384F" w:rsidRDefault="0050384F" w:rsidP="005E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BB35D" w14:textId="77777777" w:rsidR="00F425B6" w:rsidRDefault="00F425B6" w:rsidP="00672101">
    <w:pPr>
      <w:pStyle w:val="Header"/>
      <w:ind w:left="-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65156" w14:textId="378F9C36" w:rsidR="0018572C" w:rsidRDefault="009666C4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01966E" wp14:editId="7679BE8A">
              <wp:simplePos x="0" y="0"/>
              <wp:positionH relativeFrom="column">
                <wp:posOffset>-107315</wp:posOffset>
              </wp:positionH>
              <wp:positionV relativeFrom="paragraph">
                <wp:posOffset>708660</wp:posOffset>
              </wp:positionV>
              <wp:extent cx="7227570" cy="548005"/>
              <wp:effectExtent l="0" t="3810" r="4445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757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5DBBD" w14:textId="77777777" w:rsidR="0018572C" w:rsidRPr="00F425B6" w:rsidRDefault="0018572C" w:rsidP="0018572C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79 Elm Street • Hartford, CT 06106-5127 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ab/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ab/>
                            <w:t xml:space="preserve">  www.ct.gov/deep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ab/>
                            <w:t xml:space="preserve">         Affirmative Action/Equal Opportunity Employer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br/>
                          </w:r>
                        </w:p>
                        <w:p w14:paraId="074B9BA9" w14:textId="77777777" w:rsidR="0018572C" w:rsidRPr="00F425B6" w:rsidRDefault="0018572C" w:rsidP="0018572C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  <w:p w14:paraId="7A9F4622" w14:textId="77777777" w:rsidR="0018572C" w:rsidRPr="00F425B6" w:rsidRDefault="0018572C" w:rsidP="0018572C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196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8.45pt;margin-top:55.8pt;width:569.1pt;height:4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" filled="f" stroked="f">
              <v:textbox>
                <w:txbxContent>
                  <w:p w14:paraId="0185DBBD" w14:textId="77777777" w:rsidR="0018572C" w:rsidRPr="00F425B6" w:rsidRDefault="0018572C" w:rsidP="0018572C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 xml:space="preserve">79 Elm Street • Hartford, CT 06106-5127 </w:t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ab/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ab/>
                      <w:t xml:space="preserve">  www.ct.gov/deep</w:t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tab/>
                      <w:t xml:space="preserve">         Affirmative Action/Equal Opportunity Employer</w:t>
                    </w:r>
                    <w:r w:rsidRPr="00F425B6">
                      <w:rPr>
                        <w:rFonts w:ascii="Calibri" w:hAnsi="Calibri"/>
                        <w:color w:val="000000"/>
                        <w:sz w:val="20"/>
                      </w:rPr>
                      <w:br/>
                    </w:r>
                  </w:p>
                  <w:p w14:paraId="074B9BA9" w14:textId="77777777" w:rsidR="0018572C" w:rsidRPr="00F425B6" w:rsidRDefault="0018572C" w:rsidP="0018572C">
                    <w:pPr>
                      <w:pStyle w:val="Footer"/>
                      <w:rPr>
                        <w:color w:val="000000"/>
                      </w:rPr>
                    </w:pPr>
                  </w:p>
                  <w:p w14:paraId="7A9F4622" w14:textId="77777777" w:rsidR="0018572C" w:rsidRPr="00F425B6" w:rsidRDefault="0018572C" w:rsidP="0018572C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F4CFC1" wp14:editId="31680D38">
              <wp:simplePos x="0" y="0"/>
              <wp:positionH relativeFrom="column">
                <wp:posOffset>-10160</wp:posOffset>
              </wp:positionH>
              <wp:positionV relativeFrom="paragraph">
                <wp:posOffset>682625</wp:posOffset>
              </wp:positionV>
              <wp:extent cx="6827520" cy="45085"/>
              <wp:effectExtent l="0" t="0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45085"/>
                      </a:xfrm>
                      <a:prstGeom prst="rect">
                        <a:avLst/>
                      </a:prstGeom>
                      <a:solidFill>
                        <a:srgbClr val="2827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B81BD84" id="Rectangle 6" o:spid="_x0000_s1026" style="position:absolute;margin-left:-.8pt;margin-top:53.75pt;width:537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" fillcolor="#282761" stroked="f"/>
          </w:pict>
        </mc:Fallback>
      </mc:AlternateContent>
    </w:r>
    <w:r>
      <w:rPr>
        <w:noProof/>
        <w:snapToGrid/>
      </w:rPr>
      <w:drawing>
        <wp:anchor distT="0" distB="0" distL="114300" distR="114300" simplePos="0" relativeHeight="251656704" behindDoc="0" locked="0" layoutInCell="1" allowOverlap="1" wp14:anchorId="5DD2F820" wp14:editId="5BF26494">
          <wp:simplePos x="0" y="0"/>
          <wp:positionH relativeFrom="column">
            <wp:posOffset>1270</wp:posOffset>
          </wp:positionH>
          <wp:positionV relativeFrom="paragraph">
            <wp:posOffset>-160020</wp:posOffset>
          </wp:positionV>
          <wp:extent cx="1816100" cy="8026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A15BE"/>
    <w:multiLevelType w:val="hybridMultilevel"/>
    <w:tmpl w:val="A08A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2433"/>
    <w:multiLevelType w:val="hybridMultilevel"/>
    <w:tmpl w:val="AECA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C4"/>
    <w:rsid w:val="00005D6F"/>
    <w:rsid w:val="00011C9F"/>
    <w:rsid w:val="00025CB5"/>
    <w:rsid w:val="000374EB"/>
    <w:rsid w:val="0008357F"/>
    <w:rsid w:val="00083EB6"/>
    <w:rsid w:val="00087868"/>
    <w:rsid w:val="000C5551"/>
    <w:rsid w:val="000E4728"/>
    <w:rsid w:val="00141E98"/>
    <w:rsid w:val="00161DE3"/>
    <w:rsid w:val="0017188C"/>
    <w:rsid w:val="00171AD6"/>
    <w:rsid w:val="0018363F"/>
    <w:rsid w:val="0018572C"/>
    <w:rsid w:val="00193BC1"/>
    <w:rsid w:val="00195EC0"/>
    <w:rsid w:val="001D0161"/>
    <w:rsid w:val="001E0D86"/>
    <w:rsid w:val="001F3964"/>
    <w:rsid w:val="002731BD"/>
    <w:rsid w:val="00277CCF"/>
    <w:rsid w:val="002C289E"/>
    <w:rsid w:val="003033A4"/>
    <w:rsid w:val="00311D63"/>
    <w:rsid w:val="0031374C"/>
    <w:rsid w:val="0031423A"/>
    <w:rsid w:val="00360005"/>
    <w:rsid w:val="003C3707"/>
    <w:rsid w:val="003D3E73"/>
    <w:rsid w:val="0045526F"/>
    <w:rsid w:val="00480356"/>
    <w:rsid w:val="004B7D4E"/>
    <w:rsid w:val="0050384F"/>
    <w:rsid w:val="00511F2A"/>
    <w:rsid w:val="00524E6E"/>
    <w:rsid w:val="005E127E"/>
    <w:rsid w:val="005E738C"/>
    <w:rsid w:val="005F737F"/>
    <w:rsid w:val="00600D13"/>
    <w:rsid w:val="0060640A"/>
    <w:rsid w:val="0061678D"/>
    <w:rsid w:val="006338F0"/>
    <w:rsid w:val="00640327"/>
    <w:rsid w:val="006404CD"/>
    <w:rsid w:val="00650EC2"/>
    <w:rsid w:val="00672101"/>
    <w:rsid w:val="006957AA"/>
    <w:rsid w:val="00695E71"/>
    <w:rsid w:val="00696A17"/>
    <w:rsid w:val="006B002E"/>
    <w:rsid w:val="006D2C60"/>
    <w:rsid w:val="007143ED"/>
    <w:rsid w:val="007243E7"/>
    <w:rsid w:val="0073484C"/>
    <w:rsid w:val="00784BA2"/>
    <w:rsid w:val="007906FF"/>
    <w:rsid w:val="007914DF"/>
    <w:rsid w:val="007A3241"/>
    <w:rsid w:val="007B0EFD"/>
    <w:rsid w:val="007E1050"/>
    <w:rsid w:val="00822B3A"/>
    <w:rsid w:val="0087051E"/>
    <w:rsid w:val="008A39A4"/>
    <w:rsid w:val="008C2BE9"/>
    <w:rsid w:val="008C4087"/>
    <w:rsid w:val="008E5049"/>
    <w:rsid w:val="0094130D"/>
    <w:rsid w:val="009666C4"/>
    <w:rsid w:val="00990B5C"/>
    <w:rsid w:val="00992454"/>
    <w:rsid w:val="009B4235"/>
    <w:rsid w:val="009C33DE"/>
    <w:rsid w:val="009E4314"/>
    <w:rsid w:val="00A15745"/>
    <w:rsid w:val="00A30A51"/>
    <w:rsid w:val="00A55CF8"/>
    <w:rsid w:val="00A62A9C"/>
    <w:rsid w:val="00A634C8"/>
    <w:rsid w:val="00A657E9"/>
    <w:rsid w:val="00A702AC"/>
    <w:rsid w:val="00A70B74"/>
    <w:rsid w:val="00AB0F50"/>
    <w:rsid w:val="00AE3EF1"/>
    <w:rsid w:val="00B21908"/>
    <w:rsid w:val="00B36E00"/>
    <w:rsid w:val="00B62BF4"/>
    <w:rsid w:val="00B86FC9"/>
    <w:rsid w:val="00BA3E01"/>
    <w:rsid w:val="00BA6F45"/>
    <w:rsid w:val="00BF5E5C"/>
    <w:rsid w:val="00BF6054"/>
    <w:rsid w:val="00C04017"/>
    <w:rsid w:val="00C04E8A"/>
    <w:rsid w:val="00C32885"/>
    <w:rsid w:val="00C35839"/>
    <w:rsid w:val="00C729C6"/>
    <w:rsid w:val="00C844D6"/>
    <w:rsid w:val="00CA42A3"/>
    <w:rsid w:val="00CA70C7"/>
    <w:rsid w:val="00CD2D6D"/>
    <w:rsid w:val="00CE50DF"/>
    <w:rsid w:val="00CF6ED6"/>
    <w:rsid w:val="00D0118F"/>
    <w:rsid w:val="00D16563"/>
    <w:rsid w:val="00D75A6F"/>
    <w:rsid w:val="00E11BAA"/>
    <w:rsid w:val="00E16608"/>
    <w:rsid w:val="00E253A4"/>
    <w:rsid w:val="00E3273F"/>
    <w:rsid w:val="00E82472"/>
    <w:rsid w:val="00E85F3D"/>
    <w:rsid w:val="00EB2180"/>
    <w:rsid w:val="00EC3F66"/>
    <w:rsid w:val="00ED45E5"/>
    <w:rsid w:val="00F33538"/>
    <w:rsid w:val="00F425B6"/>
    <w:rsid w:val="00FA468D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AC356"/>
  <w15:chartTrackingRefBased/>
  <w15:docId w15:val="{1B9B2C72-B172-45EE-AE9D-47826778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3D"/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38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8C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C84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4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374C"/>
    <w:pPr>
      <w:ind w:left="720"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Default">
    <w:name w:val="Default"/>
    <w:rsid w:val="000878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28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7D4E"/>
    <w:rPr>
      <w:b/>
      <w:bCs/>
    </w:rPr>
  </w:style>
  <w:style w:type="character" w:styleId="Emphasis">
    <w:name w:val="Emphasis"/>
    <w:basedOn w:val="DefaultParagraphFont"/>
    <w:uiPriority w:val="20"/>
    <w:qFormat/>
    <w:rsid w:val="0099245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1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D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D6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D63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ep.USTEnforcement@c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ct.gov/DEEP/Underground-Storage-Tanks/Underground-Storage-Tan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ct.gov/DEEP/Underground-Storage-Tanks/Underground-Storage-Tan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egulations.ct.gov/eRegsPortal/Browse/RCSA/Title_22aSubtitle_22a-449(d)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rentm\AppData\Roaming\Microsoft\Templates\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D872-5D1F-499D-8C5A-00F459CB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Letterhead</Template>
  <TotalTime>0</TotalTime>
  <Pages>2</Pages>
  <Words>830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DEEP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Tyson</dc:creator>
  <cp:keywords/>
  <dc:description/>
  <cp:lastModifiedBy>Torrent, Moises</cp:lastModifiedBy>
  <cp:revision>3</cp:revision>
  <cp:lastPrinted>2012-01-19T13:46:00Z</cp:lastPrinted>
  <dcterms:created xsi:type="dcterms:W3CDTF">2021-12-15T20:32:00Z</dcterms:created>
  <dcterms:modified xsi:type="dcterms:W3CDTF">2021-12-16T14:07:00Z</dcterms:modified>
</cp:coreProperties>
</file>