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7E39" w14:textId="48B1721D" w:rsidR="00D56DB7" w:rsidRPr="00F96A0E" w:rsidRDefault="00D56DB7" w:rsidP="003B0412">
      <w:pPr>
        <w:pStyle w:val="Header"/>
        <w:tabs>
          <w:tab w:val="clear" w:pos="4320"/>
          <w:tab w:val="clear" w:pos="8640"/>
          <w:tab w:val="left" w:pos="360"/>
        </w:tabs>
        <w:jc w:val="center"/>
        <w:rPr>
          <w:b/>
          <w:sz w:val="28"/>
          <w:szCs w:val="28"/>
        </w:rPr>
      </w:pPr>
      <w:r w:rsidRPr="00F96A0E">
        <w:rPr>
          <w:b/>
          <w:sz w:val="28"/>
          <w:szCs w:val="28"/>
        </w:rPr>
        <w:t xml:space="preserve">Exhibit B. </w:t>
      </w:r>
      <w:r w:rsidR="008A71F2">
        <w:rPr>
          <w:b/>
          <w:sz w:val="28"/>
          <w:szCs w:val="28"/>
        </w:rPr>
        <w:t>EUR Opinion</w:t>
      </w:r>
    </w:p>
    <w:p w14:paraId="10650C5A" w14:textId="77777777" w:rsidR="00D56DB7" w:rsidRPr="007C0EE7" w:rsidRDefault="00D56DB7" w:rsidP="00F40812">
      <w:pPr>
        <w:rPr>
          <w:rFonts w:asciiTheme="majorHAnsi" w:hAnsiTheme="majorHAnsi" w:cstheme="majorHAnsi"/>
        </w:rPr>
      </w:pPr>
    </w:p>
    <w:p w14:paraId="0F97A2A7" w14:textId="2EC69244" w:rsidR="00D56DB7" w:rsidRPr="00692835" w:rsidRDefault="00D56DB7" w:rsidP="001B6245">
      <w:pPr>
        <w:pStyle w:val="Heading2"/>
        <w:rPr>
          <w:rFonts w:asciiTheme="majorHAnsi" w:hAnsiTheme="majorHAnsi" w:cstheme="majorHAnsi"/>
          <w:b w:val="0"/>
          <w:bCs/>
        </w:rPr>
      </w:pPr>
      <w:bookmarkStart w:id="0" w:name="_Groundwater_Use_Restriction"/>
      <w:bookmarkStart w:id="1" w:name="_Toc436161120"/>
      <w:bookmarkStart w:id="2" w:name="_Toc520119565"/>
      <w:bookmarkStart w:id="3" w:name="_Toc58339490"/>
      <w:bookmarkStart w:id="4" w:name="_Toc58398276"/>
      <w:bookmarkStart w:id="5" w:name="_Toc59544054"/>
      <w:bookmarkEnd w:id="0"/>
      <w:r w:rsidRPr="00692835">
        <w:rPr>
          <w:rFonts w:asciiTheme="majorHAnsi" w:hAnsiTheme="majorHAnsi" w:cstheme="majorHAnsi"/>
          <w:b w:val="0"/>
          <w:bCs/>
        </w:rPr>
        <w:t xml:space="preserve">Technical Impracticability Variance Restriction and Obligation </w:t>
      </w:r>
      <w:bookmarkEnd w:id="1"/>
      <w:bookmarkEnd w:id="2"/>
      <w:bookmarkEnd w:id="3"/>
      <w:bookmarkEnd w:id="4"/>
      <w:bookmarkEnd w:id="5"/>
    </w:p>
    <w:p w14:paraId="21A62E9F" w14:textId="4D83E7E0" w:rsidR="00D56DB7" w:rsidRPr="00107AB4" w:rsidRDefault="00D56DB7" w:rsidP="00692835">
      <w:pPr>
        <w:pStyle w:val="Style3"/>
        <w:spacing w:before="120" w:after="120"/>
        <w:jc w:val="both"/>
        <w:rPr>
          <w:sz w:val="20"/>
          <w:szCs w:val="20"/>
        </w:rPr>
      </w:pPr>
      <w:r w:rsidRPr="00107AB4">
        <w:rPr>
          <w:rFonts w:asciiTheme="majorHAnsi" w:hAnsiTheme="majorHAnsi" w:cstheme="majorHAnsi"/>
          <w:snapToGrid w:val="0"/>
          <w:sz w:val="20"/>
          <w:szCs w:val="20"/>
        </w:rPr>
        <w:t>In accordance with RCSA section 22a-</w:t>
      </w:r>
      <w:r w:rsidR="00DB5215">
        <w:rPr>
          <w:rFonts w:asciiTheme="majorHAnsi" w:hAnsiTheme="majorHAnsi" w:cstheme="majorHAnsi"/>
          <w:snapToGrid w:val="0"/>
          <w:sz w:val="20"/>
          <w:szCs w:val="20"/>
        </w:rPr>
        <w:t>134tt-10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(e),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the </w:t>
      </w:r>
      <w:r w:rsidR="001122B7">
        <w:rPr>
          <w:rFonts w:asciiTheme="majorHAnsi" w:hAnsiTheme="majorHAnsi" w:cstheme="majorHAnsi"/>
          <w:snapToGrid w:val="0"/>
          <w:sz w:val="20"/>
          <w:szCs w:val="20"/>
        </w:rPr>
        <w:t>Commissioner</w:t>
      </w:r>
      <w:r w:rsidR="00EA486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may approve a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>variance for polluted groundwater from compliance with the surface water protection criteria as defined in RCSA section 22a-</w:t>
      </w:r>
      <w:r w:rsidR="005F376C" w:rsidRPr="00107AB4">
        <w:rPr>
          <w:rFonts w:asciiTheme="majorHAnsi" w:hAnsiTheme="majorHAnsi" w:cstheme="majorHAnsi"/>
          <w:snapToGrid w:val="0"/>
          <w:sz w:val="20"/>
          <w:szCs w:val="20"/>
        </w:rPr>
        <w:t>13</w:t>
      </w:r>
      <w:r w:rsidR="005F376C">
        <w:rPr>
          <w:rFonts w:asciiTheme="majorHAnsi" w:hAnsiTheme="majorHAnsi" w:cstheme="majorHAnsi"/>
          <w:snapToGrid w:val="0"/>
          <w:sz w:val="20"/>
          <w:szCs w:val="20"/>
        </w:rPr>
        <w:t>4tt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>-1(a)</w:t>
      </w:r>
      <w:r>
        <w:rPr>
          <w:rFonts w:asciiTheme="majorHAnsi" w:hAnsiTheme="majorHAnsi" w:cstheme="majorHAnsi"/>
          <w:snapToGrid w:val="0"/>
          <w:sz w:val="20"/>
          <w:szCs w:val="20"/>
        </w:rPr>
        <w:t>(</w:t>
      </w:r>
      <w:r w:rsidR="005F376C">
        <w:rPr>
          <w:rFonts w:asciiTheme="majorHAnsi" w:hAnsiTheme="majorHAnsi" w:cstheme="majorHAnsi"/>
          <w:snapToGrid w:val="0"/>
          <w:sz w:val="20"/>
          <w:szCs w:val="20"/>
        </w:rPr>
        <w:t>153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>) or the groundwater protection criteria as defined in RCSA section 22a-</w:t>
      </w:r>
      <w:r w:rsidR="005F376C" w:rsidRPr="00107AB4">
        <w:rPr>
          <w:rFonts w:asciiTheme="majorHAnsi" w:hAnsiTheme="majorHAnsi" w:cstheme="majorHAnsi"/>
          <w:snapToGrid w:val="0"/>
          <w:sz w:val="20"/>
          <w:szCs w:val="20"/>
        </w:rPr>
        <w:t>13</w:t>
      </w:r>
      <w:r w:rsidR="005F376C">
        <w:rPr>
          <w:rFonts w:asciiTheme="majorHAnsi" w:hAnsiTheme="majorHAnsi" w:cstheme="majorHAnsi"/>
          <w:snapToGrid w:val="0"/>
          <w:sz w:val="20"/>
          <w:szCs w:val="20"/>
        </w:rPr>
        <w:t>4tt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>-1(a)(</w:t>
      </w:r>
      <w:r w:rsidR="005F376C">
        <w:rPr>
          <w:rFonts w:asciiTheme="majorHAnsi" w:hAnsiTheme="majorHAnsi" w:cstheme="majorHAnsi"/>
          <w:snapToGrid w:val="0"/>
          <w:sz w:val="20"/>
          <w:szCs w:val="20"/>
        </w:rPr>
        <w:t>58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) if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the </w:t>
      </w:r>
      <w:r w:rsidR="001122B7">
        <w:rPr>
          <w:rFonts w:asciiTheme="majorHAnsi" w:hAnsiTheme="majorHAnsi" w:cstheme="majorHAnsi"/>
          <w:snapToGrid w:val="0"/>
          <w:sz w:val="20"/>
          <w:szCs w:val="20"/>
        </w:rPr>
        <w:t>Commissioner</w:t>
      </w:r>
      <w:r w:rsidR="00EA486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determines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compliance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with such criteria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is technically impracticable. In accordance with RCSA </w:t>
      </w:r>
      <w:r>
        <w:rPr>
          <w:rFonts w:asciiTheme="majorHAnsi" w:hAnsiTheme="majorHAnsi" w:cstheme="majorHAnsi"/>
          <w:snapToGrid w:val="0"/>
          <w:sz w:val="20"/>
          <w:szCs w:val="20"/>
        </w:rPr>
        <w:t>section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 22a-</w:t>
      </w:r>
      <w:r w:rsidR="00DB5215">
        <w:rPr>
          <w:rFonts w:asciiTheme="majorHAnsi" w:hAnsiTheme="majorHAnsi" w:cstheme="majorHAnsi"/>
          <w:snapToGrid w:val="0"/>
          <w:sz w:val="20"/>
          <w:szCs w:val="20"/>
        </w:rPr>
        <w:t>134tt-10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(e)(2), the </w:t>
      </w:r>
      <w:r w:rsidR="001122B7">
        <w:rPr>
          <w:rFonts w:asciiTheme="majorHAnsi" w:hAnsiTheme="majorHAnsi" w:cstheme="majorHAnsi"/>
          <w:snapToGrid w:val="0"/>
          <w:sz w:val="20"/>
          <w:szCs w:val="20"/>
        </w:rPr>
        <w:t>Commissioner</w:t>
      </w:r>
      <w:r w:rsidR="00EA486A"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may require an </w:t>
      </w:r>
      <w:r w:rsidRPr="00107AB4">
        <w:rPr>
          <w:sz w:val="20"/>
          <w:szCs w:val="20"/>
        </w:rPr>
        <w:t xml:space="preserve">that an ELUR </w:t>
      </w:r>
      <w:r>
        <w:rPr>
          <w:sz w:val="20"/>
          <w:szCs w:val="20"/>
        </w:rPr>
        <w:t>is</w:t>
      </w:r>
      <w:r w:rsidRPr="00107AB4">
        <w:rPr>
          <w:sz w:val="20"/>
          <w:szCs w:val="20"/>
        </w:rPr>
        <w:t xml:space="preserve"> in effect for the Subject Area.</w:t>
      </w:r>
      <w:r>
        <w:rPr>
          <w:snapToGrid w:val="0"/>
          <w:sz w:val="20"/>
          <w:szCs w:val="20"/>
        </w:rPr>
        <w:t xml:space="preserve"> 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72B386BF" w14:textId="77777777" w:rsidTr="00E04B9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15771BF" w14:textId="085E1B54" w:rsidR="00D56DB7" w:rsidRPr="0011122F" w:rsidRDefault="00D56DB7" w:rsidP="00D02060">
            <w:pPr>
              <w:spacing w:before="120" w:after="120"/>
              <w:rPr>
                <w:rFonts w:cs="Arial"/>
                <w:spacing w:val="-2"/>
                <w:sz w:val="18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</w:t>
            </w:r>
            <w:r w:rsidR="00ED630C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E5072D" w14:paraId="677721D7" w14:textId="77777777" w:rsidTr="00E04B9E">
        <w:trPr>
          <w:trHeight w:val="1728"/>
          <w:jc w:val="center"/>
        </w:trPr>
        <w:tc>
          <w:tcPr>
            <w:tcW w:w="10085" w:type="dxa"/>
          </w:tcPr>
          <w:p w14:paraId="6C454FD6" w14:textId="2D77FFB2" w:rsidR="00D56DB7" w:rsidRDefault="00D56DB7" w:rsidP="00C119BD">
            <w:pPr>
              <w:spacing w:before="120" w:after="120"/>
              <w:rPr>
                <w:szCs w:val="20"/>
              </w:rPr>
            </w:pPr>
            <w:r>
              <w:t xml:space="preserve">In accordance </w:t>
            </w:r>
            <w:r w:rsidRPr="00BE45E9">
              <w:t xml:space="preserve">with RCSA section </w:t>
            </w:r>
            <w:r w:rsidRPr="00BE45E9">
              <w:rPr>
                <w:rFonts w:cs="Arial"/>
                <w:szCs w:val="20"/>
              </w:rPr>
              <w:t>22a</w:t>
            </w:r>
            <w:r w:rsidRPr="00CB2046">
              <w:rPr>
                <w:rFonts w:cs="Arial"/>
                <w:szCs w:val="20"/>
              </w:rPr>
              <w:t>-</w:t>
            </w:r>
            <w:r w:rsidR="00DB5215">
              <w:rPr>
                <w:rFonts w:cs="Arial"/>
                <w:szCs w:val="20"/>
              </w:rPr>
              <w:t>134tt-10</w:t>
            </w:r>
            <w:r w:rsidRPr="00CB2046">
              <w:rPr>
                <w:rFonts w:cs="Arial"/>
                <w:szCs w:val="20"/>
              </w:rPr>
              <w:t>(e)(2)</w:t>
            </w:r>
            <w:r w:rsidR="00B14D85">
              <w:rPr>
                <w:rFonts w:cs="Arial"/>
                <w:szCs w:val="20"/>
              </w:rPr>
              <w:t>(E)</w:t>
            </w:r>
            <w:r w:rsidRPr="00CB2046">
              <w:rPr>
                <w:rFonts w:cs="Arial"/>
                <w:szCs w:val="20"/>
              </w:rPr>
              <w:t xml:space="preserve">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982124060"/>
                <w:placeholder>
                  <w:docPart w:val="218893A4A12D47AE87693F98AA3AC34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>
              <w:rPr>
                <w:szCs w:val="20"/>
              </w:rPr>
              <w:t>ELUR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0EC3A2B5" w14:textId="0842F016" w:rsidR="00B52281" w:rsidRDefault="006A0737" w:rsidP="00692835">
            <w:pPr>
              <w:widowControl w:val="0"/>
              <w:ind w:left="432" w:hanging="432"/>
              <w:jc w:val="both"/>
            </w:pPr>
            <w:r w:rsidRPr="00EB31B8">
              <w:rPr>
                <w:rFonts w:asciiTheme="majorHAnsi" w:hAnsiTheme="majorHAnsi" w:cstheme="majorHAnsi"/>
                <w:szCs w:val="20"/>
              </w:rPr>
              <w:t>The requirements of the contingency plan</w:t>
            </w:r>
            <w:r>
              <w:rPr>
                <w:rFonts w:asciiTheme="majorHAnsi" w:hAnsiTheme="majorHAnsi" w:cstheme="majorHAnsi"/>
                <w:szCs w:val="20"/>
              </w:rPr>
              <w:t>, if applicable, as</w:t>
            </w:r>
            <w:r w:rsidRPr="00EB31B8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 xml:space="preserve">required by </w:t>
            </w:r>
            <w:r>
              <w:t>section 22a-</w:t>
            </w:r>
            <w:r w:rsidR="00DB5215">
              <w:t>134tt-10</w:t>
            </w:r>
            <w:r>
              <w:t>(e)(1)(A)(viii):</w:t>
            </w:r>
          </w:p>
          <w:p w14:paraId="7D5996FB" w14:textId="79D8D72C" w:rsidR="006A0737" w:rsidRDefault="00CA578D" w:rsidP="006A0737">
            <w:pPr>
              <w:widowControl w:val="0"/>
              <w:spacing w:after="120"/>
              <w:ind w:left="435" w:hanging="435"/>
              <w:jc w:val="both"/>
              <w:rPr>
                <w:rFonts w:asciiTheme="majorHAnsi" w:hAnsiTheme="majorHAnsi" w:cstheme="majorHAnsi"/>
                <w:szCs w:val="20"/>
              </w:rPr>
            </w:pPr>
            <w:sdt>
              <w:sdtPr>
                <w:id w:val="-576051811"/>
                <w:placeholder>
                  <w:docPart w:val="8EC5F0ED4901428289C723BCCE0060C4"/>
                </w:placeholder>
                <w:showingPlcHdr/>
                <w:text/>
              </w:sdtPr>
              <w:sdtEndPr/>
              <w:sdtContent>
                <w:r w:rsidR="006A0737" w:rsidRPr="000730A7">
                  <w:rPr>
                    <w:rStyle w:val="PlaceholderText"/>
                    <w:i/>
                    <w:iCs/>
                    <w:color w:val="1F497D" w:themeColor="text2"/>
                  </w:rPr>
                  <w:t>List requirements</w:t>
                </w:r>
              </w:sdtContent>
            </w:sdt>
            <w:r w:rsidR="006A0737">
              <w:rPr>
                <w:rFonts w:asciiTheme="majorHAnsi" w:hAnsiTheme="majorHAnsi" w:cstheme="majorHAnsi"/>
                <w:szCs w:val="20"/>
              </w:rPr>
              <w:t>;</w:t>
            </w:r>
            <w:r w:rsidR="006A0737" w:rsidRPr="00EB31B8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45EC5F23" w14:textId="2BE005C3" w:rsidR="00D56DB7" w:rsidRDefault="00D56DB7" w:rsidP="00EA486A">
            <w:pPr>
              <w:widowControl w:val="0"/>
              <w:spacing w:after="120"/>
              <w:ind w:left="435" w:hanging="435"/>
              <w:jc w:val="both"/>
              <w:rPr>
                <w:rFonts w:asciiTheme="majorHAnsi" w:hAnsiTheme="majorHAnsi" w:cstheme="majorHAnsi"/>
                <w:szCs w:val="20"/>
              </w:rPr>
            </w:pPr>
            <w:r w:rsidRPr="00F83853">
              <w:rPr>
                <w:rFonts w:asciiTheme="majorHAnsi" w:hAnsiTheme="majorHAnsi" w:cstheme="majorHAnsi"/>
                <w:szCs w:val="20"/>
              </w:rPr>
              <w:t xml:space="preserve">The </w:t>
            </w:r>
            <w:r w:rsidR="005D4457">
              <w:rPr>
                <w:rFonts w:asciiTheme="majorHAnsi" w:hAnsiTheme="majorHAnsi" w:cstheme="majorHAnsi"/>
                <w:szCs w:val="20"/>
              </w:rPr>
              <w:t xml:space="preserve">following </w:t>
            </w:r>
            <w:r w:rsidR="00EA486A">
              <w:rPr>
                <w:rFonts w:asciiTheme="majorHAnsi" w:hAnsiTheme="majorHAnsi" w:cstheme="majorHAnsi"/>
                <w:szCs w:val="20"/>
              </w:rPr>
              <w:t xml:space="preserve">measures identified as </w:t>
            </w:r>
            <w:r w:rsidR="00DD4CEB">
              <w:rPr>
                <w:rFonts w:asciiTheme="majorHAnsi" w:hAnsiTheme="majorHAnsi" w:cstheme="majorHAnsi"/>
                <w:szCs w:val="20"/>
              </w:rPr>
              <w:t xml:space="preserve">required by RSCA section </w:t>
            </w:r>
            <w:r w:rsidR="00DD4CEB" w:rsidRPr="00BE45E9">
              <w:rPr>
                <w:rFonts w:cs="Arial"/>
                <w:szCs w:val="20"/>
              </w:rPr>
              <w:t>22a</w:t>
            </w:r>
            <w:r w:rsidR="000A7931">
              <w:rPr>
                <w:rFonts w:cs="Arial"/>
                <w:szCs w:val="20"/>
              </w:rPr>
              <w:t>-</w:t>
            </w:r>
            <w:r w:rsidR="005F376C">
              <w:rPr>
                <w:rFonts w:cs="Arial"/>
                <w:szCs w:val="20"/>
              </w:rPr>
              <w:t>134tt-10</w:t>
            </w:r>
            <w:r w:rsidR="000A7931">
              <w:rPr>
                <w:rFonts w:cs="Arial"/>
                <w:szCs w:val="20"/>
              </w:rPr>
              <w:t>(e)</w:t>
            </w:r>
            <w:r w:rsidR="000A7931">
              <w:t>(1)(A)(ix</w:t>
            </w:r>
            <w:r w:rsidR="00DD4CEB">
              <w:t>)</w:t>
            </w:r>
            <w:r w:rsidR="00EA486A">
              <w:rPr>
                <w:rFonts w:asciiTheme="majorHAnsi" w:hAnsiTheme="majorHAnsi" w:cstheme="majorHAnsi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0"/>
                </w:rPr>
                <w:id w:val="-161390520"/>
                <w:placeholder>
                  <w:docPart w:val="532615009A4149728C4414F05C48B7EA"/>
                </w:placeholder>
                <w:showingPlcHdr/>
                <w:text/>
              </w:sdtPr>
              <w:sdtEndPr/>
              <w:sdtContent>
                <w:r w:rsidR="00EA486A" w:rsidRPr="00692835">
                  <w:rPr>
                    <w:rStyle w:val="PlaceholderText"/>
                    <w:i/>
                    <w:iCs/>
                    <w:color w:val="1F497D" w:themeColor="text2"/>
                  </w:rPr>
                  <w:t>List measures</w:t>
                </w:r>
              </w:sdtContent>
            </w:sdt>
            <w:r w:rsidR="00E14FA8">
              <w:rPr>
                <w:rFonts w:asciiTheme="majorHAnsi" w:hAnsiTheme="majorHAnsi" w:cstheme="majorHAnsi"/>
                <w:szCs w:val="20"/>
              </w:rPr>
              <w:t>;</w:t>
            </w:r>
          </w:p>
          <w:p w14:paraId="1B484007" w14:textId="2774877B" w:rsidR="00D56DB7" w:rsidRDefault="006A0737" w:rsidP="00B52281">
            <w:pPr>
              <w:widowControl w:val="0"/>
              <w:spacing w:after="120"/>
            </w:pPr>
            <w:r>
              <w:rPr>
                <w:rFonts w:asciiTheme="majorHAnsi" w:hAnsiTheme="majorHAnsi" w:cstheme="majorHAnsi"/>
                <w:szCs w:val="20"/>
              </w:rPr>
              <w:t xml:space="preserve">Additional conditions deemed appropriate by the </w:t>
            </w:r>
            <w:r w:rsidR="001122B7">
              <w:rPr>
                <w:rFonts w:asciiTheme="majorHAnsi" w:hAnsiTheme="majorHAnsi" w:cstheme="majorHAnsi"/>
                <w:szCs w:val="20"/>
              </w:rPr>
              <w:t>Commissioner</w:t>
            </w:r>
            <w:r>
              <w:rPr>
                <w:rFonts w:asciiTheme="majorHAnsi" w:hAnsiTheme="majorHAnsi" w:cstheme="majorHAnsi"/>
                <w:szCs w:val="20"/>
              </w:rPr>
              <w:t>, p</w:t>
            </w:r>
            <w:r w:rsidR="000A7931">
              <w:rPr>
                <w:rFonts w:asciiTheme="majorHAnsi" w:hAnsiTheme="majorHAnsi" w:cstheme="majorHAnsi"/>
                <w:szCs w:val="20"/>
              </w:rPr>
              <w:t xml:space="preserve">ursuant to RSCA section </w:t>
            </w:r>
            <w:r w:rsidR="000A7931" w:rsidRPr="00BE45E9">
              <w:rPr>
                <w:rFonts w:cs="Arial"/>
                <w:szCs w:val="20"/>
              </w:rPr>
              <w:t>22a</w:t>
            </w:r>
            <w:r w:rsidR="000A7931">
              <w:rPr>
                <w:rFonts w:cs="Arial"/>
                <w:szCs w:val="20"/>
              </w:rPr>
              <w:t>-</w:t>
            </w:r>
            <w:r w:rsidR="005F376C">
              <w:rPr>
                <w:rFonts w:cs="Arial"/>
                <w:szCs w:val="20"/>
              </w:rPr>
              <w:t>134tt-10</w:t>
            </w:r>
            <w:r w:rsidR="000A7931">
              <w:rPr>
                <w:rFonts w:cs="Arial"/>
                <w:szCs w:val="20"/>
              </w:rPr>
              <w:t>(e)</w:t>
            </w:r>
            <w:r w:rsidR="000A7931">
              <w:t>(1)(B)</w:t>
            </w:r>
            <w:r>
              <w:t>,</w:t>
            </w:r>
            <w:r w:rsidR="00B52281">
              <w:t xml:space="preserve"> </w:t>
            </w:r>
            <w:r>
              <w:t>if applicable</w:t>
            </w:r>
            <w:r w:rsidR="00B52281">
              <w:t xml:space="preserve">: </w:t>
            </w:r>
            <w:sdt>
              <w:sdtPr>
                <w:id w:val="1365402285"/>
                <w:placeholder>
                  <w:docPart w:val="3AA4B7C71C2D479791672B3BA2D78AC4"/>
                </w:placeholder>
                <w:showingPlcHdr/>
                <w:text/>
              </w:sdtPr>
              <w:sdtEndPr/>
              <w:sdtContent>
                <w:r w:rsidR="00B52281" w:rsidRPr="00692835">
                  <w:rPr>
                    <w:rStyle w:val="PlaceholderText"/>
                    <w:i/>
                    <w:iCs/>
                    <w:color w:val="1F497D" w:themeColor="text2"/>
                  </w:rPr>
                  <w:t>List conditions</w:t>
                </w:r>
              </w:sdtContent>
            </w:sdt>
            <w:r w:rsidR="00B52281">
              <w:t>;</w:t>
            </w:r>
          </w:p>
          <w:p w14:paraId="1D65C5D7" w14:textId="4CD4E182" w:rsidR="00D56DB7" w:rsidRPr="00EB31B8" w:rsidRDefault="006A0737" w:rsidP="00ED630C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="00D56DB7" w:rsidRPr="007C1996">
              <w:rPr>
                <w:rFonts w:asciiTheme="majorHAnsi" w:hAnsiTheme="majorHAnsi" w:cstheme="majorHAnsi"/>
                <w:szCs w:val="20"/>
              </w:rPr>
              <w:t xml:space="preserve"> report shall be prepared</w:t>
            </w:r>
            <w:r w:rsidR="005D4457">
              <w:rPr>
                <w:rFonts w:asciiTheme="majorHAnsi" w:hAnsiTheme="majorHAnsi" w:cstheme="majorHAnsi"/>
                <w:szCs w:val="20"/>
              </w:rPr>
              <w:t xml:space="preserve"> each time the </w:t>
            </w:r>
            <w:r w:rsidR="005D4457">
              <w:t>Five-Year Comprehensive Inspections</w:t>
            </w:r>
            <w:r w:rsidR="00D56DB7" w:rsidRPr="007C1996">
              <w:rPr>
                <w:rFonts w:asciiTheme="majorHAnsi" w:hAnsiTheme="majorHAnsi" w:cstheme="majorHAnsi"/>
                <w:szCs w:val="20"/>
              </w:rPr>
              <w:t xml:space="preserve">, </w:t>
            </w:r>
            <w:r w:rsidR="005D4457">
              <w:rPr>
                <w:rFonts w:asciiTheme="majorHAnsi" w:hAnsiTheme="majorHAnsi" w:cstheme="majorHAnsi"/>
                <w:szCs w:val="20"/>
              </w:rPr>
              <w:t xml:space="preserve">required by RCSA 22a-133q-8(a)(2) is performed, </w:t>
            </w:r>
            <w:r w:rsidR="00D56DB7" w:rsidRPr="007C1996">
              <w:rPr>
                <w:rFonts w:asciiTheme="majorHAnsi" w:hAnsiTheme="majorHAnsi" w:cstheme="majorHAnsi"/>
                <w:szCs w:val="20"/>
              </w:rPr>
              <w:t>which reviews the implementation and effectiveness of the Techni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>cal Impracticability Variance</w:t>
            </w:r>
            <w:r w:rsidR="00D56DB7">
              <w:rPr>
                <w:rFonts w:asciiTheme="majorHAnsi" w:hAnsiTheme="majorHAnsi" w:cstheme="majorHAnsi"/>
                <w:szCs w:val="20"/>
              </w:rPr>
              <w:t>.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7C1996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 xml:space="preserve">Such reports shall be maintained by the parcel owner and provided to the </w:t>
            </w:r>
            <w:r w:rsidR="001122B7">
              <w:rPr>
                <w:rFonts w:asciiTheme="majorHAnsi" w:hAnsiTheme="majorHAnsi" w:cstheme="majorHAnsi"/>
                <w:szCs w:val="20"/>
              </w:rPr>
              <w:t>Commissioner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 xml:space="preserve"> upon request</w:t>
            </w:r>
            <w:r w:rsidR="003E215F">
              <w:rPr>
                <w:rFonts w:asciiTheme="majorHAnsi" w:eastAsiaTheme="minorHAnsi" w:hAnsiTheme="majorHAnsi" w:cstheme="majorHAnsi"/>
                <w:szCs w:val="20"/>
              </w:rPr>
              <w:t>; and</w:t>
            </w:r>
          </w:p>
          <w:p w14:paraId="472D0B44" w14:textId="6101B382" w:rsidR="00D56DB7" w:rsidRPr="00EB31B8" w:rsidRDefault="00D56DB7" w:rsidP="001122B7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szCs w:val="20"/>
              </w:rPr>
            </w:pPr>
            <w:r w:rsidRPr="00EB31B8">
              <w:rPr>
                <w:rFonts w:asciiTheme="majorHAnsi" w:hAnsiTheme="majorHAnsi" w:cstheme="majorHAnsi"/>
                <w:szCs w:val="20"/>
              </w:rPr>
              <w:t xml:space="preserve">Groundwater shall not be used for drinking or other purposes and the withdrawal of groundwater is prohibited unless withdrawal of groundwater has been approved in writing by the </w:t>
            </w:r>
            <w:r w:rsidR="001122B7">
              <w:rPr>
                <w:rFonts w:asciiTheme="majorHAnsi" w:hAnsiTheme="majorHAnsi" w:cstheme="majorHAnsi"/>
                <w:szCs w:val="20"/>
              </w:rPr>
              <w:t>Commissioner</w:t>
            </w:r>
            <w:r w:rsidRPr="00EB31B8">
              <w:rPr>
                <w:rFonts w:asciiTheme="majorHAnsi" w:hAnsiTheme="majorHAnsi" w:cstheme="majorHAnsi"/>
                <w:szCs w:val="20"/>
              </w:rPr>
              <w:t>.</w:t>
            </w:r>
          </w:p>
          <w:p w14:paraId="37843F24" w14:textId="3AD96B3A" w:rsidR="00D56DB7" w:rsidRPr="00E5072D" w:rsidRDefault="00D56DB7" w:rsidP="00692835">
            <w:pPr>
              <w:pStyle w:val="Style3"/>
              <w:spacing w:after="120"/>
              <w:ind w:firstLine="3"/>
            </w:pPr>
            <w:r w:rsidRPr="00047BD8">
              <w:rPr>
                <w:b/>
                <w:sz w:val="20"/>
                <w:szCs w:val="20"/>
              </w:rPr>
              <w:t>Subject Area</w:t>
            </w:r>
            <w:r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1274901516"/>
                <w:placeholder>
                  <w:docPart w:val="CAE2CCC1071B42579A0E40C054A444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C3759">
              <w:rPr>
                <w:sz w:val="20"/>
                <w:szCs w:val="20"/>
              </w:rPr>
              <w:t xml:space="preserve"> is the </w:t>
            </w:r>
            <w:r w:rsidR="00E21F56">
              <w:rPr>
                <w:sz w:val="20"/>
                <w:szCs w:val="20"/>
              </w:rPr>
              <w:t>TI zone</w:t>
            </w:r>
            <w:r w:rsidRPr="00DC3759">
              <w:rPr>
                <w:sz w:val="20"/>
                <w:szCs w:val="20"/>
              </w:rPr>
              <w:t xml:space="preserve"> as depicted on Exhibit C. ELUR Survey, and further</w:t>
            </w:r>
            <w:r w:rsidR="00E21F56">
              <w:rPr>
                <w:sz w:val="20"/>
                <w:szCs w:val="20"/>
              </w:rPr>
              <w:t xml:space="preserve"> </w:t>
            </w:r>
            <w:r w:rsidRPr="00DC3759">
              <w:rPr>
                <w:sz w:val="20"/>
                <w:szCs w:val="20"/>
              </w:rPr>
              <w:t>described in Exhibit A. Property Description (Metes and Bounds).</w:t>
            </w:r>
          </w:p>
        </w:tc>
      </w:tr>
      <w:tr w:rsidR="00D56DB7" w:rsidRPr="00E5072D" w14:paraId="13E58C88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683"/>
          <w:jc w:val="center"/>
        </w:trPr>
        <w:tc>
          <w:tcPr>
            <w:tcW w:w="10090" w:type="dxa"/>
            <w:shd w:val="pct10" w:color="auto" w:fill="auto"/>
          </w:tcPr>
          <w:p w14:paraId="3B7BB543" w14:textId="5F297B9F" w:rsidR="00D56DB7" w:rsidRPr="00BE6746" w:rsidRDefault="00E21F56" w:rsidP="00692835">
            <w:pPr>
              <w:tabs>
                <w:tab w:val="left" w:pos="3852"/>
              </w:tabs>
              <w:spacing w:before="120" w:after="120"/>
            </w:pPr>
            <w:r>
              <w:br w:type="page"/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="00D56DB7" w:rsidRPr="00255B00">
              <w:rPr>
                <w:rFonts w:cs="Arial"/>
                <w:b/>
                <w:spacing w:val="-2"/>
                <w:szCs w:val="20"/>
              </w:rPr>
              <w:t xml:space="preserve">at 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ED630C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tr w:rsidR="002431F2" w:rsidRPr="00E5072D" w14:paraId="65DE393C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683"/>
          <w:jc w:val="center"/>
        </w:trPr>
        <w:tc>
          <w:tcPr>
            <w:tcW w:w="10090" w:type="dxa"/>
            <w:shd w:val="clear" w:color="auto" w:fill="auto"/>
          </w:tcPr>
          <w:p w14:paraId="55687339" w14:textId="17C962FD" w:rsidR="002431F2" w:rsidRPr="002431F2" w:rsidRDefault="002431F2" w:rsidP="00692835">
            <w:pPr>
              <w:tabs>
                <w:tab w:val="left" w:pos="3852"/>
              </w:tabs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2431F2">
              <w:rPr>
                <w:rFonts w:cs="Arial"/>
                <w:b/>
                <w:spacing w:val="-2"/>
                <w:szCs w:val="20"/>
              </w:rPr>
              <w:t>Surface Water Protection Criteria</w:t>
            </w:r>
          </w:p>
          <w:sdt>
            <w:sdtPr>
              <w:rPr>
                <w:rStyle w:val="Style14Char"/>
              </w:rPr>
              <w:id w:val="-1958395524"/>
              <w:placeholder>
                <w:docPart w:val="1E4E9AD0511C43A28F5E26BFA6B1A728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bCs/>
                <w:iCs w:val="0"/>
                <w:color w:val="auto"/>
                <w:spacing w:val="-2"/>
                <w:szCs w:val="20"/>
                <w:shd w:val="clear" w:color="auto" w:fill="auto"/>
              </w:rPr>
            </w:sdtEndPr>
            <w:sdtContent>
              <w:p w14:paraId="23E74314" w14:textId="05EEB1FA" w:rsidR="002431F2" w:rsidRPr="002431F2" w:rsidRDefault="002431F2" w:rsidP="00692835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Cs/>
                    <w:spacing w:val="-2"/>
                    <w:szCs w:val="20"/>
                  </w:rPr>
                </w:pPr>
                <w:r w:rsidRPr="002431F2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sdtContent>
          </w:sdt>
          <w:p w14:paraId="53E219E3" w14:textId="77F06AD2" w:rsidR="002431F2" w:rsidRPr="002431F2" w:rsidRDefault="002431F2" w:rsidP="00692835">
            <w:pPr>
              <w:tabs>
                <w:tab w:val="left" w:pos="3852"/>
              </w:tabs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2431F2">
              <w:rPr>
                <w:rFonts w:cs="Arial"/>
                <w:b/>
                <w:spacing w:val="-2"/>
                <w:szCs w:val="20"/>
              </w:rPr>
              <w:t>Groundwater Protec</w:t>
            </w:r>
            <w:r w:rsidR="001D599C">
              <w:rPr>
                <w:rFonts w:cs="Arial"/>
                <w:b/>
                <w:spacing w:val="-2"/>
                <w:szCs w:val="20"/>
              </w:rPr>
              <w:t>t</w:t>
            </w:r>
            <w:r w:rsidRPr="002431F2">
              <w:rPr>
                <w:rFonts w:cs="Arial"/>
                <w:b/>
                <w:spacing w:val="-2"/>
                <w:szCs w:val="20"/>
              </w:rPr>
              <w:t>ion Criteria</w:t>
            </w:r>
          </w:p>
          <w:sdt>
            <w:sdtPr>
              <w:rPr>
                <w:rStyle w:val="Style14Char"/>
              </w:rPr>
              <w:id w:val="1707677085"/>
              <w:placeholder>
                <w:docPart w:val="0601A5B5DFCC44EBBFC62CA6F309F5E4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bCs/>
                <w:iCs w:val="0"/>
                <w:color w:val="auto"/>
                <w:spacing w:val="-2"/>
                <w:szCs w:val="20"/>
                <w:shd w:val="clear" w:color="auto" w:fill="auto"/>
              </w:rPr>
            </w:sdtEndPr>
            <w:sdtContent>
              <w:p w14:paraId="7700698D" w14:textId="32C4D506" w:rsidR="002431F2" w:rsidRPr="002431F2" w:rsidRDefault="002431F2" w:rsidP="00692835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Cs/>
                    <w:spacing w:val="-2"/>
                    <w:szCs w:val="20"/>
                  </w:rPr>
                </w:pPr>
                <w:r w:rsidRPr="002431F2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sdtContent>
          </w:sdt>
        </w:tc>
      </w:tr>
      <w:tr w:rsidR="00D56DB7" w:rsidRPr="00406E02" w14:paraId="0B97F60A" w14:textId="77777777" w:rsidTr="00E04B9E">
        <w:tblPrEx>
          <w:tblCellMar>
            <w:left w:w="115" w:type="dxa"/>
            <w:right w:w="115" w:type="dxa"/>
          </w:tblCellMar>
        </w:tblPrEx>
        <w:trPr>
          <w:trHeight w:val="620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30ECE849" w14:textId="57645649" w:rsidR="00D56DB7" w:rsidRPr="00D05E08" w:rsidRDefault="00D56DB7" w:rsidP="00ED630C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</w:t>
            </w:r>
            <w:r w:rsidR="00DB5215">
              <w:rPr>
                <w:b/>
              </w:rPr>
              <w:t>RBCR</w:t>
            </w:r>
            <w:r w:rsidRPr="006A0A18">
              <w:rPr>
                <w:b/>
              </w:rPr>
              <w:t xml:space="preserve">s at the </w:t>
            </w:r>
            <w:r w:rsidR="00ED630C">
              <w:rPr>
                <w:b/>
              </w:rPr>
              <w:t>Subject Area</w:t>
            </w:r>
          </w:p>
        </w:tc>
      </w:tr>
      <w:tr w:rsidR="00D56DB7" w:rsidRPr="00406E02" w14:paraId="3629B99E" w14:textId="77777777" w:rsidTr="00E04B9E">
        <w:tblPrEx>
          <w:tblCellMar>
            <w:left w:w="115" w:type="dxa"/>
            <w:right w:w="115" w:type="dxa"/>
          </w:tblCellMar>
        </w:tblPrEx>
        <w:trPr>
          <w:trHeight w:val="1439"/>
          <w:jc w:val="center"/>
        </w:trPr>
        <w:tc>
          <w:tcPr>
            <w:tcW w:w="10090" w:type="dxa"/>
            <w:shd w:val="clear" w:color="auto" w:fill="FFFFFF"/>
          </w:tcPr>
          <w:p w14:paraId="5FC695FA" w14:textId="77777777" w:rsidR="00D56DB7" w:rsidRPr="00FF49B1" w:rsidRDefault="00D56DB7" w:rsidP="00ED630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FF49B1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55F178AF" w14:textId="206A8F44" w:rsidR="007A5FC4" w:rsidRDefault="00D56DB7" w:rsidP="00ED630C">
            <w:pPr>
              <w:pStyle w:val="Style3"/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Provided 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 w:rsidR="009E53BE" w:rsidRPr="007E3000">
              <w:rPr>
                <w:rFonts w:asciiTheme="majorHAnsi" w:hAnsiTheme="majorHAnsi" w:cstheme="majorHAnsi"/>
                <w:sz w:val="20"/>
                <w:szCs w:val="20"/>
              </w:rPr>
              <w:t>requirements of the</w:t>
            </w:r>
            <w:r w:rsidR="009E53BE">
              <w:rPr>
                <w:rFonts w:asciiTheme="majorHAnsi" w:hAnsiTheme="majorHAnsi" w:cstheme="majorHAnsi"/>
                <w:sz w:val="20"/>
                <w:szCs w:val="20"/>
              </w:rPr>
              <w:t xml:space="preserve"> contingency plan (if applicable); the </w:t>
            </w:r>
            <w:r w:rsidR="009E53BE"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>long-term monitoring, operation, maintenance, and reporting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measures;</w:t>
            </w:r>
            <w:r w:rsidR="009E53BE"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>and the c</w:t>
            </w:r>
            <w:r w:rsidR="009E53BE"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onditions 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of approval imposed by the </w:t>
            </w:r>
            <w:r w:rsidR="001122B7">
              <w:rPr>
                <w:rFonts w:asciiTheme="majorHAnsi" w:eastAsia="Calibri" w:hAnsiTheme="majorHAnsi" w:cstheme="majorHAnsi"/>
                <w:sz w:val="20"/>
                <w:szCs w:val="20"/>
              </w:rPr>
              <w:t>Commissioner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E21F56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re complied with,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as required by the ELUR,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such polluted groundwater does not pose a risk to human health and the environment.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71A30AC0" w14:textId="05C5CBEF" w:rsidR="00D56DB7" w:rsidRPr="00692835" w:rsidRDefault="007A5FC4" w:rsidP="00692835">
            <w:pPr>
              <w:pStyle w:val="Style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835">
              <w:rPr>
                <w:b/>
                <w:iCs/>
                <w:sz w:val="20"/>
                <w:szCs w:val="20"/>
              </w:rPr>
              <w:t>For TI Variance from compliance with the groundwater protection criteria:</w:t>
            </w:r>
          </w:p>
          <w:p w14:paraId="16E04E54" w14:textId="63838199" w:rsidR="00D56DB7" w:rsidRPr="006351AE" w:rsidRDefault="00D56DB7" w:rsidP="00ED630C">
            <w:pPr>
              <w:pStyle w:val="Style3"/>
              <w:spacing w:after="120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ED4192">
              <w:rPr>
                <w:rFonts w:asciiTheme="majorHAnsi" w:hAnsiTheme="majorHAnsi" w:cstheme="majorHAnsi"/>
                <w:sz w:val="20"/>
                <w:szCs w:val="20"/>
              </w:rPr>
              <w:t>f the groundwater is used for drinking, or other domestic purposes, or withdrawn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3C5A">
              <w:rPr>
                <w:rFonts w:asciiTheme="majorHAnsi" w:hAnsiTheme="majorHAnsi" w:cstheme="majorHAnsi"/>
                <w:sz w:val="20"/>
                <w:szCs w:val="20"/>
              </w:rPr>
              <w:t xml:space="preserve">for a use not approved by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1122B7">
              <w:rPr>
                <w:rFonts w:asciiTheme="majorHAnsi" w:hAnsiTheme="majorHAnsi" w:cstheme="majorHAnsi"/>
                <w:sz w:val="20"/>
                <w:szCs w:val="20"/>
              </w:rPr>
              <w:t>Commissioner</w:t>
            </w:r>
            <w:r w:rsidR="007A5FC4">
              <w:rPr>
                <w:rFonts w:asciiTheme="majorHAnsi" w:hAnsiTheme="majorHAnsi" w:cstheme="majorHAnsi"/>
                <w:sz w:val="20"/>
                <w:szCs w:val="20"/>
              </w:rPr>
              <w:t xml:space="preserve"> as prohibited by the ELUR</w:t>
            </w:r>
            <w:r w:rsidRPr="00ED4192">
              <w:rPr>
                <w:rFonts w:asciiTheme="majorHAnsi" w:hAnsiTheme="majorHAnsi" w:cstheme="majorHAnsi"/>
                <w:sz w:val="20"/>
                <w:szCs w:val="20"/>
              </w:rPr>
              <w:t xml:space="preserve">, polluted groundwater may pose an unacceptable risk to human health or the environment.  Provided the groundwater is not used for drinking, or other domestic purposes, or withdrawn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without the </w:t>
            </w:r>
            <w:r w:rsidR="001122B7">
              <w:rPr>
                <w:rFonts w:asciiTheme="majorHAnsi" w:hAnsiTheme="majorHAnsi" w:cstheme="majorHAnsi"/>
                <w:sz w:val="20"/>
                <w:szCs w:val="20"/>
              </w:rPr>
              <w:t>Commissioner</w:t>
            </w:r>
            <w:r w:rsidR="007A5FC4">
              <w:rPr>
                <w:rFonts w:asciiTheme="majorHAnsi" w:hAnsiTheme="majorHAnsi" w:cstheme="majorHAnsi"/>
                <w:sz w:val="20"/>
                <w:szCs w:val="20"/>
              </w:rPr>
              <w:t>’s a</w:t>
            </w:r>
            <w:r w:rsidR="007A5FC4" w:rsidRPr="00ED4192">
              <w:rPr>
                <w:rFonts w:asciiTheme="majorHAnsi" w:hAnsiTheme="majorHAnsi" w:cstheme="majorHAnsi"/>
                <w:sz w:val="20"/>
                <w:szCs w:val="20"/>
              </w:rPr>
              <w:t>pproval</w:t>
            </w:r>
            <w:r>
              <w:rPr>
                <w:sz w:val="20"/>
              </w:rPr>
              <w:t xml:space="preserve">, </w:t>
            </w:r>
            <w:r w:rsidRPr="00255B00">
              <w:rPr>
                <w:sz w:val="20"/>
              </w:rPr>
              <w:t>polluted groundwater does not pose an unacceptable risk to human health</w:t>
            </w:r>
            <w:r>
              <w:rPr>
                <w:sz w:val="20"/>
              </w:rPr>
              <w:t xml:space="preserve"> or the environment</w:t>
            </w:r>
            <w:r w:rsidRPr="00255B00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</w:p>
        </w:tc>
      </w:tr>
      <w:tr w:rsidR="00D56DB7" w:rsidRPr="00E5072D" w14:paraId="1848F0FC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288"/>
          <w:jc w:val="center"/>
        </w:trPr>
        <w:tc>
          <w:tcPr>
            <w:tcW w:w="10090" w:type="dxa"/>
            <w:shd w:val="clear" w:color="auto" w:fill="D9D9D9"/>
          </w:tcPr>
          <w:p w14:paraId="3E3527E9" w14:textId="4A13AEBD" w:rsidR="00D56DB7" w:rsidRPr="00E5072D" w:rsidRDefault="00D56DB7" w:rsidP="00ED630C">
            <w:pPr>
              <w:spacing w:before="120" w:after="120"/>
            </w:pPr>
            <w:r>
              <w:lastRenderedPageBreak/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0A60FE5D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1259"/>
          <w:jc w:val="center"/>
        </w:trPr>
        <w:tc>
          <w:tcPr>
            <w:tcW w:w="10090" w:type="dxa"/>
            <w:shd w:val="clear" w:color="auto" w:fill="FFFFFF"/>
          </w:tcPr>
          <w:p w14:paraId="4151B722" w14:textId="56F7B7F8" w:rsidR="00D56DB7" w:rsidRPr="00FF49B1" w:rsidRDefault="00D56DB7" w:rsidP="00ED630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FF49B1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DB5215">
              <w:rPr>
                <w:rFonts w:cs="Arial"/>
                <w:spacing w:val="-2"/>
                <w:szCs w:val="20"/>
              </w:rPr>
              <w:t>RBCR</w:t>
            </w:r>
            <w:r w:rsidRPr="00FF49B1">
              <w:rPr>
                <w:rFonts w:cs="Arial"/>
                <w:spacing w:val="-2"/>
                <w:szCs w:val="20"/>
              </w:rPr>
              <w:t>s because:</w:t>
            </w:r>
          </w:p>
          <w:p w14:paraId="73832CF7" w14:textId="72DC3BC9" w:rsidR="009E0E9F" w:rsidRPr="00312192" w:rsidRDefault="00D56DB7" w:rsidP="00692835">
            <w:pPr>
              <w:rPr>
                <w:szCs w:val="20"/>
              </w:rPr>
            </w:pPr>
            <w:r w:rsidRPr="009B01EE">
              <w:rPr>
                <w:rFonts w:cs="Arial"/>
                <w:spacing w:val="-2"/>
                <w:szCs w:val="20"/>
              </w:rPr>
              <w:t>The current condition of the Subject Area is in compliance with the restrictions and obligations of this ELUR</w:t>
            </w:r>
            <w:r w:rsidR="00C670E9">
              <w:rPr>
                <w:rFonts w:cs="Arial"/>
                <w:spacing w:val="-2"/>
                <w:szCs w:val="20"/>
              </w:rPr>
              <w:t xml:space="preserve"> and the </w:t>
            </w:r>
            <w:r w:rsidR="007A5FC4">
              <w:rPr>
                <w:rFonts w:cs="Arial"/>
                <w:spacing w:val="-2"/>
                <w:szCs w:val="20"/>
              </w:rPr>
              <w:t xml:space="preserve">conditions deemed appropriate by the </w:t>
            </w:r>
            <w:r w:rsidR="001122B7">
              <w:rPr>
                <w:rFonts w:cs="Arial"/>
                <w:spacing w:val="-2"/>
                <w:szCs w:val="20"/>
              </w:rPr>
              <w:t>Commissioner</w:t>
            </w:r>
            <w:r w:rsidR="007A5FC4" w:rsidRPr="007C1996">
              <w:rPr>
                <w:rFonts w:cs="Arial"/>
                <w:spacing w:val="-2"/>
                <w:szCs w:val="20"/>
              </w:rPr>
              <w:t xml:space="preserve"> pursuant to RSCA section 22a-</w:t>
            </w:r>
            <w:r w:rsidR="005F376C">
              <w:rPr>
                <w:rFonts w:cs="Arial"/>
                <w:spacing w:val="-2"/>
                <w:szCs w:val="20"/>
              </w:rPr>
              <w:t>134tt-10</w:t>
            </w:r>
            <w:r w:rsidR="007A5FC4" w:rsidRPr="007C1996">
              <w:rPr>
                <w:rFonts w:cs="Arial"/>
                <w:spacing w:val="-2"/>
                <w:szCs w:val="20"/>
              </w:rPr>
              <w:t>(e)(1)(B)</w:t>
            </w:r>
            <w:r w:rsidR="007A5FC4">
              <w:rPr>
                <w:rFonts w:cs="Arial"/>
                <w:spacing w:val="-2"/>
                <w:szCs w:val="20"/>
              </w:rPr>
              <w:t>, if applicable, dated:</w:t>
            </w:r>
            <w:r w:rsidR="007A5FC4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5882603"/>
                <w:placeholder>
                  <w:docPart w:val="C7F25D28059943CB9F419941B83270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22B7" w:rsidRPr="001122B7">
                  <w:rPr>
                    <w:rStyle w:val="PlaceholderText"/>
                    <w:i/>
                    <w:iCs/>
                    <w:color w:val="1F497D" w:themeColor="text2"/>
                  </w:rPr>
                  <w:t>Date of Commissioner conditions</w:t>
                </w:r>
              </w:sdtContent>
            </w:sdt>
          </w:p>
        </w:tc>
      </w:tr>
    </w:tbl>
    <w:p w14:paraId="460AE85D" w14:textId="77777777" w:rsidR="00D56DB7" w:rsidRPr="009F42AC" w:rsidRDefault="00D56DB7" w:rsidP="00F40812">
      <w:r>
        <w:t xml:space="preserve"> </w:t>
      </w:r>
    </w:p>
    <w:p w14:paraId="4FE98C88" w14:textId="5BD1B3DB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71B1989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45373291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21CA873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89575">
    <w:abstractNumId w:val="37"/>
  </w:num>
  <w:num w:numId="2" w16cid:durableId="192423736">
    <w:abstractNumId w:val="23"/>
  </w:num>
  <w:num w:numId="3" w16cid:durableId="1158307030">
    <w:abstractNumId w:val="34"/>
  </w:num>
  <w:num w:numId="4" w16cid:durableId="2072342993">
    <w:abstractNumId w:val="6"/>
  </w:num>
  <w:num w:numId="5" w16cid:durableId="989675030">
    <w:abstractNumId w:val="15"/>
  </w:num>
  <w:num w:numId="6" w16cid:durableId="1597984284">
    <w:abstractNumId w:val="48"/>
  </w:num>
  <w:num w:numId="7" w16cid:durableId="600339813">
    <w:abstractNumId w:val="31"/>
  </w:num>
  <w:num w:numId="8" w16cid:durableId="19623677">
    <w:abstractNumId w:val="36"/>
  </w:num>
  <w:num w:numId="9" w16cid:durableId="1288509609">
    <w:abstractNumId w:val="12"/>
  </w:num>
  <w:num w:numId="10" w16cid:durableId="1392582488">
    <w:abstractNumId w:val="41"/>
  </w:num>
  <w:num w:numId="11" w16cid:durableId="23947233">
    <w:abstractNumId w:val="21"/>
  </w:num>
  <w:num w:numId="12" w16cid:durableId="1599172459">
    <w:abstractNumId w:val="32"/>
  </w:num>
  <w:num w:numId="13" w16cid:durableId="270401729">
    <w:abstractNumId w:val="8"/>
  </w:num>
  <w:num w:numId="14" w16cid:durableId="1378969112">
    <w:abstractNumId w:val="24"/>
  </w:num>
  <w:num w:numId="15" w16cid:durableId="261188140">
    <w:abstractNumId w:val="29"/>
  </w:num>
  <w:num w:numId="16" w16cid:durableId="873347526">
    <w:abstractNumId w:val="18"/>
  </w:num>
  <w:num w:numId="17" w16cid:durableId="1263147547">
    <w:abstractNumId w:val="0"/>
  </w:num>
  <w:num w:numId="18" w16cid:durableId="2038508262">
    <w:abstractNumId w:val="20"/>
  </w:num>
  <w:num w:numId="19" w16cid:durableId="952521799">
    <w:abstractNumId w:val="43"/>
  </w:num>
  <w:num w:numId="20" w16cid:durableId="1736319879">
    <w:abstractNumId w:val="26"/>
  </w:num>
  <w:num w:numId="21" w16cid:durableId="1124151583">
    <w:abstractNumId w:val="39"/>
  </w:num>
  <w:num w:numId="22" w16cid:durableId="157700346">
    <w:abstractNumId w:val="22"/>
  </w:num>
  <w:num w:numId="23" w16cid:durableId="2055274530">
    <w:abstractNumId w:val="3"/>
  </w:num>
  <w:num w:numId="24" w16cid:durableId="283275126">
    <w:abstractNumId w:val="35"/>
  </w:num>
  <w:num w:numId="25" w16cid:durableId="350493639">
    <w:abstractNumId w:val="44"/>
  </w:num>
  <w:num w:numId="26" w16cid:durableId="1617058367">
    <w:abstractNumId w:val="2"/>
  </w:num>
  <w:num w:numId="27" w16cid:durableId="1432555961">
    <w:abstractNumId w:val="28"/>
  </w:num>
  <w:num w:numId="28" w16cid:durableId="1166289910">
    <w:abstractNumId w:val="13"/>
  </w:num>
  <w:num w:numId="29" w16cid:durableId="171334280">
    <w:abstractNumId w:val="38"/>
  </w:num>
  <w:num w:numId="30" w16cid:durableId="217476873">
    <w:abstractNumId w:val="47"/>
  </w:num>
  <w:num w:numId="31" w16cid:durableId="761797610">
    <w:abstractNumId w:val="10"/>
  </w:num>
  <w:num w:numId="32" w16cid:durableId="1462647299">
    <w:abstractNumId w:val="40"/>
  </w:num>
  <w:num w:numId="33" w16cid:durableId="1685983444">
    <w:abstractNumId w:val="45"/>
  </w:num>
  <w:num w:numId="34" w16cid:durableId="1491874047">
    <w:abstractNumId w:val="16"/>
  </w:num>
  <w:num w:numId="35" w16cid:durableId="696080483">
    <w:abstractNumId w:val="27"/>
  </w:num>
  <w:num w:numId="36" w16cid:durableId="2022006368">
    <w:abstractNumId w:val="25"/>
  </w:num>
  <w:num w:numId="37" w16cid:durableId="2110075377">
    <w:abstractNumId w:val="9"/>
  </w:num>
  <w:num w:numId="38" w16cid:durableId="1313175898">
    <w:abstractNumId w:val="42"/>
  </w:num>
  <w:num w:numId="39" w16cid:durableId="105932972">
    <w:abstractNumId w:val="5"/>
  </w:num>
  <w:num w:numId="40" w16cid:durableId="1476987967">
    <w:abstractNumId w:val="1"/>
  </w:num>
  <w:num w:numId="41" w16cid:durableId="758909198">
    <w:abstractNumId w:val="33"/>
  </w:num>
  <w:num w:numId="42" w16cid:durableId="2086371057">
    <w:abstractNumId w:val="19"/>
  </w:num>
  <w:num w:numId="43" w16cid:durableId="1651668648">
    <w:abstractNumId w:val="11"/>
  </w:num>
  <w:num w:numId="44" w16cid:durableId="480002076">
    <w:abstractNumId w:val="17"/>
  </w:num>
  <w:num w:numId="45" w16cid:durableId="416485957">
    <w:abstractNumId w:val="46"/>
  </w:num>
  <w:num w:numId="46" w16cid:durableId="285743924">
    <w:abstractNumId w:val="30"/>
  </w:num>
  <w:num w:numId="47" w16cid:durableId="1863669488">
    <w:abstractNumId w:val="7"/>
  </w:num>
  <w:num w:numId="48" w16cid:durableId="894435452">
    <w:abstractNumId w:val="4"/>
  </w:num>
  <w:num w:numId="49" w16cid:durableId="118312551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heC9Q3iq6/aFiEbEISz2ZrqOTA/3Z6yaF+JqxxWiZUgnz4IQztYWIhBDW9WBYiF1jCrfYTcQ2bibQSpC2I6EXg==" w:salt="c3aoL3fZnyxY7iQe+Uc8Q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2C3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931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2B7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99C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1F2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757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3D4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412"/>
    <w:rsid w:val="003B0419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2C7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C4C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1B1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336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4457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76C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8DF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835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73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6E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C5A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73D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36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5FC4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996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55C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2FB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123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BCF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E9F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53BE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8E9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4D85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281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67656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8C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0E9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709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78D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70D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15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CEB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B9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1F56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86A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217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D2E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C5F0ED4901428289C723BCCE00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2889-A2AA-4433-9DF2-054A4FFE7956}"/>
      </w:docPartPr>
      <w:docPartBody>
        <w:p w:rsidR="00726F29" w:rsidRDefault="00F84CF8" w:rsidP="00F84CF8">
          <w:pPr>
            <w:pStyle w:val="8EC5F0ED4901428289C723BCCE0060C42"/>
          </w:pPr>
          <w:r w:rsidRPr="000730A7">
            <w:rPr>
              <w:rStyle w:val="PlaceholderText"/>
              <w:i/>
              <w:iCs/>
              <w:color w:val="0E2841" w:themeColor="text2"/>
            </w:rPr>
            <w:t>List requirements</w:t>
          </w:r>
        </w:p>
      </w:docPartBody>
    </w:docPart>
    <w:docPart>
      <w:docPartPr>
        <w:name w:val="218893A4A12D47AE87693F98AA3A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3DCF-E3B8-47B0-9471-0B99DEC1E315}"/>
      </w:docPartPr>
      <w:docPartBody>
        <w:p w:rsidR="00FA16A3" w:rsidRDefault="00F84CF8" w:rsidP="00F84CF8">
          <w:pPr>
            <w:pStyle w:val="218893A4A12D47AE87693F98AA3AC34B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532615009A4149728C4414F05C48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9357-EBE4-4A3F-A5D7-BCF630B3E9AB}"/>
      </w:docPartPr>
      <w:docPartBody>
        <w:p w:rsidR="00FA16A3" w:rsidRDefault="00F84CF8" w:rsidP="00F84CF8">
          <w:pPr>
            <w:pStyle w:val="532615009A4149728C4414F05C48B7EA1"/>
          </w:pPr>
          <w:r w:rsidRPr="00692835">
            <w:rPr>
              <w:rStyle w:val="PlaceholderText"/>
              <w:i/>
              <w:iCs/>
              <w:color w:val="0E2841" w:themeColor="text2"/>
            </w:rPr>
            <w:t>List measures</w:t>
          </w:r>
        </w:p>
      </w:docPartBody>
    </w:docPart>
    <w:docPart>
      <w:docPartPr>
        <w:name w:val="3AA4B7C71C2D479791672B3BA2D7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8004-B38E-4DEC-9B24-4ECF09A9601E}"/>
      </w:docPartPr>
      <w:docPartBody>
        <w:p w:rsidR="00FA16A3" w:rsidRDefault="00F84CF8" w:rsidP="00F84CF8">
          <w:pPr>
            <w:pStyle w:val="3AA4B7C71C2D479791672B3BA2D78AC41"/>
          </w:pPr>
          <w:r w:rsidRPr="00692835">
            <w:rPr>
              <w:rStyle w:val="PlaceholderText"/>
              <w:i/>
              <w:iCs/>
              <w:color w:val="0E2841" w:themeColor="text2"/>
            </w:rPr>
            <w:t>List conditions</w:t>
          </w:r>
        </w:p>
      </w:docPartBody>
    </w:docPart>
    <w:docPart>
      <w:docPartPr>
        <w:name w:val="CAE2CCC1071B42579A0E40C054A4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42E8-ECC5-4B57-8397-A573C31FCA3F}"/>
      </w:docPartPr>
      <w:docPartBody>
        <w:p w:rsidR="00FA16A3" w:rsidRDefault="00F84CF8" w:rsidP="00F84CF8">
          <w:pPr>
            <w:pStyle w:val="CAE2CCC1071B42579A0E40C054A444981"/>
          </w:pPr>
          <w:r w:rsidRPr="00DC3759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C7F25D28059943CB9F419941B832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F6B7-F79D-4A68-8297-E00DB3AE2AE0}"/>
      </w:docPartPr>
      <w:docPartBody>
        <w:p w:rsidR="00FA16A3" w:rsidRDefault="00F84CF8" w:rsidP="00F84CF8">
          <w:pPr>
            <w:pStyle w:val="C7F25D28059943CB9F419941B83270EB1"/>
          </w:pPr>
          <w:r w:rsidRPr="001122B7">
            <w:rPr>
              <w:rStyle w:val="PlaceholderText"/>
              <w:i/>
              <w:iCs/>
              <w:color w:val="0E2841" w:themeColor="text2"/>
            </w:rPr>
            <w:t>Date of Commissioner conditions</w:t>
          </w:r>
        </w:p>
      </w:docPartBody>
    </w:docPart>
    <w:docPart>
      <w:docPartPr>
        <w:name w:val="0601A5B5DFCC44EBBFC62CA6F309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97BB-CE3D-4F61-9B6D-86D401B774A0}"/>
      </w:docPartPr>
      <w:docPartBody>
        <w:p w:rsidR="003F397E" w:rsidRDefault="00F84CF8" w:rsidP="00F84CF8">
          <w:pPr>
            <w:pStyle w:val="0601A5B5DFCC44EBBFC62CA6F309F5E41"/>
          </w:pPr>
          <w:r w:rsidRPr="002431F2">
            <w:rPr>
              <w:rStyle w:val="PlaceholderText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  <w:docPart>
      <w:docPartPr>
        <w:name w:val="1E4E9AD0511C43A28F5E26BFA6B1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C5B8-ECED-48F7-9B6B-67B43FC8E5BD}"/>
      </w:docPartPr>
      <w:docPartBody>
        <w:p w:rsidR="003F397E" w:rsidRDefault="00F84CF8" w:rsidP="00F84CF8">
          <w:pPr>
            <w:pStyle w:val="1E4E9AD0511C43A28F5E26BFA6B1A728"/>
          </w:pPr>
          <w:r w:rsidRPr="002431F2">
            <w:rPr>
              <w:rStyle w:val="PlaceholderText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32"/>
    <w:rsid w:val="003F397E"/>
    <w:rsid w:val="00412D32"/>
    <w:rsid w:val="006278DF"/>
    <w:rsid w:val="006E216E"/>
    <w:rsid w:val="00726F29"/>
    <w:rsid w:val="007B1694"/>
    <w:rsid w:val="008E5123"/>
    <w:rsid w:val="00D0770D"/>
    <w:rsid w:val="00F84CF8"/>
    <w:rsid w:val="00F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CF8"/>
    <w:rPr>
      <w:color w:val="808080"/>
    </w:rPr>
  </w:style>
  <w:style w:type="paragraph" w:customStyle="1" w:styleId="218893A4A12D47AE87693F98AA3AC34B1">
    <w:name w:val="218893A4A12D47AE87693F98AA3AC34B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F0ED4901428289C723BCCE0060C42">
    <w:name w:val="8EC5F0ED4901428289C723BCCE0060C42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2615009A4149728C4414F05C48B7EA1">
    <w:name w:val="532615009A4149728C4414F05C48B7EA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A4B7C71C2D479791672B3BA2D78AC41">
    <w:name w:val="3AA4B7C71C2D479791672B3BA2D78AC4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E2CCC1071B42579A0E40C054A444981">
    <w:name w:val="CAE2CCC1071B42579A0E40C054A444981"/>
    <w:rsid w:val="00F84CF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E4E9AD0511C43A28F5E26BFA6B1A728">
    <w:name w:val="1E4E9AD0511C43A28F5E26BFA6B1A728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1A5B5DFCC44EBBFC62CA6F309F5E41">
    <w:name w:val="0601A5B5DFCC44EBBFC62CA6F309F5E4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F25D28059943CB9F419941B83270EB1">
    <w:name w:val="C7F25D28059943CB9F419941B83270EB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8A024-40A2-42D9-8A13-596F1BCB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04CE8-610E-4DE2-9D02-906667CA3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D862B-9543-4977-9D3E-AFC8B33B4B99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C13F52-27F1-4A35-9F88-4A381A9B6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3250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2026-03-05T22:02:00Z</dcterms:created>
  <dcterms:modified xsi:type="dcterms:W3CDTF">2026-03-05T22:02:00Z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