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A3E0" w14:textId="60E23CA0" w:rsidR="00D56DB7" w:rsidRPr="00A738F7" w:rsidRDefault="00D56DB7" w:rsidP="008E7D31">
      <w:pPr>
        <w:pStyle w:val="Heading2"/>
        <w:spacing w:before="240"/>
      </w:pPr>
      <w:bookmarkStart w:id="0" w:name="_Toc58339487"/>
      <w:bookmarkStart w:id="1" w:name="_Toc58398269"/>
      <w:bookmarkStart w:id="2" w:name="_Toc59544051"/>
      <w:r w:rsidRPr="00A738F7">
        <w:t>Exhibit B</w:t>
      </w:r>
      <w:r>
        <w:t xml:space="preserve">. </w:t>
      </w:r>
      <w:r w:rsidR="005A341E">
        <w:t>EUR Opinion</w:t>
      </w:r>
      <w:bookmarkEnd w:id="0"/>
      <w:bookmarkEnd w:id="1"/>
      <w:bookmarkEnd w:id="2"/>
    </w:p>
    <w:p w14:paraId="31C6A31D" w14:textId="77777777" w:rsidR="00D56DB7" w:rsidRPr="006226A7" w:rsidRDefault="00D56DB7" w:rsidP="0029567D">
      <w:pPr>
        <w:rPr>
          <w:sz w:val="28"/>
          <w:szCs w:val="28"/>
        </w:rPr>
      </w:pPr>
    </w:p>
    <w:p w14:paraId="2C6C681A" w14:textId="2D2481A2" w:rsidR="00D56DB7" w:rsidRPr="005119C9" w:rsidRDefault="00D03E30" w:rsidP="001B6245">
      <w:pPr>
        <w:pStyle w:val="Heading2"/>
      </w:pPr>
      <w:bookmarkStart w:id="3" w:name="_Building_Construction_Restriction"/>
      <w:bookmarkStart w:id="4" w:name="_Toc436161119"/>
      <w:bookmarkStart w:id="5" w:name="_Toc520119564"/>
      <w:bookmarkStart w:id="6" w:name="_Toc58339488"/>
      <w:bookmarkStart w:id="7" w:name="_Toc58398270"/>
      <w:bookmarkStart w:id="8" w:name="_Toc59544052"/>
      <w:bookmarkEnd w:id="3"/>
      <w:r>
        <w:t xml:space="preserve">No Build </w:t>
      </w:r>
      <w:r w:rsidR="00D56DB7" w:rsidRPr="00790ADA">
        <w:t>Restriction</w:t>
      </w:r>
      <w:r w:rsidR="00D56DB7">
        <w:t xml:space="preserve"> – Restriction and Obligation</w:t>
      </w:r>
      <w:r w:rsidR="00D56DB7" w:rsidRPr="002E197F">
        <w:t xml:space="preserve"> F</w:t>
      </w:r>
      <w:r w:rsidR="00D56DB7" w:rsidRPr="000A61F4">
        <w:t>orm</w:t>
      </w:r>
      <w:bookmarkEnd w:id="4"/>
      <w:bookmarkEnd w:id="5"/>
      <w:bookmarkEnd w:id="6"/>
      <w:bookmarkEnd w:id="7"/>
      <w:bookmarkEnd w:id="8"/>
    </w:p>
    <w:p w14:paraId="55E27BBF" w14:textId="55408D00" w:rsidR="00D56DB7" w:rsidRPr="00B8496B" w:rsidRDefault="00D56DB7" w:rsidP="00D03E30">
      <w:pPr>
        <w:pStyle w:val="Style3"/>
        <w:spacing w:before="120" w:after="120"/>
        <w:jc w:val="both"/>
        <w:rPr>
          <w:sz w:val="20"/>
          <w:szCs w:val="20"/>
        </w:rPr>
      </w:pPr>
      <w:r w:rsidRPr="00B8496B">
        <w:rPr>
          <w:snapToGrid w:val="0"/>
          <w:sz w:val="20"/>
          <w:szCs w:val="20"/>
        </w:rPr>
        <w:t>In accordance with RCSA section 22a-</w:t>
      </w:r>
      <w:r w:rsidR="00FB73EA">
        <w:rPr>
          <w:snapToGrid w:val="0"/>
          <w:sz w:val="20"/>
          <w:szCs w:val="20"/>
        </w:rPr>
        <w:t>134tt-10</w:t>
      </w:r>
      <w:r w:rsidRPr="00B8496B">
        <w:rPr>
          <w:snapToGrid w:val="0"/>
          <w:sz w:val="20"/>
          <w:szCs w:val="20"/>
        </w:rPr>
        <w:t xml:space="preserve">(c)(5), remediation </w:t>
      </w:r>
      <w:r w:rsidR="009C34D2">
        <w:rPr>
          <w:snapToGrid w:val="0"/>
          <w:sz w:val="20"/>
          <w:szCs w:val="20"/>
        </w:rPr>
        <w:t xml:space="preserve">of polluted groundwater </w:t>
      </w:r>
      <w:r w:rsidR="00D03E30">
        <w:rPr>
          <w:snapToGrid w:val="0"/>
          <w:sz w:val="20"/>
          <w:szCs w:val="20"/>
        </w:rPr>
        <w:t xml:space="preserve">to the </w:t>
      </w:r>
      <w:r w:rsidR="00D03E30" w:rsidRPr="00B8496B">
        <w:rPr>
          <w:snapToGrid w:val="0"/>
          <w:sz w:val="20"/>
          <w:szCs w:val="20"/>
        </w:rPr>
        <w:t xml:space="preserve">Volatilization Criteria described in RCSA section </w:t>
      </w:r>
      <w:r w:rsidR="00D03E30" w:rsidRPr="00B8496B">
        <w:rPr>
          <w:sz w:val="20"/>
          <w:szCs w:val="20"/>
        </w:rPr>
        <w:t>22a-</w:t>
      </w:r>
      <w:r w:rsidR="00FB73EA">
        <w:rPr>
          <w:sz w:val="20"/>
          <w:szCs w:val="20"/>
        </w:rPr>
        <w:t>134tt-10</w:t>
      </w:r>
      <w:r w:rsidR="00D03E30" w:rsidRPr="00B8496B">
        <w:rPr>
          <w:sz w:val="20"/>
          <w:szCs w:val="20"/>
        </w:rPr>
        <w:t>(c)(1)</w:t>
      </w:r>
      <w:r w:rsidR="00D03E30">
        <w:rPr>
          <w:sz w:val="20"/>
          <w:szCs w:val="20"/>
        </w:rPr>
        <w:t xml:space="preserve"> </w:t>
      </w:r>
      <w:r w:rsidRPr="00B8496B">
        <w:rPr>
          <w:snapToGrid w:val="0"/>
          <w:sz w:val="20"/>
          <w:szCs w:val="20"/>
        </w:rPr>
        <w:t>that is</w:t>
      </w:r>
      <w:r w:rsidR="00D03E30">
        <w:rPr>
          <w:snapToGrid w:val="0"/>
          <w:sz w:val="20"/>
          <w:szCs w:val="20"/>
        </w:rPr>
        <w:t xml:space="preserve"> less than</w:t>
      </w:r>
      <w:r w:rsidRPr="00B8496B">
        <w:rPr>
          <w:snapToGrid w:val="0"/>
          <w:sz w:val="20"/>
          <w:szCs w:val="20"/>
        </w:rPr>
        <w:t xml:space="preserve"> thirty feet </w:t>
      </w:r>
      <w:r w:rsidR="00D03E30">
        <w:rPr>
          <w:snapToGrid w:val="0"/>
          <w:sz w:val="20"/>
          <w:szCs w:val="20"/>
        </w:rPr>
        <w:t>below</w:t>
      </w:r>
      <w:r w:rsidRPr="00B8496B">
        <w:rPr>
          <w:snapToGrid w:val="0"/>
          <w:sz w:val="20"/>
          <w:szCs w:val="20"/>
        </w:rPr>
        <w:t xml:space="preserve"> the ground surface may not be required if </w:t>
      </w:r>
      <w:r w:rsidRPr="00E539D9">
        <w:rPr>
          <w:snapToGrid w:val="0"/>
          <w:sz w:val="20"/>
          <w:szCs w:val="20"/>
        </w:rPr>
        <w:t xml:space="preserve">no building exists over the </w:t>
      </w:r>
      <w:r w:rsidR="00D03E30" w:rsidRPr="00E539D9">
        <w:rPr>
          <w:snapToGrid w:val="0"/>
          <w:sz w:val="20"/>
          <w:szCs w:val="20"/>
        </w:rPr>
        <w:t xml:space="preserve">polluted </w:t>
      </w:r>
      <w:r w:rsidRPr="00E539D9">
        <w:rPr>
          <w:snapToGrid w:val="0"/>
          <w:sz w:val="20"/>
          <w:szCs w:val="20"/>
        </w:rPr>
        <w:t xml:space="preserve">groundwater provided </w:t>
      </w:r>
      <w:r w:rsidRPr="00E539D9">
        <w:rPr>
          <w:sz w:val="20"/>
          <w:szCs w:val="20"/>
        </w:rPr>
        <w:t>that an EUR is in effect for the Subject Area.</w:t>
      </w:r>
      <w:r w:rsidRPr="00E539D9">
        <w:rPr>
          <w:snapToGrid w:val="0"/>
          <w:sz w:val="20"/>
          <w:szCs w:val="20"/>
        </w:rPr>
        <w:t xml:space="preserve">  This restriction is in the form of an ELUR.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E8DA8DF" w14:textId="77777777" w:rsidTr="00E539D9">
        <w:trPr>
          <w:cantSplit/>
          <w:trHeight w:val="288"/>
          <w:jc w:val="center"/>
        </w:trPr>
        <w:tc>
          <w:tcPr>
            <w:tcW w:w="10090" w:type="dxa"/>
            <w:shd w:val="pct10" w:color="auto" w:fill="auto"/>
          </w:tcPr>
          <w:p w14:paraId="08ACF708" w14:textId="63D967D5" w:rsidR="00D56DB7" w:rsidRPr="00A053AB" w:rsidRDefault="00D56DB7" w:rsidP="006473D2">
            <w:pPr>
              <w:spacing w:before="120" w:after="120"/>
              <w:rPr>
                <w:rFonts w:cs="Arial"/>
                <w:b/>
                <w:i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6226A7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8CD3726" w14:textId="77777777" w:rsidTr="00E539D9">
        <w:trPr>
          <w:trHeight w:val="1728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4B947157" w14:textId="401DAEC0" w:rsidR="00D56DB7" w:rsidRDefault="00D56DB7" w:rsidP="006226A7">
            <w:pPr>
              <w:spacing w:before="120" w:after="120"/>
              <w:rPr>
                <w:szCs w:val="20"/>
              </w:rPr>
            </w:pPr>
            <w:r w:rsidRPr="000D04CE">
              <w:rPr>
                <w:rFonts w:asciiTheme="majorHAnsi" w:hAnsiTheme="majorHAnsi" w:cstheme="majorHAnsi"/>
                <w:szCs w:val="20"/>
              </w:rPr>
              <w:t xml:space="preserve">In accordance with </w:t>
            </w:r>
            <w:r>
              <w:rPr>
                <w:rFonts w:asciiTheme="majorHAnsi" w:hAnsiTheme="majorHAnsi" w:cstheme="majorHAnsi"/>
                <w:szCs w:val="20"/>
              </w:rPr>
              <w:t xml:space="preserve">RCSA 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section </w:t>
            </w:r>
            <w:r w:rsidRPr="009E4ACE">
              <w:rPr>
                <w:snapToGrid w:val="0"/>
                <w:szCs w:val="20"/>
              </w:rPr>
              <w:t>22a-</w:t>
            </w:r>
            <w:r w:rsidR="00FB73EA">
              <w:rPr>
                <w:snapToGrid w:val="0"/>
                <w:szCs w:val="20"/>
              </w:rPr>
              <w:t>134tt-10</w:t>
            </w:r>
            <w:r w:rsidRPr="009E4ACE">
              <w:rPr>
                <w:snapToGrid w:val="0"/>
                <w:szCs w:val="20"/>
              </w:rPr>
              <w:t>(c)(5)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215781614"/>
                <w:placeholder>
                  <w:docPart w:val="129F01DDF7CA44A3ADA7EA6188F817D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28026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5B5D3374" w14:textId="77777777" w:rsidR="00AD1ECE" w:rsidRPr="00AD1ECE" w:rsidRDefault="00AD1ECE" w:rsidP="00AD1ECE">
            <w:pPr>
              <w:spacing w:before="120" w:after="120"/>
              <w:rPr>
                <w:szCs w:val="20"/>
              </w:rPr>
            </w:pPr>
            <w:r w:rsidRPr="00AD1ECE">
              <w:rPr>
                <w:szCs w:val="20"/>
              </w:rPr>
              <w:t>C</w:t>
            </w:r>
            <w:r w:rsidR="00D56DB7" w:rsidRPr="00AD1ECE">
              <w:rPr>
                <w:szCs w:val="20"/>
              </w:rPr>
              <w:t>onstruction of a building at the Subject Area is prohibited</w:t>
            </w:r>
            <w:r w:rsidRPr="00AD1ECE">
              <w:rPr>
                <w:szCs w:val="20"/>
              </w:rPr>
              <w:t>; and</w:t>
            </w:r>
          </w:p>
          <w:p w14:paraId="1A2517C9" w14:textId="78BFC64F" w:rsidR="00D56DB7" w:rsidRPr="000D04CE" w:rsidRDefault="00A57BFF" w:rsidP="006473D2">
            <w:pPr>
              <w:pStyle w:val="Style3"/>
              <w:spacing w:after="120"/>
              <w:ind w:left="337" w:hanging="337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242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1144128447"/>
                <w:placeholder>
                  <w:docPart w:val="F097FF9EB22347CF8C92CA6C3F727B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 the entire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</w:p>
          <w:p w14:paraId="1C0E2901" w14:textId="77777777" w:rsidR="00D56DB7" w:rsidRPr="000D04CE" w:rsidRDefault="00D56DB7" w:rsidP="006473D2">
            <w:pPr>
              <w:pStyle w:val="Style3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0D04CE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  <w:p w14:paraId="6647BA91" w14:textId="745CBEA4" w:rsidR="00D56DB7" w:rsidRPr="00E5072D" w:rsidRDefault="00A57BFF" w:rsidP="006473D2">
            <w:pPr>
              <w:pStyle w:val="Style3"/>
              <w:spacing w:after="120"/>
              <w:ind w:left="337" w:hanging="337"/>
              <w:rPr>
                <w:b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827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2098772208"/>
                <w:placeholder>
                  <w:docPart w:val="A917A71C538D46D89A5CAFDFD637145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is/are a portion, or portions thereof the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  <w:r w:rsidR="00D56DB7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23C98AEB" w14:textId="77777777" w:rsidR="00D56DB7" w:rsidRDefault="00D56DB7" w:rsidP="006473D2">
      <w:pPr>
        <w:tabs>
          <w:tab w:val="left" w:pos="360"/>
        </w:tabs>
        <w:spacing w:before="120" w:after="120"/>
        <w:rPr>
          <w:b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6B25D1DA" w14:textId="77777777" w:rsidTr="00DB68E9">
        <w:trPr>
          <w:cantSplit/>
          <w:trHeight w:val="530"/>
          <w:jc w:val="center"/>
        </w:trPr>
        <w:tc>
          <w:tcPr>
            <w:tcW w:w="10085" w:type="dxa"/>
            <w:shd w:val="pct10" w:color="auto" w:fill="auto"/>
          </w:tcPr>
          <w:p w14:paraId="6A160E0C" w14:textId="24EA6F6D" w:rsidR="00D56DB7" w:rsidRPr="006226A7" w:rsidRDefault="00D56DB7" w:rsidP="00DB68E9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6473D2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6226A7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F068F7" w:rsidRPr="00E5072D" w14:paraId="0BA3F37A" w14:textId="77777777" w:rsidTr="00F068F7">
        <w:trPr>
          <w:cantSplit/>
          <w:trHeight w:val="530"/>
          <w:jc w:val="center"/>
        </w:trPr>
        <w:sdt>
          <w:sdtPr>
            <w:rPr>
              <w:rStyle w:val="Style14Char"/>
            </w:rPr>
            <w:id w:val="-1003663902"/>
            <w:placeholder>
              <w:docPart w:val="76473FBB57CE4D00964594EA5C8D79A5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381152D8" w14:textId="317AC06D" w:rsidR="00F068F7" w:rsidRDefault="00F068F7" w:rsidP="00DB68E9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F068F7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2B4D447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EF89D3C" w14:textId="0D9E6611" w:rsidR="00D56DB7" w:rsidRPr="0001264C" w:rsidRDefault="00D56DB7" w:rsidP="006226A7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6226A7">
              <w:rPr>
                <w:b/>
              </w:rPr>
              <w:t xml:space="preserve">th the </w:t>
            </w:r>
            <w:r w:rsidR="00FB73EA">
              <w:rPr>
                <w:b/>
              </w:rPr>
              <w:t>RBCR</w:t>
            </w:r>
            <w:r w:rsidR="006226A7">
              <w:rPr>
                <w:b/>
              </w:rPr>
              <w:t>s at the Subject Area</w:t>
            </w:r>
          </w:p>
        </w:tc>
      </w:tr>
      <w:tr w:rsidR="00D56DB7" w:rsidRPr="00406E02" w14:paraId="3A508EAE" w14:textId="77777777" w:rsidTr="00DB68E9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E40543A" w14:textId="77777777" w:rsidR="00D56DB7" w:rsidRPr="00786D5C" w:rsidRDefault="00D56DB7" w:rsidP="006226A7">
            <w:pPr>
              <w:spacing w:before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D5E4554" w14:textId="3B87B57C" w:rsidR="00D56DB7" w:rsidRPr="00D02060" w:rsidRDefault="00D56DB7" w:rsidP="00D02060">
            <w:pPr>
              <w:pStyle w:val="Style3"/>
              <w:spacing w:before="120" w:after="120"/>
              <w:rPr>
                <w:sz w:val="20"/>
              </w:rPr>
            </w:pPr>
            <w:r w:rsidRPr="00786D5C">
              <w:rPr>
                <w:sz w:val="20"/>
              </w:rPr>
              <w:t>If a building was</w:t>
            </w:r>
            <w:r>
              <w:rPr>
                <w:sz w:val="20"/>
              </w:rPr>
              <w:t xml:space="preserve"> </w:t>
            </w:r>
            <w:r w:rsidRPr="00D02060">
              <w:rPr>
                <w:sz w:val="20"/>
              </w:rPr>
              <w:t xml:space="preserve">constructed at the Subject Area, </w:t>
            </w:r>
            <w:r w:rsidR="00AD1ECE">
              <w:rPr>
                <w:sz w:val="20"/>
              </w:rPr>
              <w:t xml:space="preserve">or </w:t>
            </w:r>
            <w:r w:rsidR="00CC3FA0">
              <w:rPr>
                <w:sz w:val="20"/>
              </w:rPr>
              <w:t>existing</w:t>
            </w:r>
            <w:r w:rsidR="00AD1ECE">
              <w:rPr>
                <w:sz w:val="20"/>
              </w:rPr>
              <w:t xml:space="preserve"> at the subject area </w:t>
            </w:r>
            <w:r w:rsidRPr="00D02060">
              <w:rPr>
                <w:sz w:val="20"/>
              </w:rPr>
              <w:t xml:space="preserve">the volatilization of volatile organic substances from the polluted groundwater may pose an unacceptable risk to human health. </w:t>
            </w:r>
          </w:p>
          <w:p w14:paraId="6BA88058" w14:textId="03B5BE80" w:rsidR="00D56DB7" w:rsidRPr="00D72FB4" w:rsidRDefault="00D56DB7">
            <w:pPr>
              <w:pStyle w:val="Style3"/>
              <w:spacing w:after="120"/>
              <w:rPr>
                <w:szCs w:val="20"/>
              </w:rPr>
            </w:pPr>
            <w:r w:rsidRPr="00D02060">
              <w:rPr>
                <w:sz w:val="20"/>
              </w:rPr>
              <w:t xml:space="preserve">Such polluted groundwater does not pose an unacceptable risk to human health, provided that a building is not constructed </w:t>
            </w:r>
            <w:r w:rsidR="00AD1ECE">
              <w:rPr>
                <w:sz w:val="20"/>
              </w:rPr>
              <w:t xml:space="preserve">or existing </w:t>
            </w:r>
            <w:r w:rsidRPr="00D02060">
              <w:rPr>
                <w:sz w:val="20"/>
              </w:rPr>
              <w:t>at the Subject Area</w:t>
            </w:r>
            <w:r w:rsidR="00280267">
              <w:rPr>
                <w:sz w:val="20"/>
              </w:rPr>
              <w:t xml:space="preserve"> as required by the EUR</w:t>
            </w:r>
            <w:r w:rsidRPr="00D02060">
              <w:rPr>
                <w:sz w:val="20"/>
              </w:rPr>
              <w:t xml:space="preserve">. </w:t>
            </w:r>
          </w:p>
        </w:tc>
      </w:tr>
      <w:tr w:rsidR="00D56DB7" w:rsidRPr="00E5072D" w14:paraId="5BBDC8C1" w14:textId="77777777" w:rsidTr="00DB68E9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56701D4" w14:textId="5C91D06F" w:rsidR="00D56DB7" w:rsidRPr="0072461B" w:rsidRDefault="00D56DB7" w:rsidP="00735ACF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19ADBF30" w14:textId="77777777" w:rsidTr="00DB68E9">
        <w:trPr>
          <w:trHeight w:val="1664"/>
          <w:jc w:val="center"/>
        </w:trPr>
        <w:tc>
          <w:tcPr>
            <w:tcW w:w="10085" w:type="dxa"/>
            <w:shd w:val="clear" w:color="auto" w:fill="FFFFFF"/>
          </w:tcPr>
          <w:p w14:paraId="1ACB6A6F" w14:textId="377B9450" w:rsidR="00D56DB7" w:rsidRPr="00786D5C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FB73EA">
              <w:rPr>
                <w:rFonts w:cs="Arial"/>
                <w:spacing w:val="-2"/>
                <w:szCs w:val="20"/>
              </w:rPr>
              <w:t>RBCR</w:t>
            </w:r>
            <w:r w:rsidRPr="00786D5C">
              <w:rPr>
                <w:rFonts w:cs="Arial"/>
                <w:spacing w:val="-2"/>
                <w:szCs w:val="20"/>
              </w:rPr>
              <w:t>s because:</w:t>
            </w:r>
          </w:p>
          <w:p w14:paraId="1DD99498" w14:textId="686D51BA" w:rsidR="00D56DB7" w:rsidRDefault="00D56DB7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current</w:t>
            </w:r>
            <w:r w:rsidRPr="0058767D">
              <w:rPr>
                <w:rFonts w:cs="Arial"/>
                <w:spacing w:val="-2"/>
                <w:szCs w:val="20"/>
              </w:rPr>
              <w:t xml:space="preserve">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</w:t>
            </w:r>
            <w:r w:rsidR="00E539D9">
              <w:rPr>
                <w:rFonts w:cs="Arial"/>
                <w:spacing w:val="-2"/>
                <w:szCs w:val="20"/>
              </w:rPr>
              <w:t>e</w:t>
            </w:r>
            <w:r w:rsidRPr="0058767D">
              <w:rPr>
                <w:rFonts w:cs="Arial"/>
                <w:spacing w:val="-2"/>
                <w:szCs w:val="20"/>
              </w:rPr>
              <w:t xml:space="preserve"> </w:t>
            </w:r>
            <w:r w:rsidR="00280267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</w:t>
            </w:r>
          </w:p>
          <w:p w14:paraId="3A9EB48F" w14:textId="78A9951F" w:rsidR="00D56DB7" w:rsidRDefault="00E0790B" w:rsidP="00735ACF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 building is</w:t>
            </w:r>
            <w:r w:rsidR="00AD1ECE">
              <w:rPr>
                <w:rFonts w:cs="Arial"/>
                <w:spacing w:val="-2"/>
                <w:szCs w:val="20"/>
              </w:rPr>
              <w:t xml:space="preserve"> </w:t>
            </w:r>
            <w:r w:rsidR="00D56DB7">
              <w:rPr>
                <w:rFonts w:cs="Arial"/>
                <w:spacing w:val="-2"/>
                <w:szCs w:val="20"/>
              </w:rPr>
              <w:t>not present at the Subject Area; and</w:t>
            </w:r>
          </w:p>
          <w:p w14:paraId="09FBBDD1" w14:textId="77777777" w:rsidR="00D56DB7" w:rsidRPr="0072461B" w:rsidRDefault="00D56DB7" w:rsidP="00735ACF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Pr="00FB78C6">
              <w:rPr>
                <w:sz w:val="20"/>
              </w:rPr>
              <w:t xml:space="preserve">roundwater </w:t>
            </w:r>
            <w:r>
              <w:rPr>
                <w:sz w:val="20"/>
              </w:rPr>
              <w:t xml:space="preserve">at the parcel which </w:t>
            </w:r>
            <w:r w:rsidRPr="00FB78C6">
              <w:rPr>
                <w:sz w:val="20"/>
              </w:rPr>
              <w:t xml:space="preserve">contains substances at concentrations greater than the applicable volatilization criteria are within the limits of the Subject Area. </w:t>
            </w:r>
          </w:p>
        </w:tc>
      </w:tr>
    </w:tbl>
    <w:p w14:paraId="4FE98C88" w14:textId="573B7838" w:rsidR="00D56DB7" w:rsidRPr="00CF379B" w:rsidRDefault="00D56DB7" w:rsidP="00357C28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115F45F9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0F0C1E3A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1674218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77643">
    <w:abstractNumId w:val="37"/>
  </w:num>
  <w:num w:numId="2" w16cid:durableId="130054312">
    <w:abstractNumId w:val="23"/>
  </w:num>
  <w:num w:numId="3" w16cid:durableId="84034739">
    <w:abstractNumId w:val="34"/>
  </w:num>
  <w:num w:numId="4" w16cid:durableId="280840900">
    <w:abstractNumId w:val="6"/>
  </w:num>
  <w:num w:numId="5" w16cid:durableId="205915599">
    <w:abstractNumId w:val="15"/>
  </w:num>
  <w:num w:numId="6" w16cid:durableId="620579110">
    <w:abstractNumId w:val="48"/>
  </w:num>
  <w:num w:numId="7" w16cid:durableId="1133910527">
    <w:abstractNumId w:val="31"/>
  </w:num>
  <w:num w:numId="8" w16cid:durableId="959531324">
    <w:abstractNumId w:val="36"/>
  </w:num>
  <w:num w:numId="9" w16cid:durableId="828865376">
    <w:abstractNumId w:val="12"/>
  </w:num>
  <w:num w:numId="10" w16cid:durableId="2027823367">
    <w:abstractNumId w:val="41"/>
  </w:num>
  <w:num w:numId="11" w16cid:durableId="267009924">
    <w:abstractNumId w:val="21"/>
  </w:num>
  <w:num w:numId="12" w16cid:durableId="1138917268">
    <w:abstractNumId w:val="32"/>
  </w:num>
  <w:num w:numId="13" w16cid:durableId="1527448082">
    <w:abstractNumId w:val="8"/>
  </w:num>
  <w:num w:numId="14" w16cid:durableId="1648852449">
    <w:abstractNumId w:val="24"/>
  </w:num>
  <w:num w:numId="15" w16cid:durableId="762384272">
    <w:abstractNumId w:val="29"/>
  </w:num>
  <w:num w:numId="16" w16cid:durableId="234703017">
    <w:abstractNumId w:val="18"/>
  </w:num>
  <w:num w:numId="17" w16cid:durableId="396514224">
    <w:abstractNumId w:val="0"/>
  </w:num>
  <w:num w:numId="18" w16cid:durableId="1243759963">
    <w:abstractNumId w:val="20"/>
  </w:num>
  <w:num w:numId="19" w16cid:durableId="897058188">
    <w:abstractNumId w:val="43"/>
  </w:num>
  <w:num w:numId="20" w16cid:durableId="224027352">
    <w:abstractNumId w:val="26"/>
  </w:num>
  <w:num w:numId="21" w16cid:durableId="19792349">
    <w:abstractNumId w:val="39"/>
  </w:num>
  <w:num w:numId="22" w16cid:durableId="1927953870">
    <w:abstractNumId w:val="22"/>
  </w:num>
  <w:num w:numId="23" w16cid:durableId="1195312241">
    <w:abstractNumId w:val="3"/>
  </w:num>
  <w:num w:numId="24" w16cid:durableId="1786925646">
    <w:abstractNumId w:val="35"/>
  </w:num>
  <w:num w:numId="25" w16cid:durableId="511188282">
    <w:abstractNumId w:val="44"/>
  </w:num>
  <w:num w:numId="26" w16cid:durableId="992291641">
    <w:abstractNumId w:val="2"/>
  </w:num>
  <w:num w:numId="27" w16cid:durableId="1669095972">
    <w:abstractNumId w:val="28"/>
  </w:num>
  <w:num w:numId="28" w16cid:durableId="221335623">
    <w:abstractNumId w:val="13"/>
  </w:num>
  <w:num w:numId="29" w16cid:durableId="1554583241">
    <w:abstractNumId w:val="38"/>
  </w:num>
  <w:num w:numId="30" w16cid:durableId="874805113">
    <w:abstractNumId w:val="47"/>
  </w:num>
  <w:num w:numId="31" w16cid:durableId="1533490469">
    <w:abstractNumId w:val="10"/>
  </w:num>
  <w:num w:numId="32" w16cid:durableId="1138376690">
    <w:abstractNumId w:val="40"/>
  </w:num>
  <w:num w:numId="33" w16cid:durableId="1835336239">
    <w:abstractNumId w:val="45"/>
  </w:num>
  <w:num w:numId="34" w16cid:durableId="1338967202">
    <w:abstractNumId w:val="16"/>
  </w:num>
  <w:num w:numId="35" w16cid:durableId="2104649041">
    <w:abstractNumId w:val="27"/>
  </w:num>
  <w:num w:numId="36" w16cid:durableId="1327173532">
    <w:abstractNumId w:val="25"/>
  </w:num>
  <w:num w:numId="37" w16cid:durableId="1288388604">
    <w:abstractNumId w:val="9"/>
  </w:num>
  <w:num w:numId="38" w16cid:durableId="660431082">
    <w:abstractNumId w:val="42"/>
  </w:num>
  <w:num w:numId="39" w16cid:durableId="1388652904">
    <w:abstractNumId w:val="5"/>
  </w:num>
  <w:num w:numId="40" w16cid:durableId="39983918">
    <w:abstractNumId w:val="1"/>
  </w:num>
  <w:num w:numId="41" w16cid:durableId="1634215823">
    <w:abstractNumId w:val="33"/>
  </w:num>
  <w:num w:numId="42" w16cid:durableId="1394307109">
    <w:abstractNumId w:val="19"/>
  </w:num>
  <w:num w:numId="43" w16cid:durableId="942106762">
    <w:abstractNumId w:val="11"/>
  </w:num>
  <w:num w:numId="44" w16cid:durableId="1375882398">
    <w:abstractNumId w:val="17"/>
  </w:num>
  <w:num w:numId="45" w16cid:durableId="546069217">
    <w:abstractNumId w:val="46"/>
  </w:num>
  <w:num w:numId="46" w16cid:durableId="1226262968">
    <w:abstractNumId w:val="30"/>
  </w:num>
  <w:num w:numId="47" w16cid:durableId="351539049">
    <w:abstractNumId w:val="7"/>
  </w:num>
  <w:num w:numId="48" w16cid:durableId="1908959407">
    <w:abstractNumId w:val="4"/>
  </w:num>
  <w:num w:numId="49" w16cid:durableId="97486951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SaRbMflGa55e2OfbXY3j33cjctXMx1JeNKT6Mn4XjkR2qw/J8KhmuRUGWINB94FkEdDTDDixqKFgtLfiBP5vFQ==" w:salt="adVmpThyHWa3V1OCKZABp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6EEE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267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C28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4CC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42AA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165F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831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3DD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80E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B7E52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34D2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5A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BF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10"/>
    <w:rsid w:val="00AD0DFA"/>
    <w:rsid w:val="00AD0EDF"/>
    <w:rsid w:val="00AD13A8"/>
    <w:rsid w:val="00AD13E0"/>
    <w:rsid w:val="00AD1A39"/>
    <w:rsid w:val="00AD1ECE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6C6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1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3FA0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966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3E30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8E9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90B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39D9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8F7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2DB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3EA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9F01DDF7CA44A3ADA7EA6188F8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2DFD-B47C-45E6-BEA5-8E4AAB933C01}"/>
      </w:docPartPr>
      <w:docPartBody>
        <w:p w:rsidR="007B5210" w:rsidRDefault="006939F1" w:rsidP="006939F1">
          <w:pPr>
            <w:pStyle w:val="129F01DDF7CA44A3ADA7EA6188F817D3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097FF9EB22347CF8C92CA6C3F72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EF8A-5D88-4BE9-9523-7F4A6FD4195B}"/>
      </w:docPartPr>
      <w:docPartBody>
        <w:p w:rsidR="007B5210" w:rsidRDefault="006939F1" w:rsidP="006939F1">
          <w:pPr>
            <w:pStyle w:val="F097FF9EB22347CF8C92CA6C3F727B211"/>
          </w:pPr>
          <w:r w:rsidRPr="000D04CE">
            <w:rPr>
              <w:rFonts w:asciiTheme="majorHAnsi" w:hAnsiTheme="majorHAnsi" w:cstheme="majorHAnsi"/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917A71C538D46D89A5CAFDFD637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EB63-4A71-407D-92DC-24CCB432C43F}"/>
      </w:docPartPr>
      <w:docPartBody>
        <w:p w:rsidR="007B5210" w:rsidRDefault="006939F1" w:rsidP="006939F1">
          <w:pPr>
            <w:pStyle w:val="A917A71C538D46D89A5CAFDFD637145F1"/>
          </w:pPr>
          <w:r w:rsidRPr="000D04CE">
            <w:rPr>
              <w:rFonts w:asciiTheme="majorHAnsi" w:hAnsiTheme="majorHAnsi" w:cstheme="majorHAnsi"/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6473FBB57CE4D00964594EA5C8D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A4ED-40B7-4D5E-A36B-3500CAFE899B}"/>
      </w:docPartPr>
      <w:docPartBody>
        <w:p w:rsidR="0051152B" w:rsidRDefault="006939F1" w:rsidP="006939F1">
          <w:pPr>
            <w:pStyle w:val="76473FBB57CE4D00964594EA5C8D79A5"/>
          </w:pPr>
          <w:r w:rsidRPr="00F068F7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78"/>
    <w:rsid w:val="0048165F"/>
    <w:rsid w:val="0051152B"/>
    <w:rsid w:val="006939F1"/>
    <w:rsid w:val="007B5210"/>
    <w:rsid w:val="008A380E"/>
    <w:rsid w:val="00BD06C6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9F1"/>
    <w:rPr>
      <w:color w:val="808080"/>
    </w:rPr>
  </w:style>
  <w:style w:type="paragraph" w:customStyle="1" w:styleId="129F01DDF7CA44A3ADA7EA6188F817D31">
    <w:name w:val="129F01DDF7CA44A3ADA7EA6188F817D31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7FF9EB22347CF8C92CA6C3F727B211">
    <w:name w:val="F097FF9EB22347CF8C92CA6C3F727B21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917A71C538D46D89A5CAFDFD637145F1">
    <w:name w:val="A917A71C538D46D89A5CAFDFD637145F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6473FBB57CE4D00964594EA5C8D79A5">
    <w:name w:val="76473FBB57CE4D00964594EA5C8D79A5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339-2BF7-4FE9-93EF-6F32200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2026-03-05T20:32:00Z</dcterms:created>
  <dcterms:modified xsi:type="dcterms:W3CDTF">2026-03-05T20:32:00Z</dcterms:modified>
  <cp:contentStatus>Final</cp:contentStatus>
</cp:coreProperties>
</file>