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5831511" w:displacedByCustomXml="next"/>
    <w:bookmarkStart w:id="1" w:name="_Toc56022081" w:displacedByCustomXml="next"/>
    <w:bookmarkStart w:id="2" w:name="_Toc56029983" w:displacedByCustomXml="next"/>
    <w:bookmarkStart w:id="3" w:name="_Ref56676636" w:displacedByCustomXml="next"/>
    <w:bookmarkStart w:id="4" w:name="_Toc57102463" w:displacedByCustomXml="next"/>
    <w:bookmarkStart w:id="5" w:name="_Ref61358442" w:displacedByCustomXml="next"/>
    <w:bookmarkStart w:id="6" w:name="_Toc66711321" w:displacedByCustomXml="next"/>
    <w:bookmarkStart w:id="7" w:name="_Hlk136405302" w:displacedByCustomXml="next"/>
    <w:sdt>
      <w:sdtPr>
        <w:id w:val="55602409"/>
        <w:docPartObj>
          <w:docPartGallery w:val="Cover Pages"/>
          <w:docPartUnique/>
        </w:docPartObj>
      </w:sdtPr>
      <w:sdtEndPr>
        <w:rPr>
          <w:color w:val="272761"/>
          <w:sz w:val="32"/>
          <w:szCs w:val="32"/>
        </w:rPr>
      </w:sdtEndPr>
      <w:sdtContent>
        <w:p w14:paraId="3B6D345B" w14:textId="2AFA8EE0" w:rsidR="00A34B71" w:rsidRDefault="00F6243B" w:rsidP="00A34B71">
          <w:pPr>
            <w:rPr>
              <w:rFonts w:ascii="Tw Cen MT" w:hAnsi="Tw Cen MT" w:cs="Arial"/>
              <w:b/>
              <w:bCs/>
              <w:color w:val="272661"/>
              <w:sz w:val="28"/>
              <w:szCs w:val="24"/>
            </w:rPr>
            <w:sectPr w:rsidR="00A34B71" w:rsidSect="00EF1185">
              <w:headerReference w:type="default" r:id="rId8"/>
              <w:footerReference w:type="default" r:id="rId9"/>
              <w:pgSz w:w="12240" w:h="15840"/>
              <w:pgMar w:top="1080" w:right="720" w:bottom="1080" w:left="720" w:header="720" w:footer="720" w:gutter="0"/>
              <w:pgNumType w:fmt="lowerRoman" w:start="0"/>
              <w:cols w:space="720"/>
              <w:titlePg/>
              <w:docGrid w:linePitch="360"/>
            </w:sectPr>
          </w:pPr>
          <w:r>
            <w:rPr>
              <w:noProof/>
            </w:rPr>
            <w:drawing>
              <wp:inline distT="0" distB="0" distL="0" distR="0" wp14:anchorId="75397FFC" wp14:editId="39EFE327">
                <wp:extent cx="6838950" cy="3571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8950" cy="3571875"/>
                        </a:xfrm>
                        <a:prstGeom prst="rect">
                          <a:avLst/>
                        </a:prstGeom>
                      </pic:spPr>
                    </pic:pic>
                  </a:graphicData>
                </a:graphic>
              </wp:inline>
            </w:drawing>
          </w:r>
          <w:r w:rsidR="00A34B71" w:rsidRPr="00E97ADB">
            <w:rPr>
              <w:noProof/>
              <w:color w:val="FFFFFF" w:themeColor="background1"/>
            </w:rPr>
            <mc:AlternateContent>
              <mc:Choice Requires="wps">
                <w:drawing>
                  <wp:anchor distT="45720" distB="45720" distL="114300" distR="114300" simplePos="0" relativeHeight="251667456" behindDoc="0" locked="0" layoutInCell="1" allowOverlap="1" wp14:anchorId="0D984847" wp14:editId="70B8055E">
                    <wp:simplePos x="0" y="0"/>
                    <wp:positionH relativeFrom="page">
                      <wp:posOffset>457200</wp:posOffset>
                    </wp:positionH>
                    <wp:positionV relativeFrom="page">
                      <wp:posOffset>4572000</wp:posOffset>
                    </wp:positionV>
                    <wp:extent cx="6858000" cy="3502152"/>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02152"/>
                            </a:xfrm>
                            <a:prstGeom prst="rect">
                              <a:avLst/>
                            </a:prstGeom>
                            <a:noFill/>
                            <a:ln w="9525">
                              <a:noFill/>
                              <a:miter lim="800000"/>
                              <a:headEnd/>
                              <a:tailEnd/>
                            </a:ln>
                          </wps:spPr>
                          <wps:txbx>
                            <w:txbxContent>
                              <w:p w14:paraId="1BEF1956" w14:textId="7E05C09C" w:rsidR="009738FF" w:rsidRPr="00597446" w:rsidRDefault="00D035EC" w:rsidP="00937680">
                                <w:pPr>
                                  <w:jc w:val="center"/>
                                  <w:rPr>
                                    <w:rFonts w:ascii="Public Sans" w:eastAsia="Times New Roman" w:hAnsi="Public Sans" w:cs="Times New Roman"/>
                                    <w:b/>
                                    <w:sz w:val="40"/>
                                    <w:szCs w:val="40"/>
                                    <w:lang w:bidi="en-US"/>
                                  </w:rPr>
                                </w:pPr>
                                <w:sdt>
                                  <w:sdtPr>
                                    <w:rPr>
                                      <w:rFonts w:ascii="Public Sans Thin ExtraBold" w:hAnsi="Public Sans Thin ExtraBold"/>
                                      <w:color w:val="000000" w:themeColor="text1"/>
                                      <w:sz w:val="72"/>
                                      <w:szCs w:val="72"/>
                                    </w:rPr>
                                    <w:alias w:val="Title"/>
                                    <w:tag w:val=""/>
                                    <w:id w:val="-2087683373"/>
                                    <w:placeholder>
                                      <w:docPart w:val="D7D1B7407DA7466FACB90326A5119E3D"/>
                                    </w:placeholder>
                                    <w:dataBinding w:prefixMappings="xmlns:ns0='http://purl.org/dc/elements/1.1/' xmlns:ns1='http://schemas.openxmlformats.org/package/2006/metadata/core-properties' " w:xpath="/ns1:coreProperties[1]/ns0:title[1]" w:storeItemID="{6C3C8BC8-F283-45AE-878A-BAB7291924A1}"/>
                                    <w:text/>
                                  </w:sdtPr>
                                  <w:sdtEndPr/>
                                  <w:sdtContent>
                                    <w:r w:rsidR="009738FF" w:rsidRPr="00937680">
                                      <w:rPr>
                                        <w:rFonts w:ascii="Public Sans Thin ExtraBold" w:hAnsi="Public Sans Thin ExtraBold"/>
                                        <w:color w:val="000000" w:themeColor="text1"/>
                                        <w:sz w:val="72"/>
                                        <w:szCs w:val="72"/>
                                      </w:rPr>
                                      <w:t>Ambient Impact Analysis Guideline A Guideline for Performing Stationary Source Air Quality Modeling in Connecticut</w:t>
                                    </w:r>
                                  </w:sdtContent>
                                </w:sdt>
                              </w:p>
                              <w:sdt>
                                <w:sdtPr>
                                  <w:rPr>
                                    <w:rFonts w:ascii="Public Sans Thin ExtraBold" w:hAnsi="Public Sans Thin ExtraBold"/>
                                    <w:color w:val="000000" w:themeColor="text1"/>
                                    <w:sz w:val="48"/>
                                    <w:szCs w:val="48"/>
                                  </w:rPr>
                                  <w:alias w:val="Subtitle"/>
                                  <w:tag w:val=""/>
                                  <w:id w:val="-776869515"/>
                                  <w:dataBinding w:prefixMappings="xmlns:ns0='http://purl.org/dc/elements/1.1/' xmlns:ns1='http://schemas.openxmlformats.org/package/2006/metadata/core-properties' " w:xpath="/ns1:coreProperties[1]/ns0:subject[1]" w:storeItemID="{6C3C8BC8-F283-45AE-878A-BAB7291924A1}"/>
                                  <w:text/>
                                </w:sdtPr>
                                <w:sdtEndPr/>
                                <w:sdtContent>
                                  <w:p w14:paraId="256127C6" w14:textId="142E7C32" w:rsidR="009738FF" w:rsidRPr="00F6243B" w:rsidRDefault="009738FF" w:rsidP="00A34B71">
                                    <w:pPr>
                                      <w:jc w:val="center"/>
                                      <w:rPr>
                                        <w:rFonts w:ascii="Public Sans Thin ExtraBold" w:hAnsi="Public Sans Thin ExtraBold"/>
                                        <w:color w:val="000000" w:themeColor="text1"/>
                                        <w:sz w:val="48"/>
                                        <w:szCs w:val="48"/>
                                      </w:rPr>
                                    </w:pPr>
                                    <w:r>
                                      <w:rPr>
                                        <w:rFonts w:ascii="Public Sans Thin ExtraBold" w:hAnsi="Public Sans Thin ExtraBold"/>
                                        <w:color w:val="000000" w:themeColor="text1"/>
                                        <w:sz w:val="48"/>
                                        <w:szCs w:val="48"/>
                                      </w:rPr>
                                      <w:t>September 2023</w:t>
                                    </w:r>
                                  </w:p>
                                </w:sdtContent>
                              </w:sdt>
                              <w:p w14:paraId="0543F1E8" w14:textId="77777777" w:rsidR="009738FF" w:rsidRPr="00F6243B" w:rsidRDefault="009738FF" w:rsidP="00A34B71">
                                <w:pPr>
                                  <w:jc w:val="center"/>
                                  <w:rPr>
                                    <w:rFonts w:ascii="Public Sans Thin ExtraBold" w:hAnsi="Public Sans Thin ExtraBold"/>
                                    <w:color w:val="000000" w:themeColor="text1"/>
                                    <w:sz w:val="48"/>
                                    <w:szCs w:val="48"/>
                                  </w:rPr>
                                </w:pPr>
                              </w:p>
                              <w:p w14:paraId="63755F3A" w14:textId="72A54DDE" w:rsidR="009738FF" w:rsidRPr="00F6243B" w:rsidRDefault="009738FF" w:rsidP="00A34B71">
                                <w:pPr>
                                  <w:jc w:val="center"/>
                                  <w:rPr>
                                    <w:rFonts w:ascii="Public Sans Thin ExtraBold" w:hAnsi="Public Sans Thin ExtraBold"/>
                                    <w:color w:val="000000" w:themeColor="text1"/>
                                    <w:sz w:val="48"/>
                                    <w:szCs w:val="48"/>
                                  </w:rPr>
                                </w:pPr>
                                <w:r w:rsidRPr="00F6243B">
                                  <w:rPr>
                                    <w:rFonts w:ascii="Public Sans Thin ExtraBold" w:hAnsi="Public Sans Thin ExtraBold"/>
                                    <w:color w:val="000000" w:themeColor="text1"/>
                                    <w:sz w:val="48"/>
                                    <w:szCs w:val="48"/>
                                  </w:rPr>
                                  <w:t>State of Connecticut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84847" id="_x0000_t202" coordsize="21600,21600" o:spt="202" path="m,l,21600r21600,l21600,xe">
                    <v:stroke joinstyle="miter"/>
                    <v:path gradientshapeok="t" o:connecttype="rect"/>
                  </v:shapetype>
                  <v:shape id="Text Box 2" o:spid="_x0000_s1026" type="#_x0000_t202" style="position:absolute;left:0;text-align:left;margin-left:36pt;margin-top:5in;width:540pt;height:275.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" filled="f" stroked="f">
                    <v:textbox>
                      <w:txbxContent>
                        <w:p w14:paraId="1BEF1956" w14:textId="7E05C09C" w:rsidR="009738FF" w:rsidRPr="00597446" w:rsidRDefault="00D035EC" w:rsidP="00937680">
                          <w:pPr>
                            <w:jc w:val="center"/>
                            <w:rPr>
                              <w:rFonts w:ascii="Public Sans" w:eastAsia="Times New Roman" w:hAnsi="Public Sans" w:cs="Times New Roman"/>
                              <w:b/>
                              <w:sz w:val="40"/>
                              <w:szCs w:val="40"/>
                              <w:lang w:bidi="en-US"/>
                            </w:rPr>
                          </w:pPr>
                          <w:sdt>
                            <w:sdtPr>
                              <w:rPr>
                                <w:rFonts w:ascii="Public Sans Thin ExtraBold" w:hAnsi="Public Sans Thin ExtraBold"/>
                                <w:color w:val="000000" w:themeColor="text1"/>
                                <w:sz w:val="72"/>
                                <w:szCs w:val="72"/>
                              </w:rPr>
                              <w:alias w:val="Title"/>
                              <w:tag w:val=""/>
                              <w:id w:val="-2087683373"/>
                              <w:placeholder>
                                <w:docPart w:val="D7D1B7407DA7466FACB90326A5119E3D"/>
                              </w:placeholder>
                              <w:dataBinding w:prefixMappings="xmlns:ns0='http://purl.org/dc/elements/1.1/' xmlns:ns1='http://schemas.openxmlformats.org/package/2006/metadata/core-properties' " w:xpath="/ns1:coreProperties[1]/ns0:title[1]" w:storeItemID="{6C3C8BC8-F283-45AE-878A-BAB7291924A1}"/>
                              <w:text/>
                            </w:sdtPr>
                            <w:sdtEndPr/>
                            <w:sdtContent>
                              <w:r w:rsidR="009738FF" w:rsidRPr="00937680">
                                <w:rPr>
                                  <w:rFonts w:ascii="Public Sans Thin ExtraBold" w:hAnsi="Public Sans Thin ExtraBold"/>
                                  <w:color w:val="000000" w:themeColor="text1"/>
                                  <w:sz w:val="72"/>
                                  <w:szCs w:val="72"/>
                                </w:rPr>
                                <w:t>Ambient Impact Analysis Guideline A Guideline for Performing Stationary Source Air Quality Modeling in Connecticut</w:t>
                              </w:r>
                            </w:sdtContent>
                          </w:sdt>
                        </w:p>
                        <w:sdt>
                          <w:sdtPr>
                            <w:rPr>
                              <w:rFonts w:ascii="Public Sans Thin ExtraBold" w:hAnsi="Public Sans Thin ExtraBold"/>
                              <w:color w:val="000000" w:themeColor="text1"/>
                              <w:sz w:val="48"/>
                              <w:szCs w:val="48"/>
                            </w:rPr>
                            <w:alias w:val="Subtitle"/>
                            <w:tag w:val=""/>
                            <w:id w:val="-776869515"/>
                            <w:dataBinding w:prefixMappings="xmlns:ns0='http://purl.org/dc/elements/1.1/' xmlns:ns1='http://schemas.openxmlformats.org/package/2006/metadata/core-properties' " w:xpath="/ns1:coreProperties[1]/ns0:subject[1]" w:storeItemID="{6C3C8BC8-F283-45AE-878A-BAB7291924A1}"/>
                            <w:text/>
                          </w:sdtPr>
                          <w:sdtEndPr/>
                          <w:sdtContent>
                            <w:p w14:paraId="256127C6" w14:textId="142E7C32" w:rsidR="009738FF" w:rsidRPr="00F6243B" w:rsidRDefault="009738FF" w:rsidP="00A34B71">
                              <w:pPr>
                                <w:jc w:val="center"/>
                                <w:rPr>
                                  <w:rFonts w:ascii="Public Sans Thin ExtraBold" w:hAnsi="Public Sans Thin ExtraBold"/>
                                  <w:color w:val="000000" w:themeColor="text1"/>
                                  <w:sz w:val="48"/>
                                  <w:szCs w:val="48"/>
                                </w:rPr>
                              </w:pPr>
                              <w:r>
                                <w:rPr>
                                  <w:rFonts w:ascii="Public Sans Thin ExtraBold" w:hAnsi="Public Sans Thin ExtraBold"/>
                                  <w:color w:val="000000" w:themeColor="text1"/>
                                  <w:sz w:val="48"/>
                                  <w:szCs w:val="48"/>
                                </w:rPr>
                                <w:t>September 2023</w:t>
                              </w:r>
                            </w:p>
                          </w:sdtContent>
                        </w:sdt>
                        <w:p w14:paraId="0543F1E8" w14:textId="77777777" w:rsidR="009738FF" w:rsidRPr="00F6243B" w:rsidRDefault="009738FF" w:rsidP="00A34B71">
                          <w:pPr>
                            <w:jc w:val="center"/>
                            <w:rPr>
                              <w:rFonts w:ascii="Public Sans Thin ExtraBold" w:hAnsi="Public Sans Thin ExtraBold"/>
                              <w:color w:val="000000" w:themeColor="text1"/>
                              <w:sz w:val="48"/>
                              <w:szCs w:val="48"/>
                            </w:rPr>
                          </w:pPr>
                        </w:p>
                        <w:p w14:paraId="63755F3A" w14:textId="72A54DDE" w:rsidR="009738FF" w:rsidRPr="00F6243B" w:rsidRDefault="009738FF" w:rsidP="00A34B71">
                          <w:pPr>
                            <w:jc w:val="center"/>
                            <w:rPr>
                              <w:rFonts w:ascii="Public Sans Thin ExtraBold" w:hAnsi="Public Sans Thin ExtraBold"/>
                              <w:color w:val="000000" w:themeColor="text1"/>
                              <w:sz w:val="48"/>
                              <w:szCs w:val="48"/>
                            </w:rPr>
                          </w:pPr>
                          <w:r w:rsidRPr="00F6243B">
                            <w:rPr>
                              <w:rFonts w:ascii="Public Sans Thin ExtraBold" w:hAnsi="Public Sans Thin ExtraBold"/>
                              <w:color w:val="000000" w:themeColor="text1"/>
                              <w:sz w:val="48"/>
                              <w:szCs w:val="48"/>
                            </w:rPr>
                            <w:t>State of Connecticut</w:t>
                          </w:r>
                        </w:p>
                      </w:txbxContent>
                    </v:textbox>
                    <w10:wrap type="square" anchorx="page" anchory="page"/>
                  </v:shape>
                </w:pict>
              </mc:Fallback>
            </mc:AlternateContent>
          </w:r>
          <w:r w:rsidR="00A34B71" w:rsidRPr="005C6408">
            <w:rPr>
              <w:noProof/>
              <w:color w:val="00B0F0"/>
            </w:rPr>
            <mc:AlternateContent>
              <mc:Choice Requires="wps">
                <w:drawing>
                  <wp:anchor distT="0" distB="0" distL="114300" distR="114300" simplePos="0" relativeHeight="251664384" behindDoc="0" locked="1" layoutInCell="1" allowOverlap="1" wp14:anchorId="638376E1" wp14:editId="08313DAB">
                    <wp:simplePos x="0" y="0"/>
                    <wp:positionH relativeFrom="page">
                      <wp:align>left</wp:align>
                    </wp:positionH>
                    <wp:positionV relativeFrom="page">
                      <wp:posOffset>8302625</wp:posOffset>
                    </wp:positionV>
                    <wp:extent cx="7772400" cy="1069848"/>
                    <wp:effectExtent l="0" t="0" r="0" b="0"/>
                    <wp:wrapNone/>
                    <wp:docPr id="3" name="Rectangle 3"/>
                    <wp:cNvGraphicFramePr/>
                    <a:graphic xmlns:a="http://schemas.openxmlformats.org/drawingml/2006/main">
                      <a:graphicData uri="http://schemas.microsoft.com/office/word/2010/wordprocessingShape">
                        <wps:wsp>
                          <wps:cNvSpPr/>
                          <wps:spPr>
                            <a:xfrm>
                              <a:off x="0" y="0"/>
                              <a:ext cx="7772400" cy="1069848"/>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3D536" id="Rectangle 3" o:spid="_x0000_s1026" style="position:absolute;margin-left:0;margin-top:653.75pt;width:612pt;height:84.2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" fillcolor="#00b0f0" stroked="f" strokeweight="1pt">
                    <w10:wrap anchorx="page" anchory="page"/>
                    <w10:anchorlock/>
                  </v:rect>
                </w:pict>
              </mc:Fallback>
            </mc:AlternateContent>
          </w:r>
          <w:r w:rsidR="00A34B71">
            <w:t xml:space="preserve">   </w:t>
          </w:r>
        </w:p>
      </w:sdtContent>
    </w:sdt>
    <w:p w14:paraId="677E47F2" w14:textId="77777777" w:rsidR="00A34B71" w:rsidRPr="005C6408" w:rsidRDefault="00A34B71" w:rsidP="00A34B71">
      <w:pPr>
        <w:jc w:val="left"/>
        <w:rPr>
          <w:rFonts w:ascii="Public Sans Thin ExtraBold" w:hAnsi="Public Sans Thin ExtraBold"/>
          <w:color w:val="272661"/>
          <w:sz w:val="24"/>
          <w:szCs w:val="32"/>
        </w:rPr>
      </w:pPr>
      <w:r w:rsidRPr="005C6408">
        <w:rPr>
          <w:rFonts w:ascii="Public Sans Thin ExtraBold" w:hAnsi="Public Sans Thin ExtraBold"/>
          <w:color w:val="272661"/>
          <w:sz w:val="24"/>
          <w:szCs w:val="32"/>
        </w:rPr>
        <w:lastRenderedPageBreak/>
        <w:t>Table of Contents</w:t>
      </w:r>
    </w:p>
    <w:p w14:paraId="5D0D0808" w14:textId="00D68A7A" w:rsidR="00253AC2" w:rsidRDefault="00A34B71">
      <w:pPr>
        <w:pStyle w:val="TOC1"/>
        <w:rPr>
          <w:rFonts w:eastAsiaTheme="minorEastAsia"/>
          <w:noProof/>
        </w:rPr>
      </w:pPr>
      <w:r w:rsidRPr="005C6408">
        <w:rPr>
          <w:sz w:val="20"/>
        </w:rPr>
        <w:fldChar w:fldCharType="begin"/>
      </w:r>
      <w:r w:rsidRPr="005C6408">
        <w:rPr>
          <w:sz w:val="20"/>
        </w:rPr>
        <w:instrText xml:space="preserve"> TOC \o "1-3" \h \z \u \t "Heading 6,1,Heading 7,2" </w:instrText>
      </w:r>
      <w:r w:rsidRPr="005C6408">
        <w:rPr>
          <w:sz w:val="20"/>
        </w:rPr>
        <w:fldChar w:fldCharType="separate"/>
      </w:r>
      <w:hyperlink w:anchor="_Toc147226869" w:history="1">
        <w:r w:rsidR="00253AC2" w:rsidRPr="005F703A">
          <w:rPr>
            <w:rStyle w:val="Hyperlink"/>
            <w:noProof/>
            <w14:scene3d>
              <w14:camera w14:prst="orthographicFront"/>
              <w14:lightRig w14:rig="threePt" w14:dir="t">
                <w14:rot w14:lat="0" w14:lon="0" w14:rev="0"/>
              </w14:lightRig>
            </w14:scene3d>
          </w:rPr>
          <w:t>Section 1</w:t>
        </w:r>
        <w:r w:rsidR="00253AC2">
          <w:rPr>
            <w:rFonts w:eastAsiaTheme="minorEastAsia"/>
            <w:noProof/>
          </w:rPr>
          <w:tab/>
        </w:r>
        <w:r w:rsidR="00253AC2" w:rsidRPr="005F703A">
          <w:rPr>
            <w:rStyle w:val="Hyperlink"/>
            <w:noProof/>
          </w:rPr>
          <w:t>Introduction</w:t>
        </w:r>
        <w:r w:rsidR="00253AC2">
          <w:rPr>
            <w:noProof/>
            <w:webHidden/>
          </w:rPr>
          <w:tab/>
        </w:r>
        <w:r w:rsidR="00253AC2">
          <w:rPr>
            <w:noProof/>
            <w:webHidden/>
          </w:rPr>
          <w:fldChar w:fldCharType="begin"/>
        </w:r>
        <w:r w:rsidR="00253AC2">
          <w:rPr>
            <w:noProof/>
            <w:webHidden/>
          </w:rPr>
          <w:instrText xml:space="preserve"> PAGEREF _Toc147226869 \h </w:instrText>
        </w:r>
        <w:r w:rsidR="00253AC2">
          <w:rPr>
            <w:noProof/>
            <w:webHidden/>
          </w:rPr>
        </w:r>
        <w:r w:rsidR="00253AC2">
          <w:rPr>
            <w:noProof/>
            <w:webHidden/>
          </w:rPr>
          <w:fldChar w:fldCharType="separate"/>
        </w:r>
        <w:r w:rsidR="00253AC2">
          <w:rPr>
            <w:noProof/>
            <w:webHidden/>
          </w:rPr>
          <w:t>3</w:t>
        </w:r>
        <w:r w:rsidR="00253AC2">
          <w:rPr>
            <w:noProof/>
            <w:webHidden/>
          </w:rPr>
          <w:fldChar w:fldCharType="end"/>
        </w:r>
      </w:hyperlink>
    </w:p>
    <w:p w14:paraId="57F9FCD6" w14:textId="576B892C" w:rsidR="00253AC2" w:rsidRDefault="00253AC2">
      <w:pPr>
        <w:pStyle w:val="TOC2"/>
        <w:tabs>
          <w:tab w:val="left" w:pos="880"/>
          <w:tab w:val="right" w:leader="dot" w:pos="10790"/>
        </w:tabs>
        <w:rPr>
          <w:rFonts w:eastAsiaTheme="minorEastAsia"/>
          <w:noProof/>
        </w:rPr>
      </w:pPr>
      <w:hyperlink w:anchor="_Toc147226870" w:history="1">
        <w:r w:rsidRPr="005F703A">
          <w:rPr>
            <w:rStyle w:val="Hyperlink"/>
            <w:noProof/>
            <w14:scene3d>
              <w14:camera w14:prst="orthographicFront"/>
              <w14:lightRig w14:rig="threePt" w14:dir="t">
                <w14:rot w14:lat="0" w14:lon="0" w14:rev="0"/>
              </w14:lightRig>
            </w14:scene3d>
          </w:rPr>
          <w:t>1.0</w:t>
        </w:r>
        <w:r>
          <w:rPr>
            <w:rFonts w:eastAsiaTheme="minorEastAsia"/>
            <w:noProof/>
          </w:rPr>
          <w:tab/>
        </w:r>
        <w:r w:rsidRPr="005F703A">
          <w:rPr>
            <w:rStyle w:val="Hyperlink"/>
            <w:noProof/>
          </w:rPr>
          <w:t>Background</w:t>
        </w:r>
        <w:r>
          <w:rPr>
            <w:noProof/>
            <w:webHidden/>
          </w:rPr>
          <w:tab/>
        </w:r>
        <w:r>
          <w:rPr>
            <w:noProof/>
            <w:webHidden/>
          </w:rPr>
          <w:fldChar w:fldCharType="begin"/>
        </w:r>
        <w:r>
          <w:rPr>
            <w:noProof/>
            <w:webHidden/>
          </w:rPr>
          <w:instrText xml:space="preserve"> PAGEREF _Toc147226870 \h </w:instrText>
        </w:r>
        <w:r>
          <w:rPr>
            <w:noProof/>
            <w:webHidden/>
          </w:rPr>
        </w:r>
        <w:r>
          <w:rPr>
            <w:noProof/>
            <w:webHidden/>
          </w:rPr>
          <w:fldChar w:fldCharType="separate"/>
        </w:r>
        <w:r>
          <w:rPr>
            <w:noProof/>
            <w:webHidden/>
          </w:rPr>
          <w:t>3</w:t>
        </w:r>
        <w:r>
          <w:rPr>
            <w:noProof/>
            <w:webHidden/>
          </w:rPr>
          <w:fldChar w:fldCharType="end"/>
        </w:r>
      </w:hyperlink>
    </w:p>
    <w:p w14:paraId="2C658718" w14:textId="5498E67C" w:rsidR="00253AC2" w:rsidRDefault="00253AC2">
      <w:pPr>
        <w:pStyle w:val="TOC2"/>
        <w:tabs>
          <w:tab w:val="left" w:pos="880"/>
          <w:tab w:val="right" w:leader="dot" w:pos="10790"/>
        </w:tabs>
        <w:rPr>
          <w:rFonts w:eastAsiaTheme="minorEastAsia"/>
          <w:noProof/>
        </w:rPr>
      </w:pPr>
      <w:hyperlink w:anchor="_Toc147226871" w:history="1">
        <w:r w:rsidRPr="005F703A">
          <w:rPr>
            <w:rStyle w:val="Hyperlink"/>
            <w:noProof/>
            <w14:scene3d>
              <w14:camera w14:prst="orthographicFront"/>
              <w14:lightRig w14:rig="threePt" w14:dir="t">
                <w14:rot w14:lat="0" w14:lon="0" w14:rev="0"/>
              </w14:lightRig>
            </w14:scene3d>
          </w:rPr>
          <w:t>1.1</w:t>
        </w:r>
        <w:r>
          <w:rPr>
            <w:rFonts w:eastAsiaTheme="minorEastAsia"/>
            <w:noProof/>
          </w:rPr>
          <w:tab/>
        </w:r>
        <w:r w:rsidRPr="005F703A">
          <w:rPr>
            <w:rStyle w:val="Hyperlink"/>
            <w:noProof/>
          </w:rPr>
          <w:t>Web-Based Modeling Guidance</w:t>
        </w:r>
        <w:r>
          <w:rPr>
            <w:noProof/>
            <w:webHidden/>
          </w:rPr>
          <w:tab/>
        </w:r>
        <w:r>
          <w:rPr>
            <w:noProof/>
            <w:webHidden/>
          </w:rPr>
          <w:fldChar w:fldCharType="begin"/>
        </w:r>
        <w:r>
          <w:rPr>
            <w:noProof/>
            <w:webHidden/>
          </w:rPr>
          <w:instrText xml:space="preserve"> PAGEREF _Toc147226871 \h </w:instrText>
        </w:r>
        <w:r>
          <w:rPr>
            <w:noProof/>
            <w:webHidden/>
          </w:rPr>
        </w:r>
        <w:r>
          <w:rPr>
            <w:noProof/>
            <w:webHidden/>
          </w:rPr>
          <w:fldChar w:fldCharType="separate"/>
        </w:r>
        <w:r>
          <w:rPr>
            <w:noProof/>
            <w:webHidden/>
          </w:rPr>
          <w:t>3</w:t>
        </w:r>
        <w:r>
          <w:rPr>
            <w:noProof/>
            <w:webHidden/>
          </w:rPr>
          <w:fldChar w:fldCharType="end"/>
        </w:r>
      </w:hyperlink>
    </w:p>
    <w:p w14:paraId="4DFC6608" w14:textId="5A7E6FBF" w:rsidR="00253AC2" w:rsidRDefault="00253AC2">
      <w:pPr>
        <w:pStyle w:val="TOC2"/>
        <w:tabs>
          <w:tab w:val="left" w:pos="880"/>
          <w:tab w:val="right" w:leader="dot" w:pos="10790"/>
        </w:tabs>
        <w:rPr>
          <w:rFonts w:eastAsiaTheme="minorEastAsia"/>
          <w:noProof/>
        </w:rPr>
      </w:pPr>
      <w:hyperlink w:anchor="_Toc147226872" w:history="1">
        <w:r w:rsidRPr="005F703A">
          <w:rPr>
            <w:rStyle w:val="Hyperlink"/>
            <w:noProof/>
            <w14:scene3d>
              <w14:camera w14:prst="orthographicFront"/>
              <w14:lightRig w14:rig="threePt" w14:dir="t">
                <w14:rot w14:lat="0" w14:lon="0" w14:rev="0"/>
              </w14:lightRig>
            </w14:scene3d>
          </w:rPr>
          <w:t>1.2</w:t>
        </w:r>
        <w:r>
          <w:rPr>
            <w:rFonts w:eastAsiaTheme="minorEastAsia"/>
            <w:noProof/>
          </w:rPr>
          <w:tab/>
        </w:r>
        <w:r w:rsidRPr="005F703A">
          <w:rPr>
            <w:rStyle w:val="Hyperlink"/>
            <w:noProof/>
          </w:rPr>
          <w:t>Summary/Overview</w:t>
        </w:r>
        <w:r>
          <w:rPr>
            <w:noProof/>
            <w:webHidden/>
          </w:rPr>
          <w:tab/>
        </w:r>
        <w:r>
          <w:rPr>
            <w:noProof/>
            <w:webHidden/>
          </w:rPr>
          <w:fldChar w:fldCharType="begin"/>
        </w:r>
        <w:r>
          <w:rPr>
            <w:noProof/>
            <w:webHidden/>
          </w:rPr>
          <w:instrText xml:space="preserve"> PAGEREF _Toc147226872 \h </w:instrText>
        </w:r>
        <w:r>
          <w:rPr>
            <w:noProof/>
            <w:webHidden/>
          </w:rPr>
        </w:r>
        <w:r>
          <w:rPr>
            <w:noProof/>
            <w:webHidden/>
          </w:rPr>
          <w:fldChar w:fldCharType="separate"/>
        </w:r>
        <w:r>
          <w:rPr>
            <w:noProof/>
            <w:webHidden/>
          </w:rPr>
          <w:t>3</w:t>
        </w:r>
        <w:r>
          <w:rPr>
            <w:noProof/>
            <w:webHidden/>
          </w:rPr>
          <w:fldChar w:fldCharType="end"/>
        </w:r>
      </w:hyperlink>
    </w:p>
    <w:p w14:paraId="66E3113A" w14:textId="01204F97" w:rsidR="00253AC2" w:rsidRDefault="00253AC2">
      <w:pPr>
        <w:pStyle w:val="TOC1"/>
        <w:rPr>
          <w:rFonts w:eastAsiaTheme="minorEastAsia"/>
          <w:noProof/>
        </w:rPr>
      </w:pPr>
      <w:hyperlink w:anchor="_Toc147226873" w:history="1">
        <w:r w:rsidRPr="005F703A">
          <w:rPr>
            <w:rStyle w:val="Hyperlink"/>
            <w:rFonts w:eastAsia="Tw Cen MT"/>
            <w:noProof/>
            <w14:scene3d>
              <w14:camera w14:prst="orthographicFront"/>
              <w14:lightRig w14:rig="threePt" w14:dir="t">
                <w14:rot w14:lat="0" w14:lon="0" w14:rev="0"/>
              </w14:lightRig>
            </w14:scene3d>
          </w:rPr>
          <w:t>Section 2</w:t>
        </w:r>
        <w:r>
          <w:rPr>
            <w:rFonts w:eastAsiaTheme="minorEastAsia"/>
            <w:noProof/>
          </w:rPr>
          <w:tab/>
        </w:r>
        <w:r w:rsidRPr="005F703A">
          <w:rPr>
            <w:rStyle w:val="Hyperlink"/>
            <w:rFonts w:eastAsia="Tw Cen MT"/>
            <w:noProof/>
          </w:rPr>
          <w:t>Model Applicability</w:t>
        </w:r>
        <w:r>
          <w:rPr>
            <w:noProof/>
            <w:webHidden/>
          </w:rPr>
          <w:tab/>
        </w:r>
        <w:r>
          <w:rPr>
            <w:noProof/>
            <w:webHidden/>
          </w:rPr>
          <w:fldChar w:fldCharType="begin"/>
        </w:r>
        <w:r>
          <w:rPr>
            <w:noProof/>
            <w:webHidden/>
          </w:rPr>
          <w:instrText xml:space="preserve"> PAGEREF _Toc147226873 \h </w:instrText>
        </w:r>
        <w:r>
          <w:rPr>
            <w:noProof/>
            <w:webHidden/>
          </w:rPr>
        </w:r>
        <w:r>
          <w:rPr>
            <w:noProof/>
            <w:webHidden/>
          </w:rPr>
          <w:fldChar w:fldCharType="separate"/>
        </w:r>
        <w:r>
          <w:rPr>
            <w:noProof/>
            <w:webHidden/>
          </w:rPr>
          <w:t>4</w:t>
        </w:r>
        <w:r>
          <w:rPr>
            <w:noProof/>
            <w:webHidden/>
          </w:rPr>
          <w:fldChar w:fldCharType="end"/>
        </w:r>
      </w:hyperlink>
    </w:p>
    <w:p w14:paraId="3018D37C" w14:textId="4683D1CE" w:rsidR="00253AC2" w:rsidRDefault="00253AC2">
      <w:pPr>
        <w:pStyle w:val="TOC1"/>
        <w:rPr>
          <w:rFonts w:eastAsiaTheme="minorEastAsia"/>
          <w:noProof/>
        </w:rPr>
      </w:pPr>
      <w:hyperlink w:anchor="_Toc147226874" w:history="1">
        <w:r w:rsidRPr="005F703A">
          <w:rPr>
            <w:rStyle w:val="Hyperlink"/>
            <w:rFonts w:eastAsia="Tw Cen MT"/>
            <w:noProof/>
            <w14:scene3d>
              <w14:camera w14:prst="orthographicFront"/>
              <w14:lightRig w14:rig="threePt" w14:dir="t">
                <w14:rot w14:lat="0" w14:lon="0" w14:rev="0"/>
              </w14:lightRig>
            </w14:scene3d>
          </w:rPr>
          <w:t>Section 3</w:t>
        </w:r>
        <w:r>
          <w:rPr>
            <w:rFonts w:eastAsiaTheme="minorEastAsia"/>
            <w:noProof/>
          </w:rPr>
          <w:tab/>
        </w:r>
        <w:r w:rsidRPr="005F703A">
          <w:rPr>
            <w:rStyle w:val="Hyperlink"/>
            <w:rFonts w:eastAsia="Tw Cen MT"/>
            <w:noProof/>
          </w:rPr>
          <w:t>Air Quality Criteria (Modeling for NAAQS and PSD Compliance)</w:t>
        </w:r>
        <w:r>
          <w:rPr>
            <w:noProof/>
            <w:webHidden/>
          </w:rPr>
          <w:tab/>
        </w:r>
        <w:r>
          <w:rPr>
            <w:noProof/>
            <w:webHidden/>
          </w:rPr>
          <w:fldChar w:fldCharType="begin"/>
        </w:r>
        <w:r>
          <w:rPr>
            <w:noProof/>
            <w:webHidden/>
          </w:rPr>
          <w:instrText xml:space="preserve"> PAGEREF _Toc147226874 \h </w:instrText>
        </w:r>
        <w:r>
          <w:rPr>
            <w:noProof/>
            <w:webHidden/>
          </w:rPr>
        </w:r>
        <w:r>
          <w:rPr>
            <w:noProof/>
            <w:webHidden/>
          </w:rPr>
          <w:fldChar w:fldCharType="separate"/>
        </w:r>
        <w:r>
          <w:rPr>
            <w:noProof/>
            <w:webHidden/>
          </w:rPr>
          <w:t>4</w:t>
        </w:r>
        <w:r>
          <w:rPr>
            <w:noProof/>
            <w:webHidden/>
          </w:rPr>
          <w:fldChar w:fldCharType="end"/>
        </w:r>
      </w:hyperlink>
    </w:p>
    <w:p w14:paraId="437607B9" w14:textId="709B1D08" w:rsidR="00253AC2" w:rsidRDefault="00253AC2">
      <w:pPr>
        <w:pStyle w:val="TOC2"/>
        <w:tabs>
          <w:tab w:val="left" w:pos="880"/>
          <w:tab w:val="right" w:leader="dot" w:pos="10790"/>
        </w:tabs>
        <w:rPr>
          <w:rFonts w:eastAsiaTheme="minorEastAsia"/>
          <w:noProof/>
        </w:rPr>
      </w:pPr>
      <w:hyperlink w:anchor="_Toc147226875" w:history="1">
        <w:r w:rsidRPr="005F703A">
          <w:rPr>
            <w:rStyle w:val="Hyperlink"/>
            <w:rFonts w:eastAsia="Tw Cen MT"/>
            <w:noProof/>
            <w14:scene3d>
              <w14:camera w14:prst="orthographicFront"/>
              <w14:lightRig w14:rig="threePt" w14:dir="t">
                <w14:rot w14:lat="0" w14:lon="0" w14:rev="0"/>
              </w14:lightRig>
            </w14:scene3d>
          </w:rPr>
          <w:t>3.0</w:t>
        </w:r>
        <w:r>
          <w:rPr>
            <w:rFonts w:eastAsiaTheme="minorEastAsia"/>
            <w:noProof/>
          </w:rPr>
          <w:tab/>
        </w:r>
        <w:r w:rsidRPr="005F703A">
          <w:rPr>
            <w:rStyle w:val="Hyperlink"/>
            <w:rFonts w:eastAsia="Tw Cen MT"/>
            <w:noProof/>
          </w:rPr>
          <w:t>National Ambient Air Quality Standards</w:t>
        </w:r>
        <w:r>
          <w:rPr>
            <w:noProof/>
            <w:webHidden/>
          </w:rPr>
          <w:tab/>
        </w:r>
        <w:r>
          <w:rPr>
            <w:noProof/>
            <w:webHidden/>
          </w:rPr>
          <w:fldChar w:fldCharType="begin"/>
        </w:r>
        <w:r>
          <w:rPr>
            <w:noProof/>
            <w:webHidden/>
          </w:rPr>
          <w:instrText xml:space="preserve"> PAGEREF _Toc147226875 \h </w:instrText>
        </w:r>
        <w:r>
          <w:rPr>
            <w:noProof/>
            <w:webHidden/>
          </w:rPr>
        </w:r>
        <w:r>
          <w:rPr>
            <w:noProof/>
            <w:webHidden/>
          </w:rPr>
          <w:fldChar w:fldCharType="separate"/>
        </w:r>
        <w:r>
          <w:rPr>
            <w:noProof/>
            <w:webHidden/>
          </w:rPr>
          <w:t>4</w:t>
        </w:r>
        <w:r>
          <w:rPr>
            <w:noProof/>
            <w:webHidden/>
          </w:rPr>
          <w:fldChar w:fldCharType="end"/>
        </w:r>
      </w:hyperlink>
    </w:p>
    <w:p w14:paraId="22132F95" w14:textId="4B8A7951" w:rsidR="00253AC2" w:rsidRDefault="00253AC2">
      <w:pPr>
        <w:pStyle w:val="TOC2"/>
        <w:tabs>
          <w:tab w:val="left" w:pos="880"/>
          <w:tab w:val="right" w:leader="dot" w:pos="10790"/>
        </w:tabs>
        <w:rPr>
          <w:rFonts w:eastAsiaTheme="minorEastAsia"/>
          <w:noProof/>
        </w:rPr>
      </w:pPr>
      <w:hyperlink w:anchor="_Toc147226876" w:history="1">
        <w:r w:rsidRPr="005F703A">
          <w:rPr>
            <w:rStyle w:val="Hyperlink"/>
            <w:rFonts w:eastAsia="Tw Cen MT"/>
            <w:noProof/>
            <w14:scene3d>
              <w14:camera w14:prst="orthographicFront"/>
              <w14:lightRig w14:rig="threePt" w14:dir="t">
                <w14:rot w14:lat="0" w14:lon="0" w14:rev="0"/>
              </w14:lightRig>
            </w14:scene3d>
          </w:rPr>
          <w:t>3.1</w:t>
        </w:r>
        <w:r>
          <w:rPr>
            <w:rFonts w:eastAsiaTheme="minorEastAsia"/>
            <w:noProof/>
          </w:rPr>
          <w:tab/>
        </w:r>
        <w:r w:rsidRPr="005F703A">
          <w:rPr>
            <w:rStyle w:val="Hyperlink"/>
            <w:rFonts w:eastAsia="Tw Cen MT"/>
            <w:noProof/>
          </w:rPr>
          <w:t>Prevention of Significant Deterioration (PSD)</w:t>
        </w:r>
        <w:r>
          <w:rPr>
            <w:noProof/>
            <w:webHidden/>
          </w:rPr>
          <w:tab/>
        </w:r>
        <w:r>
          <w:rPr>
            <w:noProof/>
            <w:webHidden/>
          </w:rPr>
          <w:fldChar w:fldCharType="begin"/>
        </w:r>
        <w:r>
          <w:rPr>
            <w:noProof/>
            <w:webHidden/>
          </w:rPr>
          <w:instrText xml:space="preserve"> PAGEREF _Toc147226876 \h </w:instrText>
        </w:r>
        <w:r>
          <w:rPr>
            <w:noProof/>
            <w:webHidden/>
          </w:rPr>
        </w:r>
        <w:r>
          <w:rPr>
            <w:noProof/>
            <w:webHidden/>
          </w:rPr>
          <w:fldChar w:fldCharType="separate"/>
        </w:r>
        <w:r>
          <w:rPr>
            <w:noProof/>
            <w:webHidden/>
          </w:rPr>
          <w:t>6</w:t>
        </w:r>
        <w:r>
          <w:rPr>
            <w:noProof/>
            <w:webHidden/>
          </w:rPr>
          <w:fldChar w:fldCharType="end"/>
        </w:r>
      </w:hyperlink>
    </w:p>
    <w:p w14:paraId="551525C5" w14:textId="3A801434" w:rsidR="00253AC2" w:rsidRDefault="00253AC2">
      <w:pPr>
        <w:pStyle w:val="TOC2"/>
        <w:tabs>
          <w:tab w:val="left" w:pos="880"/>
          <w:tab w:val="right" w:leader="dot" w:pos="10790"/>
        </w:tabs>
        <w:rPr>
          <w:rFonts w:eastAsiaTheme="minorEastAsia"/>
          <w:noProof/>
        </w:rPr>
      </w:pPr>
      <w:hyperlink w:anchor="_Toc147226877" w:history="1">
        <w:r w:rsidRPr="005F703A">
          <w:rPr>
            <w:rStyle w:val="Hyperlink"/>
            <w:rFonts w:eastAsia="Tw Cen MT"/>
            <w:noProof/>
            <w14:scene3d>
              <w14:camera w14:prst="orthographicFront"/>
              <w14:lightRig w14:rig="threePt" w14:dir="t">
                <w14:rot w14:lat="0" w14:lon="0" w14:rev="0"/>
              </w14:lightRig>
            </w14:scene3d>
          </w:rPr>
          <w:t>3.2</w:t>
        </w:r>
        <w:r>
          <w:rPr>
            <w:rFonts w:eastAsiaTheme="minorEastAsia"/>
            <w:noProof/>
          </w:rPr>
          <w:tab/>
        </w:r>
        <w:r w:rsidRPr="005F703A">
          <w:rPr>
            <w:rStyle w:val="Hyperlink"/>
            <w:rFonts w:eastAsia="Tw Cen MT"/>
            <w:noProof/>
          </w:rPr>
          <w:t>Significant Impact Levels</w:t>
        </w:r>
        <w:r>
          <w:rPr>
            <w:noProof/>
            <w:webHidden/>
          </w:rPr>
          <w:tab/>
        </w:r>
        <w:r>
          <w:rPr>
            <w:noProof/>
            <w:webHidden/>
          </w:rPr>
          <w:fldChar w:fldCharType="begin"/>
        </w:r>
        <w:r>
          <w:rPr>
            <w:noProof/>
            <w:webHidden/>
          </w:rPr>
          <w:instrText xml:space="preserve"> PAGEREF _Toc147226877 \h </w:instrText>
        </w:r>
        <w:r>
          <w:rPr>
            <w:noProof/>
            <w:webHidden/>
          </w:rPr>
        </w:r>
        <w:r>
          <w:rPr>
            <w:noProof/>
            <w:webHidden/>
          </w:rPr>
          <w:fldChar w:fldCharType="separate"/>
        </w:r>
        <w:r>
          <w:rPr>
            <w:noProof/>
            <w:webHidden/>
          </w:rPr>
          <w:t>6</w:t>
        </w:r>
        <w:r>
          <w:rPr>
            <w:noProof/>
            <w:webHidden/>
          </w:rPr>
          <w:fldChar w:fldCharType="end"/>
        </w:r>
      </w:hyperlink>
    </w:p>
    <w:p w14:paraId="2756CAB6" w14:textId="356F2F38" w:rsidR="00253AC2" w:rsidRDefault="00253AC2">
      <w:pPr>
        <w:pStyle w:val="TOC1"/>
        <w:rPr>
          <w:rFonts w:eastAsiaTheme="minorEastAsia"/>
          <w:noProof/>
        </w:rPr>
      </w:pPr>
      <w:hyperlink w:anchor="_Toc147226878" w:history="1">
        <w:r w:rsidRPr="005F703A">
          <w:rPr>
            <w:rStyle w:val="Hyperlink"/>
            <w:rFonts w:eastAsia="Tw Cen MT"/>
            <w:noProof/>
            <w14:scene3d>
              <w14:camera w14:prst="orthographicFront"/>
              <w14:lightRig w14:rig="threePt" w14:dir="t">
                <w14:rot w14:lat="0" w14:lon="0" w14:rev="0"/>
              </w14:lightRig>
            </w14:scene3d>
          </w:rPr>
          <w:t>Section 4</w:t>
        </w:r>
        <w:r>
          <w:rPr>
            <w:rFonts w:eastAsiaTheme="minorEastAsia"/>
            <w:noProof/>
          </w:rPr>
          <w:tab/>
        </w:r>
        <w:r w:rsidRPr="005F703A">
          <w:rPr>
            <w:rStyle w:val="Hyperlink"/>
            <w:rFonts w:eastAsia="Tw Cen MT"/>
            <w:noProof/>
          </w:rPr>
          <w:t>Modeling Analyses for NAAQS/PSD Compliance Demonstration</w:t>
        </w:r>
        <w:r>
          <w:rPr>
            <w:noProof/>
            <w:webHidden/>
          </w:rPr>
          <w:tab/>
        </w:r>
        <w:r>
          <w:rPr>
            <w:noProof/>
            <w:webHidden/>
          </w:rPr>
          <w:fldChar w:fldCharType="begin"/>
        </w:r>
        <w:r>
          <w:rPr>
            <w:noProof/>
            <w:webHidden/>
          </w:rPr>
          <w:instrText xml:space="preserve"> PAGEREF _Toc147226878 \h </w:instrText>
        </w:r>
        <w:r>
          <w:rPr>
            <w:noProof/>
            <w:webHidden/>
          </w:rPr>
        </w:r>
        <w:r>
          <w:rPr>
            <w:noProof/>
            <w:webHidden/>
          </w:rPr>
          <w:fldChar w:fldCharType="separate"/>
        </w:r>
        <w:r>
          <w:rPr>
            <w:noProof/>
            <w:webHidden/>
          </w:rPr>
          <w:t>7</w:t>
        </w:r>
        <w:r>
          <w:rPr>
            <w:noProof/>
            <w:webHidden/>
          </w:rPr>
          <w:fldChar w:fldCharType="end"/>
        </w:r>
      </w:hyperlink>
    </w:p>
    <w:p w14:paraId="47AB8148" w14:textId="3FE27360" w:rsidR="00253AC2" w:rsidRDefault="00253AC2">
      <w:pPr>
        <w:pStyle w:val="TOC2"/>
        <w:tabs>
          <w:tab w:val="left" w:pos="880"/>
          <w:tab w:val="right" w:leader="dot" w:pos="10790"/>
        </w:tabs>
        <w:rPr>
          <w:rFonts w:eastAsiaTheme="minorEastAsia"/>
          <w:noProof/>
        </w:rPr>
      </w:pPr>
      <w:hyperlink w:anchor="_Toc147226879" w:history="1">
        <w:r w:rsidRPr="005F703A">
          <w:rPr>
            <w:rStyle w:val="Hyperlink"/>
            <w:rFonts w:eastAsia="Tw Cen MT"/>
            <w:noProof/>
            <w14:scene3d>
              <w14:camera w14:prst="orthographicFront"/>
              <w14:lightRig w14:rig="threePt" w14:dir="t">
                <w14:rot w14:lat="0" w14:lon="0" w14:rev="0"/>
              </w14:lightRig>
            </w14:scene3d>
          </w:rPr>
          <w:t>4.0</w:t>
        </w:r>
        <w:r>
          <w:rPr>
            <w:rFonts w:eastAsiaTheme="minorEastAsia"/>
            <w:noProof/>
          </w:rPr>
          <w:tab/>
        </w:r>
        <w:r w:rsidRPr="005F703A">
          <w:rPr>
            <w:rStyle w:val="Hyperlink"/>
            <w:rFonts w:eastAsia="Tw Cen MT"/>
            <w:noProof/>
          </w:rPr>
          <w:t>Screening Modeling Analysis</w:t>
        </w:r>
        <w:r>
          <w:rPr>
            <w:noProof/>
            <w:webHidden/>
          </w:rPr>
          <w:tab/>
        </w:r>
        <w:r>
          <w:rPr>
            <w:noProof/>
            <w:webHidden/>
          </w:rPr>
          <w:fldChar w:fldCharType="begin"/>
        </w:r>
        <w:r>
          <w:rPr>
            <w:noProof/>
            <w:webHidden/>
          </w:rPr>
          <w:instrText xml:space="preserve"> PAGEREF _Toc147226879 \h </w:instrText>
        </w:r>
        <w:r>
          <w:rPr>
            <w:noProof/>
            <w:webHidden/>
          </w:rPr>
        </w:r>
        <w:r>
          <w:rPr>
            <w:noProof/>
            <w:webHidden/>
          </w:rPr>
          <w:fldChar w:fldCharType="separate"/>
        </w:r>
        <w:r>
          <w:rPr>
            <w:noProof/>
            <w:webHidden/>
          </w:rPr>
          <w:t>7</w:t>
        </w:r>
        <w:r>
          <w:rPr>
            <w:noProof/>
            <w:webHidden/>
          </w:rPr>
          <w:fldChar w:fldCharType="end"/>
        </w:r>
      </w:hyperlink>
    </w:p>
    <w:p w14:paraId="198B86D8" w14:textId="7A3D19B4" w:rsidR="00253AC2" w:rsidRDefault="00253AC2">
      <w:pPr>
        <w:pStyle w:val="TOC3"/>
        <w:tabs>
          <w:tab w:val="left" w:pos="1320"/>
          <w:tab w:val="right" w:leader="dot" w:pos="10790"/>
        </w:tabs>
        <w:rPr>
          <w:rFonts w:eastAsiaTheme="minorEastAsia"/>
          <w:noProof/>
        </w:rPr>
      </w:pPr>
      <w:hyperlink w:anchor="_Toc147226880" w:history="1">
        <w:r w:rsidRPr="005F703A">
          <w:rPr>
            <w:rStyle w:val="Hyperlink"/>
            <w:rFonts w:eastAsia="Tw Cen MT"/>
            <w:noProof/>
          </w:rPr>
          <w:t>4.0.1</w:t>
        </w:r>
        <w:r>
          <w:rPr>
            <w:rFonts w:eastAsiaTheme="minorEastAsia"/>
            <w:noProof/>
          </w:rPr>
          <w:tab/>
        </w:r>
        <w:r w:rsidRPr="005F703A">
          <w:rPr>
            <w:rStyle w:val="Hyperlink"/>
            <w:rFonts w:eastAsia="Tw Cen MT"/>
            <w:noProof/>
          </w:rPr>
          <w:t>Screening Modeling Inputs</w:t>
        </w:r>
        <w:r>
          <w:rPr>
            <w:noProof/>
            <w:webHidden/>
          </w:rPr>
          <w:tab/>
        </w:r>
        <w:r>
          <w:rPr>
            <w:noProof/>
            <w:webHidden/>
          </w:rPr>
          <w:fldChar w:fldCharType="begin"/>
        </w:r>
        <w:r>
          <w:rPr>
            <w:noProof/>
            <w:webHidden/>
          </w:rPr>
          <w:instrText xml:space="preserve"> PAGEREF _Toc147226880 \h </w:instrText>
        </w:r>
        <w:r>
          <w:rPr>
            <w:noProof/>
            <w:webHidden/>
          </w:rPr>
        </w:r>
        <w:r>
          <w:rPr>
            <w:noProof/>
            <w:webHidden/>
          </w:rPr>
          <w:fldChar w:fldCharType="separate"/>
        </w:r>
        <w:r>
          <w:rPr>
            <w:noProof/>
            <w:webHidden/>
          </w:rPr>
          <w:t>8</w:t>
        </w:r>
        <w:r>
          <w:rPr>
            <w:noProof/>
            <w:webHidden/>
          </w:rPr>
          <w:fldChar w:fldCharType="end"/>
        </w:r>
      </w:hyperlink>
    </w:p>
    <w:p w14:paraId="18C0BE39" w14:textId="18266F8F" w:rsidR="00253AC2" w:rsidRDefault="00253AC2">
      <w:pPr>
        <w:pStyle w:val="TOC3"/>
        <w:tabs>
          <w:tab w:val="left" w:pos="1320"/>
          <w:tab w:val="right" w:leader="dot" w:pos="10790"/>
        </w:tabs>
        <w:rPr>
          <w:rFonts w:eastAsiaTheme="minorEastAsia"/>
          <w:noProof/>
        </w:rPr>
      </w:pPr>
      <w:hyperlink w:anchor="_Toc147226881" w:history="1">
        <w:r w:rsidRPr="005F703A">
          <w:rPr>
            <w:rStyle w:val="Hyperlink"/>
            <w:rFonts w:eastAsia="Tw Cen MT"/>
            <w:noProof/>
          </w:rPr>
          <w:t>4.0.2</w:t>
        </w:r>
        <w:r>
          <w:rPr>
            <w:rFonts w:eastAsiaTheme="minorEastAsia"/>
            <w:noProof/>
          </w:rPr>
          <w:tab/>
        </w:r>
        <w:r w:rsidRPr="005F703A">
          <w:rPr>
            <w:rStyle w:val="Hyperlink"/>
            <w:rFonts w:eastAsia="Tw Cen MT"/>
            <w:noProof/>
          </w:rPr>
          <w:t>Screening Modeling Results</w:t>
        </w:r>
        <w:r>
          <w:rPr>
            <w:noProof/>
            <w:webHidden/>
          </w:rPr>
          <w:tab/>
        </w:r>
        <w:r>
          <w:rPr>
            <w:noProof/>
            <w:webHidden/>
          </w:rPr>
          <w:fldChar w:fldCharType="begin"/>
        </w:r>
        <w:r>
          <w:rPr>
            <w:noProof/>
            <w:webHidden/>
          </w:rPr>
          <w:instrText xml:space="preserve"> PAGEREF _Toc147226881 \h </w:instrText>
        </w:r>
        <w:r>
          <w:rPr>
            <w:noProof/>
            <w:webHidden/>
          </w:rPr>
        </w:r>
        <w:r>
          <w:rPr>
            <w:noProof/>
            <w:webHidden/>
          </w:rPr>
          <w:fldChar w:fldCharType="separate"/>
        </w:r>
        <w:r>
          <w:rPr>
            <w:noProof/>
            <w:webHidden/>
          </w:rPr>
          <w:t>10</w:t>
        </w:r>
        <w:r>
          <w:rPr>
            <w:noProof/>
            <w:webHidden/>
          </w:rPr>
          <w:fldChar w:fldCharType="end"/>
        </w:r>
      </w:hyperlink>
    </w:p>
    <w:p w14:paraId="354E5B90" w14:textId="7D113E7F" w:rsidR="00253AC2" w:rsidRDefault="00253AC2">
      <w:pPr>
        <w:pStyle w:val="TOC2"/>
        <w:tabs>
          <w:tab w:val="left" w:pos="880"/>
          <w:tab w:val="right" w:leader="dot" w:pos="10790"/>
        </w:tabs>
        <w:rPr>
          <w:rFonts w:eastAsiaTheme="minorEastAsia"/>
          <w:noProof/>
        </w:rPr>
      </w:pPr>
      <w:hyperlink w:anchor="_Toc147226882" w:history="1">
        <w:r w:rsidRPr="005F703A">
          <w:rPr>
            <w:rStyle w:val="Hyperlink"/>
            <w:rFonts w:eastAsia="Tw Cen MT"/>
            <w:noProof/>
            <w14:scene3d>
              <w14:camera w14:prst="orthographicFront"/>
              <w14:lightRig w14:rig="threePt" w14:dir="t">
                <w14:rot w14:lat="0" w14:lon="0" w14:rev="0"/>
              </w14:lightRig>
            </w14:scene3d>
          </w:rPr>
          <w:t>4.1</w:t>
        </w:r>
        <w:r>
          <w:rPr>
            <w:rFonts w:eastAsiaTheme="minorEastAsia"/>
            <w:noProof/>
          </w:rPr>
          <w:tab/>
        </w:r>
        <w:r w:rsidRPr="005F703A">
          <w:rPr>
            <w:rStyle w:val="Hyperlink"/>
            <w:rFonts w:eastAsia="Tw Cen MT"/>
            <w:noProof/>
          </w:rPr>
          <w:t>Refined Modeling Procedures</w:t>
        </w:r>
        <w:r>
          <w:rPr>
            <w:noProof/>
            <w:webHidden/>
          </w:rPr>
          <w:tab/>
        </w:r>
        <w:r>
          <w:rPr>
            <w:noProof/>
            <w:webHidden/>
          </w:rPr>
          <w:fldChar w:fldCharType="begin"/>
        </w:r>
        <w:r>
          <w:rPr>
            <w:noProof/>
            <w:webHidden/>
          </w:rPr>
          <w:instrText xml:space="preserve"> PAGEREF _Toc147226882 \h </w:instrText>
        </w:r>
        <w:r>
          <w:rPr>
            <w:noProof/>
            <w:webHidden/>
          </w:rPr>
        </w:r>
        <w:r>
          <w:rPr>
            <w:noProof/>
            <w:webHidden/>
          </w:rPr>
          <w:fldChar w:fldCharType="separate"/>
        </w:r>
        <w:r>
          <w:rPr>
            <w:noProof/>
            <w:webHidden/>
          </w:rPr>
          <w:t>11</w:t>
        </w:r>
        <w:r>
          <w:rPr>
            <w:noProof/>
            <w:webHidden/>
          </w:rPr>
          <w:fldChar w:fldCharType="end"/>
        </w:r>
      </w:hyperlink>
    </w:p>
    <w:p w14:paraId="1A1B6866" w14:textId="4991E008" w:rsidR="00253AC2" w:rsidRDefault="00253AC2">
      <w:pPr>
        <w:pStyle w:val="TOC3"/>
        <w:tabs>
          <w:tab w:val="left" w:pos="1320"/>
          <w:tab w:val="right" w:leader="dot" w:pos="10790"/>
        </w:tabs>
        <w:rPr>
          <w:rFonts w:eastAsiaTheme="minorEastAsia"/>
          <w:noProof/>
        </w:rPr>
      </w:pPr>
      <w:hyperlink w:anchor="_Toc147226883" w:history="1">
        <w:r w:rsidRPr="005F703A">
          <w:rPr>
            <w:rStyle w:val="Hyperlink"/>
            <w:rFonts w:eastAsia="Tw Cen MT"/>
            <w:noProof/>
          </w:rPr>
          <w:t>4.1.1</w:t>
        </w:r>
        <w:r>
          <w:rPr>
            <w:rFonts w:eastAsiaTheme="minorEastAsia"/>
            <w:noProof/>
          </w:rPr>
          <w:tab/>
        </w:r>
        <w:r w:rsidRPr="005F703A">
          <w:rPr>
            <w:rStyle w:val="Hyperlink"/>
            <w:rFonts w:eastAsia="Tw Cen MT"/>
            <w:noProof/>
          </w:rPr>
          <w:t>AERMOD Modeling System Programs</w:t>
        </w:r>
        <w:r>
          <w:rPr>
            <w:noProof/>
            <w:webHidden/>
          </w:rPr>
          <w:tab/>
        </w:r>
        <w:r>
          <w:rPr>
            <w:noProof/>
            <w:webHidden/>
          </w:rPr>
          <w:fldChar w:fldCharType="begin"/>
        </w:r>
        <w:r>
          <w:rPr>
            <w:noProof/>
            <w:webHidden/>
          </w:rPr>
          <w:instrText xml:space="preserve"> PAGEREF _Toc147226883 \h </w:instrText>
        </w:r>
        <w:r>
          <w:rPr>
            <w:noProof/>
            <w:webHidden/>
          </w:rPr>
        </w:r>
        <w:r>
          <w:rPr>
            <w:noProof/>
            <w:webHidden/>
          </w:rPr>
          <w:fldChar w:fldCharType="separate"/>
        </w:r>
        <w:r>
          <w:rPr>
            <w:noProof/>
            <w:webHidden/>
          </w:rPr>
          <w:t>11</w:t>
        </w:r>
        <w:r>
          <w:rPr>
            <w:noProof/>
            <w:webHidden/>
          </w:rPr>
          <w:fldChar w:fldCharType="end"/>
        </w:r>
      </w:hyperlink>
    </w:p>
    <w:p w14:paraId="2880D6AA" w14:textId="76300B60" w:rsidR="00253AC2" w:rsidRDefault="00253AC2">
      <w:pPr>
        <w:pStyle w:val="TOC3"/>
        <w:tabs>
          <w:tab w:val="left" w:pos="1320"/>
          <w:tab w:val="right" w:leader="dot" w:pos="10790"/>
        </w:tabs>
        <w:rPr>
          <w:rFonts w:eastAsiaTheme="minorEastAsia"/>
          <w:noProof/>
        </w:rPr>
      </w:pPr>
      <w:hyperlink w:anchor="_Toc147226884" w:history="1">
        <w:r w:rsidRPr="005F703A">
          <w:rPr>
            <w:rStyle w:val="Hyperlink"/>
            <w:rFonts w:eastAsia="Tw Cen MT"/>
            <w:noProof/>
          </w:rPr>
          <w:t>4.1.2</w:t>
        </w:r>
        <w:r>
          <w:rPr>
            <w:rFonts w:eastAsiaTheme="minorEastAsia"/>
            <w:noProof/>
          </w:rPr>
          <w:tab/>
        </w:r>
        <w:r w:rsidRPr="005F703A">
          <w:rPr>
            <w:rStyle w:val="Hyperlink"/>
            <w:rFonts w:eastAsia="Tw Cen MT"/>
            <w:noProof/>
          </w:rPr>
          <w:t>AERMOD Input Requirements</w:t>
        </w:r>
        <w:r>
          <w:rPr>
            <w:noProof/>
            <w:webHidden/>
          </w:rPr>
          <w:tab/>
        </w:r>
        <w:r>
          <w:rPr>
            <w:noProof/>
            <w:webHidden/>
          </w:rPr>
          <w:fldChar w:fldCharType="begin"/>
        </w:r>
        <w:r>
          <w:rPr>
            <w:noProof/>
            <w:webHidden/>
          </w:rPr>
          <w:instrText xml:space="preserve"> PAGEREF _Toc147226884 \h </w:instrText>
        </w:r>
        <w:r>
          <w:rPr>
            <w:noProof/>
            <w:webHidden/>
          </w:rPr>
        </w:r>
        <w:r>
          <w:rPr>
            <w:noProof/>
            <w:webHidden/>
          </w:rPr>
          <w:fldChar w:fldCharType="separate"/>
        </w:r>
        <w:r>
          <w:rPr>
            <w:noProof/>
            <w:webHidden/>
          </w:rPr>
          <w:t>11</w:t>
        </w:r>
        <w:r>
          <w:rPr>
            <w:noProof/>
            <w:webHidden/>
          </w:rPr>
          <w:fldChar w:fldCharType="end"/>
        </w:r>
      </w:hyperlink>
    </w:p>
    <w:p w14:paraId="71B807C7" w14:textId="697BE4ED" w:rsidR="00253AC2" w:rsidRDefault="00253AC2">
      <w:pPr>
        <w:pStyle w:val="TOC3"/>
        <w:tabs>
          <w:tab w:val="left" w:pos="1320"/>
          <w:tab w:val="right" w:leader="dot" w:pos="10790"/>
        </w:tabs>
        <w:rPr>
          <w:rFonts w:eastAsiaTheme="minorEastAsia"/>
          <w:noProof/>
        </w:rPr>
      </w:pPr>
      <w:hyperlink w:anchor="_Toc147226885" w:history="1">
        <w:r w:rsidRPr="005F703A">
          <w:rPr>
            <w:rStyle w:val="Hyperlink"/>
            <w:rFonts w:eastAsia="Tw Cen MT"/>
            <w:noProof/>
          </w:rPr>
          <w:t>4.1.3</w:t>
        </w:r>
        <w:r>
          <w:rPr>
            <w:rFonts w:eastAsiaTheme="minorEastAsia"/>
            <w:noProof/>
          </w:rPr>
          <w:tab/>
        </w:r>
        <w:r w:rsidRPr="005F703A">
          <w:rPr>
            <w:rStyle w:val="Hyperlink"/>
            <w:rFonts w:eastAsia="Tw Cen MT"/>
            <w:noProof/>
          </w:rPr>
          <w:t>Single Source Refined Modeling</w:t>
        </w:r>
        <w:r>
          <w:rPr>
            <w:noProof/>
            <w:webHidden/>
          </w:rPr>
          <w:tab/>
        </w:r>
        <w:r>
          <w:rPr>
            <w:noProof/>
            <w:webHidden/>
          </w:rPr>
          <w:fldChar w:fldCharType="begin"/>
        </w:r>
        <w:r>
          <w:rPr>
            <w:noProof/>
            <w:webHidden/>
          </w:rPr>
          <w:instrText xml:space="preserve"> PAGEREF _Toc147226885 \h </w:instrText>
        </w:r>
        <w:r>
          <w:rPr>
            <w:noProof/>
            <w:webHidden/>
          </w:rPr>
        </w:r>
        <w:r>
          <w:rPr>
            <w:noProof/>
            <w:webHidden/>
          </w:rPr>
          <w:fldChar w:fldCharType="separate"/>
        </w:r>
        <w:r>
          <w:rPr>
            <w:noProof/>
            <w:webHidden/>
          </w:rPr>
          <w:t>15</w:t>
        </w:r>
        <w:r>
          <w:rPr>
            <w:noProof/>
            <w:webHidden/>
          </w:rPr>
          <w:fldChar w:fldCharType="end"/>
        </w:r>
      </w:hyperlink>
    </w:p>
    <w:p w14:paraId="3C0F5D32" w14:textId="76E30E23" w:rsidR="00253AC2" w:rsidRDefault="00253AC2">
      <w:pPr>
        <w:pStyle w:val="TOC2"/>
        <w:tabs>
          <w:tab w:val="left" w:pos="880"/>
          <w:tab w:val="right" w:leader="dot" w:pos="10790"/>
        </w:tabs>
        <w:rPr>
          <w:rFonts w:eastAsiaTheme="minorEastAsia"/>
          <w:noProof/>
        </w:rPr>
      </w:pPr>
      <w:hyperlink w:anchor="_Toc147226886" w:history="1">
        <w:r w:rsidRPr="005F703A">
          <w:rPr>
            <w:rStyle w:val="Hyperlink"/>
            <w:rFonts w:eastAsia="Tw Cen MT"/>
            <w:noProof/>
            <w14:scene3d>
              <w14:camera w14:prst="orthographicFront"/>
              <w14:lightRig w14:rig="threePt" w14:dir="t">
                <w14:rot w14:lat="0" w14:lon="0" w14:rev="0"/>
              </w14:lightRig>
            </w14:scene3d>
          </w:rPr>
          <w:t>4.2</w:t>
        </w:r>
        <w:r>
          <w:rPr>
            <w:rFonts w:eastAsiaTheme="minorEastAsia"/>
            <w:noProof/>
          </w:rPr>
          <w:tab/>
        </w:r>
        <w:r w:rsidRPr="005F703A">
          <w:rPr>
            <w:rStyle w:val="Hyperlink"/>
            <w:rFonts w:eastAsia="Tw Cen MT"/>
            <w:noProof/>
          </w:rPr>
          <w:t>1-Hour NO</w:t>
        </w:r>
        <w:r w:rsidRPr="005F703A">
          <w:rPr>
            <w:rStyle w:val="Hyperlink"/>
            <w:rFonts w:eastAsia="Tw Cen MT"/>
            <w:noProof/>
            <w:vertAlign w:val="subscript"/>
          </w:rPr>
          <w:t>2</w:t>
        </w:r>
        <w:r w:rsidRPr="005F703A">
          <w:rPr>
            <w:rStyle w:val="Hyperlink"/>
            <w:rFonts w:eastAsia="Tw Cen MT"/>
            <w:noProof/>
          </w:rPr>
          <w:t xml:space="preserve"> NAAQS Compliance Options</w:t>
        </w:r>
        <w:r>
          <w:rPr>
            <w:noProof/>
            <w:webHidden/>
          </w:rPr>
          <w:tab/>
        </w:r>
        <w:r>
          <w:rPr>
            <w:noProof/>
            <w:webHidden/>
          </w:rPr>
          <w:fldChar w:fldCharType="begin"/>
        </w:r>
        <w:r>
          <w:rPr>
            <w:noProof/>
            <w:webHidden/>
          </w:rPr>
          <w:instrText xml:space="preserve"> PAGEREF _Toc147226886 \h </w:instrText>
        </w:r>
        <w:r>
          <w:rPr>
            <w:noProof/>
            <w:webHidden/>
          </w:rPr>
        </w:r>
        <w:r>
          <w:rPr>
            <w:noProof/>
            <w:webHidden/>
          </w:rPr>
          <w:fldChar w:fldCharType="separate"/>
        </w:r>
        <w:r>
          <w:rPr>
            <w:noProof/>
            <w:webHidden/>
          </w:rPr>
          <w:t>15</w:t>
        </w:r>
        <w:r>
          <w:rPr>
            <w:noProof/>
            <w:webHidden/>
          </w:rPr>
          <w:fldChar w:fldCharType="end"/>
        </w:r>
      </w:hyperlink>
    </w:p>
    <w:p w14:paraId="34772367" w14:textId="02FA0679" w:rsidR="00253AC2" w:rsidRDefault="00253AC2">
      <w:pPr>
        <w:pStyle w:val="TOC3"/>
        <w:tabs>
          <w:tab w:val="left" w:pos="1320"/>
          <w:tab w:val="right" w:leader="dot" w:pos="10790"/>
        </w:tabs>
        <w:rPr>
          <w:rFonts w:eastAsiaTheme="minorEastAsia"/>
          <w:noProof/>
        </w:rPr>
      </w:pPr>
      <w:hyperlink w:anchor="_Toc147226887" w:history="1">
        <w:r w:rsidRPr="005F703A">
          <w:rPr>
            <w:rStyle w:val="Hyperlink"/>
            <w:rFonts w:eastAsia="Tw Cen MT"/>
            <w:noProof/>
          </w:rPr>
          <w:t>4.2.1</w:t>
        </w:r>
        <w:r>
          <w:rPr>
            <w:rFonts w:eastAsiaTheme="minorEastAsia"/>
            <w:noProof/>
          </w:rPr>
          <w:tab/>
        </w:r>
        <w:r w:rsidRPr="005F703A">
          <w:rPr>
            <w:rStyle w:val="Hyperlink"/>
            <w:rFonts w:eastAsia="Tw Cen MT"/>
            <w:noProof/>
          </w:rPr>
          <w:t>NO</w:t>
        </w:r>
        <w:r w:rsidRPr="005F703A">
          <w:rPr>
            <w:rStyle w:val="Hyperlink"/>
            <w:rFonts w:eastAsia="Tw Cen MT"/>
            <w:noProof/>
            <w:vertAlign w:val="subscript"/>
          </w:rPr>
          <w:t>2</w:t>
        </w:r>
        <w:r w:rsidRPr="005F703A">
          <w:rPr>
            <w:rStyle w:val="Hyperlink"/>
            <w:rFonts w:eastAsia="Tw Cen MT"/>
            <w:noProof/>
          </w:rPr>
          <w:t xml:space="preserve"> Screening Methods</w:t>
        </w:r>
        <w:r>
          <w:rPr>
            <w:noProof/>
            <w:webHidden/>
          </w:rPr>
          <w:tab/>
        </w:r>
        <w:r>
          <w:rPr>
            <w:noProof/>
            <w:webHidden/>
          </w:rPr>
          <w:fldChar w:fldCharType="begin"/>
        </w:r>
        <w:r>
          <w:rPr>
            <w:noProof/>
            <w:webHidden/>
          </w:rPr>
          <w:instrText xml:space="preserve"> PAGEREF _Toc147226887 \h </w:instrText>
        </w:r>
        <w:r>
          <w:rPr>
            <w:noProof/>
            <w:webHidden/>
          </w:rPr>
        </w:r>
        <w:r>
          <w:rPr>
            <w:noProof/>
            <w:webHidden/>
          </w:rPr>
          <w:fldChar w:fldCharType="separate"/>
        </w:r>
        <w:r>
          <w:rPr>
            <w:noProof/>
            <w:webHidden/>
          </w:rPr>
          <w:t>16</w:t>
        </w:r>
        <w:r>
          <w:rPr>
            <w:noProof/>
            <w:webHidden/>
          </w:rPr>
          <w:fldChar w:fldCharType="end"/>
        </w:r>
      </w:hyperlink>
    </w:p>
    <w:p w14:paraId="5995F0E5" w14:textId="61EDB9E3" w:rsidR="00253AC2" w:rsidRDefault="00253AC2">
      <w:pPr>
        <w:pStyle w:val="TOC3"/>
        <w:tabs>
          <w:tab w:val="left" w:pos="1320"/>
          <w:tab w:val="right" w:leader="dot" w:pos="10790"/>
        </w:tabs>
        <w:rPr>
          <w:rFonts w:eastAsiaTheme="minorEastAsia"/>
          <w:noProof/>
        </w:rPr>
      </w:pPr>
      <w:hyperlink w:anchor="_Toc147226888" w:history="1">
        <w:r w:rsidRPr="005F703A">
          <w:rPr>
            <w:rStyle w:val="Hyperlink"/>
            <w:rFonts w:eastAsia="Tw Cen MT"/>
            <w:noProof/>
          </w:rPr>
          <w:t>4.2.2</w:t>
        </w:r>
        <w:r>
          <w:rPr>
            <w:rFonts w:eastAsiaTheme="minorEastAsia"/>
            <w:noProof/>
          </w:rPr>
          <w:tab/>
        </w:r>
        <w:r w:rsidRPr="005F703A">
          <w:rPr>
            <w:rStyle w:val="Hyperlink"/>
            <w:rFonts w:eastAsia="Tw Cen MT"/>
            <w:noProof/>
          </w:rPr>
          <w:t>NO</w:t>
        </w:r>
        <w:r w:rsidRPr="005F703A">
          <w:rPr>
            <w:rStyle w:val="Hyperlink"/>
            <w:rFonts w:eastAsia="Tw Cen MT"/>
            <w:noProof/>
            <w:vertAlign w:val="subscript"/>
          </w:rPr>
          <w:t>2</w:t>
        </w:r>
        <w:r w:rsidRPr="005F703A">
          <w:rPr>
            <w:rStyle w:val="Hyperlink"/>
            <w:rFonts w:eastAsia="Tw Cen MT"/>
            <w:noProof/>
          </w:rPr>
          <w:t xml:space="preserve"> Modeling Exemptions for Intermittent Sources</w:t>
        </w:r>
        <w:r>
          <w:rPr>
            <w:noProof/>
            <w:webHidden/>
          </w:rPr>
          <w:tab/>
        </w:r>
        <w:r>
          <w:rPr>
            <w:noProof/>
            <w:webHidden/>
          </w:rPr>
          <w:fldChar w:fldCharType="begin"/>
        </w:r>
        <w:r>
          <w:rPr>
            <w:noProof/>
            <w:webHidden/>
          </w:rPr>
          <w:instrText xml:space="preserve"> PAGEREF _Toc147226888 \h </w:instrText>
        </w:r>
        <w:r>
          <w:rPr>
            <w:noProof/>
            <w:webHidden/>
          </w:rPr>
        </w:r>
        <w:r>
          <w:rPr>
            <w:noProof/>
            <w:webHidden/>
          </w:rPr>
          <w:fldChar w:fldCharType="separate"/>
        </w:r>
        <w:r>
          <w:rPr>
            <w:noProof/>
            <w:webHidden/>
          </w:rPr>
          <w:t>16</w:t>
        </w:r>
        <w:r>
          <w:rPr>
            <w:noProof/>
            <w:webHidden/>
          </w:rPr>
          <w:fldChar w:fldCharType="end"/>
        </w:r>
      </w:hyperlink>
    </w:p>
    <w:p w14:paraId="68477028" w14:textId="18F287A9" w:rsidR="00253AC2" w:rsidRDefault="00253AC2">
      <w:pPr>
        <w:pStyle w:val="TOC3"/>
        <w:tabs>
          <w:tab w:val="left" w:pos="1320"/>
          <w:tab w:val="right" w:leader="dot" w:pos="10790"/>
        </w:tabs>
        <w:rPr>
          <w:rFonts w:eastAsiaTheme="minorEastAsia"/>
          <w:noProof/>
        </w:rPr>
      </w:pPr>
      <w:hyperlink w:anchor="_Toc147226889" w:history="1">
        <w:r w:rsidRPr="005F703A">
          <w:rPr>
            <w:rStyle w:val="Hyperlink"/>
            <w:rFonts w:eastAsia="Tw Cen MT"/>
            <w:noProof/>
          </w:rPr>
          <w:t>4.2.3</w:t>
        </w:r>
        <w:r>
          <w:rPr>
            <w:rFonts w:eastAsiaTheme="minorEastAsia"/>
            <w:noProof/>
          </w:rPr>
          <w:tab/>
        </w:r>
        <w:r w:rsidRPr="005F703A">
          <w:rPr>
            <w:rStyle w:val="Hyperlink"/>
            <w:rFonts w:eastAsia="Tw Cen MT"/>
            <w:noProof/>
          </w:rPr>
          <w:t>Startup/Shutdown Scenarios</w:t>
        </w:r>
        <w:r>
          <w:rPr>
            <w:noProof/>
            <w:webHidden/>
          </w:rPr>
          <w:tab/>
        </w:r>
        <w:r>
          <w:rPr>
            <w:noProof/>
            <w:webHidden/>
          </w:rPr>
          <w:fldChar w:fldCharType="begin"/>
        </w:r>
        <w:r>
          <w:rPr>
            <w:noProof/>
            <w:webHidden/>
          </w:rPr>
          <w:instrText xml:space="preserve"> PAGEREF _Toc147226889 \h </w:instrText>
        </w:r>
        <w:r>
          <w:rPr>
            <w:noProof/>
            <w:webHidden/>
          </w:rPr>
        </w:r>
        <w:r>
          <w:rPr>
            <w:noProof/>
            <w:webHidden/>
          </w:rPr>
          <w:fldChar w:fldCharType="separate"/>
        </w:r>
        <w:r>
          <w:rPr>
            <w:noProof/>
            <w:webHidden/>
          </w:rPr>
          <w:t>16</w:t>
        </w:r>
        <w:r>
          <w:rPr>
            <w:noProof/>
            <w:webHidden/>
          </w:rPr>
          <w:fldChar w:fldCharType="end"/>
        </w:r>
      </w:hyperlink>
    </w:p>
    <w:p w14:paraId="17A6AF1C" w14:textId="30B01876" w:rsidR="00253AC2" w:rsidRDefault="00253AC2">
      <w:pPr>
        <w:pStyle w:val="TOC2"/>
        <w:tabs>
          <w:tab w:val="left" w:pos="880"/>
          <w:tab w:val="right" w:leader="dot" w:pos="10790"/>
        </w:tabs>
        <w:rPr>
          <w:rFonts w:eastAsiaTheme="minorEastAsia"/>
          <w:noProof/>
        </w:rPr>
      </w:pPr>
      <w:hyperlink w:anchor="_Toc147226890" w:history="1">
        <w:r w:rsidRPr="005F703A">
          <w:rPr>
            <w:rStyle w:val="Hyperlink"/>
            <w:rFonts w:eastAsia="Tw Cen MT"/>
            <w:noProof/>
            <w14:scene3d>
              <w14:camera w14:prst="orthographicFront"/>
              <w14:lightRig w14:rig="threePt" w14:dir="t">
                <w14:rot w14:lat="0" w14:lon="0" w14:rev="0"/>
              </w14:lightRig>
            </w14:scene3d>
          </w:rPr>
          <w:t>4.3</w:t>
        </w:r>
        <w:r>
          <w:rPr>
            <w:rFonts w:eastAsiaTheme="minorEastAsia"/>
            <w:noProof/>
          </w:rPr>
          <w:tab/>
        </w:r>
        <w:r w:rsidRPr="005F703A">
          <w:rPr>
            <w:rStyle w:val="Hyperlink"/>
            <w:rFonts w:eastAsia="Tw Cen MT"/>
            <w:noProof/>
          </w:rPr>
          <w:t>Guidance for Ozone and Fine Particulate Matter Permit Modeling</w:t>
        </w:r>
        <w:r>
          <w:rPr>
            <w:noProof/>
            <w:webHidden/>
          </w:rPr>
          <w:tab/>
        </w:r>
        <w:r>
          <w:rPr>
            <w:noProof/>
            <w:webHidden/>
          </w:rPr>
          <w:fldChar w:fldCharType="begin"/>
        </w:r>
        <w:r>
          <w:rPr>
            <w:noProof/>
            <w:webHidden/>
          </w:rPr>
          <w:instrText xml:space="preserve"> PAGEREF _Toc147226890 \h </w:instrText>
        </w:r>
        <w:r>
          <w:rPr>
            <w:noProof/>
            <w:webHidden/>
          </w:rPr>
        </w:r>
        <w:r>
          <w:rPr>
            <w:noProof/>
            <w:webHidden/>
          </w:rPr>
          <w:fldChar w:fldCharType="separate"/>
        </w:r>
        <w:r>
          <w:rPr>
            <w:noProof/>
            <w:webHidden/>
          </w:rPr>
          <w:t>17</w:t>
        </w:r>
        <w:r>
          <w:rPr>
            <w:noProof/>
            <w:webHidden/>
          </w:rPr>
          <w:fldChar w:fldCharType="end"/>
        </w:r>
      </w:hyperlink>
    </w:p>
    <w:p w14:paraId="70989352" w14:textId="5890E983" w:rsidR="00253AC2" w:rsidRDefault="00253AC2">
      <w:pPr>
        <w:pStyle w:val="TOC2"/>
        <w:tabs>
          <w:tab w:val="left" w:pos="880"/>
          <w:tab w:val="right" w:leader="dot" w:pos="10790"/>
        </w:tabs>
        <w:rPr>
          <w:rFonts w:eastAsiaTheme="minorEastAsia"/>
          <w:noProof/>
        </w:rPr>
      </w:pPr>
      <w:hyperlink w:anchor="_Toc147226891" w:history="1">
        <w:r w:rsidRPr="005F703A">
          <w:rPr>
            <w:rStyle w:val="Hyperlink"/>
            <w:rFonts w:eastAsia="Tw Cen MT"/>
            <w:noProof/>
            <w14:scene3d>
              <w14:camera w14:prst="orthographicFront"/>
              <w14:lightRig w14:rig="threePt" w14:dir="t">
                <w14:rot w14:lat="0" w14:lon="0" w14:rev="0"/>
              </w14:lightRig>
            </w14:scene3d>
          </w:rPr>
          <w:t>4.4</w:t>
        </w:r>
        <w:r>
          <w:rPr>
            <w:rFonts w:eastAsiaTheme="minorEastAsia"/>
            <w:noProof/>
          </w:rPr>
          <w:tab/>
        </w:r>
        <w:r w:rsidRPr="005F703A">
          <w:rPr>
            <w:rStyle w:val="Hyperlink"/>
            <w:rFonts w:eastAsia="Tw Cen MT"/>
            <w:noProof/>
          </w:rPr>
          <w:t>Single Source Air Quality Assessments for Secondarily Formed Particulate Matter</w:t>
        </w:r>
        <w:r>
          <w:rPr>
            <w:noProof/>
            <w:webHidden/>
          </w:rPr>
          <w:tab/>
        </w:r>
        <w:r>
          <w:rPr>
            <w:noProof/>
            <w:webHidden/>
          </w:rPr>
          <w:fldChar w:fldCharType="begin"/>
        </w:r>
        <w:r>
          <w:rPr>
            <w:noProof/>
            <w:webHidden/>
          </w:rPr>
          <w:instrText xml:space="preserve"> PAGEREF _Toc147226891 \h </w:instrText>
        </w:r>
        <w:r>
          <w:rPr>
            <w:noProof/>
            <w:webHidden/>
          </w:rPr>
        </w:r>
        <w:r>
          <w:rPr>
            <w:noProof/>
            <w:webHidden/>
          </w:rPr>
          <w:fldChar w:fldCharType="separate"/>
        </w:r>
        <w:r>
          <w:rPr>
            <w:noProof/>
            <w:webHidden/>
          </w:rPr>
          <w:t>17</w:t>
        </w:r>
        <w:r>
          <w:rPr>
            <w:noProof/>
            <w:webHidden/>
          </w:rPr>
          <w:fldChar w:fldCharType="end"/>
        </w:r>
      </w:hyperlink>
    </w:p>
    <w:p w14:paraId="28589BF0" w14:textId="61ECAEBB" w:rsidR="00253AC2" w:rsidRDefault="00253AC2">
      <w:pPr>
        <w:pStyle w:val="TOC3"/>
        <w:tabs>
          <w:tab w:val="left" w:pos="1320"/>
          <w:tab w:val="right" w:leader="dot" w:pos="10790"/>
        </w:tabs>
        <w:rPr>
          <w:rFonts w:eastAsiaTheme="minorEastAsia"/>
          <w:noProof/>
        </w:rPr>
      </w:pPr>
      <w:hyperlink w:anchor="_Toc147226892" w:history="1">
        <w:r w:rsidRPr="005F703A">
          <w:rPr>
            <w:rStyle w:val="Hyperlink"/>
            <w:rFonts w:eastAsia="Tw Cen MT"/>
            <w:noProof/>
          </w:rPr>
          <w:t>4.4.1</w:t>
        </w:r>
        <w:r>
          <w:rPr>
            <w:rFonts w:eastAsiaTheme="minorEastAsia"/>
            <w:noProof/>
          </w:rPr>
          <w:tab/>
        </w:r>
        <w:r w:rsidRPr="005F703A">
          <w:rPr>
            <w:rStyle w:val="Hyperlink"/>
            <w:rFonts w:eastAsia="Tw Cen MT"/>
            <w:noProof/>
          </w:rPr>
          <w:t>Single Source Air Quality PM</w:t>
        </w:r>
        <w:r w:rsidRPr="005F703A">
          <w:rPr>
            <w:rStyle w:val="Hyperlink"/>
            <w:rFonts w:eastAsia="Tw Cen MT"/>
            <w:noProof/>
            <w:vertAlign w:val="subscript"/>
          </w:rPr>
          <w:t>2.5</w:t>
        </w:r>
        <w:r w:rsidRPr="005F703A">
          <w:rPr>
            <w:rStyle w:val="Hyperlink"/>
            <w:rFonts w:eastAsia="Tw Cen MT"/>
            <w:noProof/>
          </w:rPr>
          <w:t xml:space="preserve"> Tier 1 Impact Assessment</w:t>
        </w:r>
        <w:r>
          <w:rPr>
            <w:noProof/>
            <w:webHidden/>
          </w:rPr>
          <w:tab/>
        </w:r>
        <w:r>
          <w:rPr>
            <w:noProof/>
            <w:webHidden/>
          </w:rPr>
          <w:fldChar w:fldCharType="begin"/>
        </w:r>
        <w:r>
          <w:rPr>
            <w:noProof/>
            <w:webHidden/>
          </w:rPr>
          <w:instrText xml:space="preserve"> PAGEREF _Toc147226892 \h </w:instrText>
        </w:r>
        <w:r>
          <w:rPr>
            <w:noProof/>
            <w:webHidden/>
          </w:rPr>
        </w:r>
        <w:r>
          <w:rPr>
            <w:noProof/>
            <w:webHidden/>
          </w:rPr>
          <w:fldChar w:fldCharType="separate"/>
        </w:r>
        <w:r>
          <w:rPr>
            <w:noProof/>
            <w:webHidden/>
          </w:rPr>
          <w:t>17</w:t>
        </w:r>
        <w:r>
          <w:rPr>
            <w:noProof/>
            <w:webHidden/>
          </w:rPr>
          <w:fldChar w:fldCharType="end"/>
        </w:r>
      </w:hyperlink>
    </w:p>
    <w:p w14:paraId="6A63166F" w14:textId="4C9F39B6" w:rsidR="00253AC2" w:rsidRDefault="00253AC2">
      <w:pPr>
        <w:pStyle w:val="TOC2"/>
        <w:tabs>
          <w:tab w:val="left" w:pos="880"/>
          <w:tab w:val="right" w:leader="dot" w:pos="10790"/>
        </w:tabs>
        <w:rPr>
          <w:rFonts w:eastAsiaTheme="minorEastAsia"/>
          <w:noProof/>
        </w:rPr>
      </w:pPr>
      <w:hyperlink w:anchor="_Toc147226893" w:history="1">
        <w:r w:rsidRPr="005F703A">
          <w:rPr>
            <w:rStyle w:val="Hyperlink"/>
            <w:rFonts w:eastAsia="Tw Cen MT"/>
            <w:noProof/>
            <w14:scene3d>
              <w14:camera w14:prst="orthographicFront"/>
              <w14:lightRig w14:rig="threePt" w14:dir="t">
                <w14:rot w14:lat="0" w14:lon="0" w14:rev="0"/>
              </w14:lightRig>
            </w14:scene3d>
          </w:rPr>
          <w:t>4.5</w:t>
        </w:r>
        <w:r>
          <w:rPr>
            <w:rFonts w:eastAsiaTheme="minorEastAsia"/>
            <w:noProof/>
          </w:rPr>
          <w:tab/>
        </w:r>
        <w:r w:rsidRPr="005F703A">
          <w:rPr>
            <w:rStyle w:val="Hyperlink"/>
            <w:rFonts w:eastAsia="Tw Cen MT"/>
            <w:noProof/>
          </w:rPr>
          <w:t>Multi-Source Refined Modeling and Inventory Requirements</w:t>
        </w:r>
        <w:r>
          <w:rPr>
            <w:noProof/>
            <w:webHidden/>
          </w:rPr>
          <w:tab/>
        </w:r>
        <w:r>
          <w:rPr>
            <w:noProof/>
            <w:webHidden/>
          </w:rPr>
          <w:fldChar w:fldCharType="begin"/>
        </w:r>
        <w:r>
          <w:rPr>
            <w:noProof/>
            <w:webHidden/>
          </w:rPr>
          <w:instrText xml:space="preserve"> PAGEREF _Toc147226893 \h </w:instrText>
        </w:r>
        <w:r>
          <w:rPr>
            <w:noProof/>
            <w:webHidden/>
          </w:rPr>
        </w:r>
        <w:r>
          <w:rPr>
            <w:noProof/>
            <w:webHidden/>
          </w:rPr>
          <w:fldChar w:fldCharType="separate"/>
        </w:r>
        <w:r>
          <w:rPr>
            <w:noProof/>
            <w:webHidden/>
          </w:rPr>
          <w:t>18</w:t>
        </w:r>
        <w:r>
          <w:rPr>
            <w:noProof/>
            <w:webHidden/>
          </w:rPr>
          <w:fldChar w:fldCharType="end"/>
        </w:r>
      </w:hyperlink>
    </w:p>
    <w:p w14:paraId="76608EC4" w14:textId="7A06EEF7" w:rsidR="00253AC2" w:rsidRDefault="00253AC2">
      <w:pPr>
        <w:pStyle w:val="TOC2"/>
        <w:tabs>
          <w:tab w:val="left" w:pos="880"/>
          <w:tab w:val="right" w:leader="dot" w:pos="10790"/>
        </w:tabs>
        <w:rPr>
          <w:rFonts w:eastAsiaTheme="minorEastAsia"/>
          <w:noProof/>
        </w:rPr>
      </w:pPr>
      <w:hyperlink w:anchor="_Toc147226894" w:history="1">
        <w:r w:rsidRPr="005F703A">
          <w:rPr>
            <w:rStyle w:val="Hyperlink"/>
            <w:rFonts w:eastAsia="Tw Cen MT"/>
            <w:noProof/>
            <w14:scene3d>
              <w14:camera w14:prst="orthographicFront"/>
              <w14:lightRig w14:rig="threePt" w14:dir="t">
                <w14:rot w14:lat="0" w14:lon="0" w14:rev="0"/>
              </w14:lightRig>
            </w14:scene3d>
          </w:rPr>
          <w:t>4.6</w:t>
        </w:r>
        <w:r>
          <w:rPr>
            <w:rFonts w:eastAsiaTheme="minorEastAsia"/>
            <w:noProof/>
          </w:rPr>
          <w:tab/>
        </w:r>
        <w:r w:rsidRPr="005F703A">
          <w:rPr>
            <w:rStyle w:val="Hyperlink"/>
            <w:rFonts w:eastAsia="Tw Cen MT"/>
            <w:noProof/>
          </w:rPr>
          <w:t>Additional PSD Impact Analyses</w:t>
        </w:r>
        <w:r>
          <w:rPr>
            <w:noProof/>
            <w:webHidden/>
          </w:rPr>
          <w:tab/>
        </w:r>
        <w:r>
          <w:rPr>
            <w:noProof/>
            <w:webHidden/>
          </w:rPr>
          <w:fldChar w:fldCharType="begin"/>
        </w:r>
        <w:r>
          <w:rPr>
            <w:noProof/>
            <w:webHidden/>
          </w:rPr>
          <w:instrText xml:space="preserve"> PAGEREF _Toc147226894 \h </w:instrText>
        </w:r>
        <w:r>
          <w:rPr>
            <w:noProof/>
            <w:webHidden/>
          </w:rPr>
        </w:r>
        <w:r>
          <w:rPr>
            <w:noProof/>
            <w:webHidden/>
          </w:rPr>
          <w:fldChar w:fldCharType="separate"/>
        </w:r>
        <w:r>
          <w:rPr>
            <w:noProof/>
            <w:webHidden/>
          </w:rPr>
          <w:t>18</w:t>
        </w:r>
        <w:r>
          <w:rPr>
            <w:noProof/>
            <w:webHidden/>
          </w:rPr>
          <w:fldChar w:fldCharType="end"/>
        </w:r>
      </w:hyperlink>
    </w:p>
    <w:p w14:paraId="7151EB5D" w14:textId="3FA086E1" w:rsidR="00253AC2" w:rsidRDefault="00253AC2">
      <w:pPr>
        <w:pStyle w:val="TOC2"/>
        <w:tabs>
          <w:tab w:val="left" w:pos="880"/>
          <w:tab w:val="right" w:leader="dot" w:pos="10790"/>
        </w:tabs>
        <w:rPr>
          <w:rFonts w:eastAsiaTheme="minorEastAsia"/>
          <w:noProof/>
        </w:rPr>
      </w:pPr>
      <w:hyperlink w:anchor="_Toc147226895" w:history="1">
        <w:r w:rsidRPr="005F703A">
          <w:rPr>
            <w:rStyle w:val="Hyperlink"/>
            <w:rFonts w:eastAsia="Tw Cen MT"/>
            <w:noProof/>
            <w14:scene3d>
              <w14:camera w14:prst="orthographicFront"/>
              <w14:lightRig w14:rig="threePt" w14:dir="t">
                <w14:rot w14:lat="0" w14:lon="0" w14:rev="0"/>
              </w14:lightRig>
            </w14:scene3d>
          </w:rPr>
          <w:t>4.7</w:t>
        </w:r>
        <w:r>
          <w:rPr>
            <w:rFonts w:eastAsiaTheme="minorEastAsia"/>
            <w:noProof/>
          </w:rPr>
          <w:tab/>
        </w:r>
        <w:r w:rsidRPr="005F703A">
          <w:rPr>
            <w:rStyle w:val="Hyperlink"/>
            <w:rFonts w:eastAsia="Tw Cen MT"/>
            <w:noProof/>
          </w:rPr>
          <w:t>Air Quality Related Values</w:t>
        </w:r>
        <w:r>
          <w:rPr>
            <w:noProof/>
            <w:webHidden/>
          </w:rPr>
          <w:tab/>
        </w:r>
        <w:r>
          <w:rPr>
            <w:noProof/>
            <w:webHidden/>
          </w:rPr>
          <w:fldChar w:fldCharType="begin"/>
        </w:r>
        <w:r>
          <w:rPr>
            <w:noProof/>
            <w:webHidden/>
          </w:rPr>
          <w:instrText xml:space="preserve"> PAGEREF _Toc147226895 \h </w:instrText>
        </w:r>
        <w:r>
          <w:rPr>
            <w:noProof/>
            <w:webHidden/>
          </w:rPr>
        </w:r>
        <w:r>
          <w:rPr>
            <w:noProof/>
            <w:webHidden/>
          </w:rPr>
          <w:fldChar w:fldCharType="separate"/>
        </w:r>
        <w:r>
          <w:rPr>
            <w:noProof/>
            <w:webHidden/>
          </w:rPr>
          <w:t>19</w:t>
        </w:r>
        <w:r>
          <w:rPr>
            <w:noProof/>
            <w:webHidden/>
          </w:rPr>
          <w:fldChar w:fldCharType="end"/>
        </w:r>
      </w:hyperlink>
    </w:p>
    <w:p w14:paraId="6EBF39DB" w14:textId="135823A1" w:rsidR="00253AC2" w:rsidRDefault="00253AC2">
      <w:pPr>
        <w:pStyle w:val="TOC1"/>
        <w:rPr>
          <w:rFonts w:eastAsiaTheme="minorEastAsia"/>
          <w:noProof/>
        </w:rPr>
      </w:pPr>
      <w:hyperlink w:anchor="_Toc147226896" w:history="1">
        <w:r w:rsidRPr="005F703A">
          <w:rPr>
            <w:rStyle w:val="Hyperlink"/>
            <w:rFonts w:eastAsia="Tw Cen MT"/>
            <w:noProof/>
            <w14:scene3d>
              <w14:camera w14:prst="orthographicFront"/>
              <w14:lightRig w14:rig="threePt" w14:dir="t">
                <w14:rot w14:lat="0" w14:lon="0" w14:rev="0"/>
              </w14:lightRig>
            </w14:scene3d>
          </w:rPr>
          <w:t>Section 5</w:t>
        </w:r>
        <w:r>
          <w:rPr>
            <w:rFonts w:eastAsiaTheme="minorEastAsia"/>
            <w:noProof/>
          </w:rPr>
          <w:tab/>
        </w:r>
        <w:r w:rsidRPr="005F703A">
          <w:rPr>
            <w:rStyle w:val="Hyperlink"/>
            <w:rFonts w:eastAsia="Tw Cen MT"/>
            <w:noProof/>
          </w:rPr>
          <w:t>Background Air Quality</w:t>
        </w:r>
        <w:r>
          <w:rPr>
            <w:noProof/>
            <w:webHidden/>
          </w:rPr>
          <w:tab/>
        </w:r>
        <w:r>
          <w:rPr>
            <w:noProof/>
            <w:webHidden/>
          </w:rPr>
          <w:fldChar w:fldCharType="begin"/>
        </w:r>
        <w:r>
          <w:rPr>
            <w:noProof/>
            <w:webHidden/>
          </w:rPr>
          <w:instrText xml:space="preserve"> PAGEREF _Toc147226896 \h </w:instrText>
        </w:r>
        <w:r>
          <w:rPr>
            <w:noProof/>
            <w:webHidden/>
          </w:rPr>
        </w:r>
        <w:r>
          <w:rPr>
            <w:noProof/>
            <w:webHidden/>
          </w:rPr>
          <w:fldChar w:fldCharType="separate"/>
        </w:r>
        <w:r>
          <w:rPr>
            <w:noProof/>
            <w:webHidden/>
          </w:rPr>
          <w:t>19</w:t>
        </w:r>
        <w:r>
          <w:rPr>
            <w:noProof/>
            <w:webHidden/>
          </w:rPr>
          <w:fldChar w:fldCharType="end"/>
        </w:r>
      </w:hyperlink>
    </w:p>
    <w:p w14:paraId="391B7621" w14:textId="3217EC80" w:rsidR="00253AC2" w:rsidRDefault="00253AC2">
      <w:pPr>
        <w:pStyle w:val="TOC2"/>
        <w:tabs>
          <w:tab w:val="left" w:pos="880"/>
          <w:tab w:val="right" w:leader="dot" w:pos="10790"/>
        </w:tabs>
        <w:rPr>
          <w:rFonts w:eastAsiaTheme="minorEastAsia"/>
          <w:noProof/>
        </w:rPr>
      </w:pPr>
      <w:hyperlink w:anchor="_Toc147226897" w:history="1">
        <w:r w:rsidRPr="005F703A">
          <w:rPr>
            <w:rStyle w:val="Hyperlink"/>
            <w:rFonts w:eastAsia="Tw Cen MT"/>
            <w:noProof/>
            <w14:scene3d>
              <w14:camera w14:prst="orthographicFront"/>
              <w14:lightRig w14:rig="threePt" w14:dir="t">
                <w14:rot w14:lat="0" w14:lon="0" w14:rev="0"/>
              </w14:lightRig>
            </w14:scene3d>
          </w:rPr>
          <w:t>5.0</w:t>
        </w:r>
        <w:r>
          <w:rPr>
            <w:rFonts w:eastAsiaTheme="minorEastAsia"/>
            <w:noProof/>
          </w:rPr>
          <w:tab/>
        </w:r>
        <w:r w:rsidRPr="005F703A">
          <w:rPr>
            <w:rStyle w:val="Hyperlink"/>
            <w:rFonts w:eastAsia="Tw Cen MT"/>
            <w:noProof/>
          </w:rPr>
          <w:t>Monitored Design Concentrations</w:t>
        </w:r>
        <w:r>
          <w:rPr>
            <w:noProof/>
            <w:webHidden/>
          </w:rPr>
          <w:tab/>
        </w:r>
        <w:r>
          <w:rPr>
            <w:noProof/>
            <w:webHidden/>
          </w:rPr>
          <w:fldChar w:fldCharType="begin"/>
        </w:r>
        <w:r>
          <w:rPr>
            <w:noProof/>
            <w:webHidden/>
          </w:rPr>
          <w:instrText xml:space="preserve"> PAGEREF _Toc147226897 \h </w:instrText>
        </w:r>
        <w:r>
          <w:rPr>
            <w:noProof/>
            <w:webHidden/>
          </w:rPr>
        </w:r>
        <w:r>
          <w:rPr>
            <w:noProof/>
            <w:webHidden/>
          </w:rPr>
          <w:fldChar w:fldCharType="separate"/>
        </w:r>
        <w:r>
          <w:rPr>
            <w:noProof/>
            <w:webHidden/>
          </w:rPr>
          <w:t>19</w:t>
        </w:r>
        <w:r>
          <w:rPr>
            <w:noProof/>
            <w:webHidden/>
          </w:rPr>
          <w:fldChar w:fldCharType="end"/>
        </w:r>
      </w:hyperlink>
    </w:p>
    <w:p w14:paraId="6D8F954B" w14:textId="19F79694" w:rsidR="00253AC2" w:rsidRDefault="00253AC2">
      <w:pPr>
        <w:pStyle w:val="TOC2"/>
        <w:tabs>
          <w:tab w:val="left" w:pos="880"/>
          <w:tab w:val="right" w:leader="dot" w:pos="10790"/>
        </w:tabs>
        <w:rPr>
          <w:rFonts w:eastAsiaTheme="minorEastAsia"/>
          <w:noProof/>
        </w:rPr>
      </w:pPr>
      <w:hyperlink w:anchor="_Toc147226898" w:history="1">
        <w:r w:rsidRPr="005F703A">
          <w:rPr>
            <w:rStyle w:val="Hyperlink"/>
            <w:rFonts w:eastAsia="Tw Cen MT"/>
            <w:noProof/>
            <w14:scene3d>
              <w14:camera w14:prst="orthographicFront"/>
              <w14:lightRig w14:rig="threePt" w14:dir="t">
                <w14:rot w14:lat="0" w14:lon="0" w14:rev="0"/>
              </w14:lightRig>
            </w14:scene3d>
          </w:rPr>
          <w:t>5.1</w:t>
        </w:r>
        <w:r>
          <w:rPr>
            <w:rFonts w:eastAsiaTheme="minorEastAsia"/>
            <w:noProof/>
          </w:rPr>
          <w:tab/>
        </w:r>
        <w:r w:rsidRPr="005F703A">
          <w:rPr>
            <w:rStyle w:val="Hyperlink"/>
            <w:rFonts w:eastAsia="Tw Cen MT"/>
            <w:noProof/>
          </w:rPr>
          <w:t>Hazardous Air Pollutants</w:t>
        </w:r>
        <w:r>
          <w:rPr>
            <w:noProof/>
            <w:webHidden/>
          </w:rPr>
          <w:tab/>
        </w:r>
        <w:r>
          <w:rPr>
            <w:noProof/>
            <w:webHidden/>
          </w:rPr>
          <w:fldChar w:fldCharType="begin"/>
        </w:r>
        <w:r>
          <w:rPr>
            <w:noProof/>
            <w:webHidden/>
          </w:rPr>
          <w:instrText xml:space="preserve"> PAGEREF _Toc147226898 \h </w:instrText>
        </w:r>
        <w:r>
          <w:rPr>
            <w:noProof/>
            <w:webHidden/>
          </w:rPr>
        </w:r>
        <w:r>
          <w:rPr>
            <w:noProof/>
            <w:webHidden/>
          </w:rPr>
          <w:fldChar w:fldCharType="separate"/>
        </w:r>
        <w:r>
          <w:rPr>
            <w:noProof/>
            <w:webHidden/>
          </w:rPr>
          <w:t>20</w:t>
        </w:r>
        <w:r>
          <w:rPr>
            <w:noProof/>
            <w:webHidden/>
          </w:rPr>
          <w:fldChar w:fldCharType="end"/>
        </w:r>
      </w:hyperlink>
    </w:p>
    <w:p w14:paraId="385F5F20" w14:textId="078A3D77" w:rsidR="00253AC2" w:rsidRDefault="00253AC2">
      <w:pPr>
        <w:pStyle w:val="TOC1"/>
        <w:rPr>
          <w:rFonts w:eastAsiaTheme="minorEastAsia"/>
          <w:noProof/>
        </w:rPr>
      </w:pPr>
      <w:hyperlink w:anchor="_Toc147226899" w:history="1">
        <w:r w:rsidRPr="005F703A">
          <w:rPr>
            <w:rStyle w:val="Hyperlink"/>
            <w:rFonts w:eastAsia="Tw Cen MT"/>
            <w:noProof/>
            <w14:scene3d>
              <w14:camera w14:prst="orthographicFront"/>
              <w14:lightRig w14:rig="threePt" w14:dir="t">
                <w14:rot w14:lat="0" w14:lon="0" w14:rev="0"/>
              </w14:lightRig>
            </w14:scene3d>
          </w:rPr>
          <w:t>Section 6</w:t>
        </w:r>
        <w:r>
          <w:rPr>
            <w:rFonts w:eastAsiaTheme="minorEastAsia"/>
            <w:noProof/>
          </w:rPr>
          <w:tab/>
        </w:r>
        <w:r w:rsidRPr="005F703A">
          <w:rPr>
            <w:rStyle w:val="Hyperlink"/>
            <w:rFonts w:eastAsia="Tw Cen MT"/>
            <w:noProof/>
          </w:rPr>
          <w:t>Analysis and Interpretation of Modeled Results</w:t>
        </w:r>
        <w:r>
          <w:rPr>
            <w:noProof/>
            <w:webHidden/>
          </w:rPr>
          <w:tab/>
        </w:r>
        <w:r>
          <w:rPr>
            <w:noProof/>
            <w:webHidden/>
          </w:rPr>
          <w:fldChar w:fldCharType="begin"/>
        </w:r>
        <w:r>
          <w:rPr>
            <w:noProof/>
            <w:webHidden/>
          </w:rPr>
          <w:instrText xml:space="preserve"> PAGEREF _Toc147226899 \h </w:instrText>
        </w:r>
        <w:r>
          <w:rPr>
            <w:noProof/>
            <w:webHidden/>
          </w:rPr>
        </w:r>
        <w:r>
          <w:rPr>
            <w:noProof/>
            <w:webHidden/>
          </w:rPr>
          <w:fldChar w:fldCharType="separate"/>
        </w:r>
        <w:r>
          <w:rPr>
            <w:noProof/>
            <w:webHidden/>
          </w:rPr>
          <w:t>21</w:t>
        </w:r>
        <w:r>
          <w:rPr>
            <w:noProof/>
            <w:webHidden/>
          </w:rPr>
          <w:fldChar w:fldCharType="end"/>
        </w:r>
      </w:hyperlink>
    </w:p>
    <w:p w14:paraId="3DD11249" w14:textId="65404677" w:rsidR="00253AC2" w:rsidRDefault="00253AC2">
      <w:pPr>
        <w:pStyle w:val="TOC2"/>
        <w:tabs>
          <w:tab w:val="left" w:pos="880"/>
          <w:tab w:val="right" w:leader="dot" w:pos="10790"/>
        </w:tabs>
        <w:rPr>
          <w:rFonts w:eastAsiaTheme="minorEastAsia"/>
          <w:noProof/>
        </w:rPr>
      </w:pPr>
      <w:hyperlink w:anchor="_Toc147226900" w:history="1">
        <w:r w:rsidRPr="005F703A">
          <w:rPr>
            <w:rStyle w:val="Hyperlink"/>
            <w:rFonts w:eastAsia="Tw Cen MT"/>
            <w:noProof/>
            <w14:scene3d>
              <w14:camera w14:prst="orthographicFront"/>
              <w14:lightRig w14:rig="threePt" w14:dir="t">
                <w14:rot w14:lat="0" w14:lon="0" w14:rev="0"/>
              </w14:lightRig>
            </w14:scene3d>
          </w:rPr>
          <w:t>6.0</w:t>
        </w:r>
        <w:r>
          <w:rPr>
            <w:rFonts w:eastAsiaTheme="minorEastAsia"/>
            <w:noProof/>
          </w:rPr>
          <w:tab/>
        </w:r>
        <w:r w:rsidRPr="005F703A">
          <w:rPr>
            <w:rStyle w:val="Hyperlink"/>
            <w:rFonts w:eastAsia="Tw Cen MT"/>
            <w:noProof/>
          </w:rPr>
          <w:t>Short-Term Averages</w:t>
        </w:r>
        <w:r>
          <w:rPr>
            <w:noProof/>
            <w:webHidden/>
          </w:rPr>
          <w:tab/>
        </w:r>
        <w:r>
          <w:rPr>
            <w:noProof/>
            <w:webHidden/>
          </w:rPr>
          <w:fldChar w:fldCharType="begin"/>
        </w:r>
        <w:r>
          <w:rPr>
            <w:noProof/>
            <w:webHidden/>
          </w:rPr>
          <w:instrText xml:space="preserve"> PAGEREF _Toc147226900 \h </w:instrText>
        </w:r>
        <w:r>
          <w:rPr>
            <w:noProof/>
            <w:webHidden/>
          </w:rPr>
        </w:r>
        <w:r>
          <w:rPr>
            <w:noProof/>
            <w:webHidden/>
          </w:rPr>
          <w:fldChar w:fldCharType="separate"/>
        </w:r>
        <w:r>
          <w:rPr>
            <w:noProof/>
            <w:webHidden/>
          </w:rPr>
          <w:t>21</w:t>
        </w:r>
        <w:r>
          <w:rPr>
            <w:noProof/>
            <w:webHidden/>
          </w:rPr>
          <w:fldChar w:fldCharType="end"/>
        </w:r>
      </w:hyperlink>
    </w:p>
    <w:p w14:paraId="18B7552F" w14:textId="5229F48B" w:rsidR="00253AC2" w:rsidRDefault="00253AC2">
      <w:pPr>
        <w:pStyle w:val="TOC2"/>
        <w:tabs>
          <w:tab w:val="left" w:pos="880"/>
          <w:tab w:val="right" w:leader="dot" w:pos="10790"/>
        </w:tabs>
        <w:rPr>
          <w:rFonts w:eastAsiaTheme="minorEastAsia"/>
          <w:noProof/>
        </w:rPr>
      </w:pPr>
      <w:hyperlink w:anchor="_Toc147226901" w:history="1">
        <w:r w:rsidRPr="005F703A">
          <w:rPr>
            <w:rStyle w:val="Hyperlink"/>
            <w:rFonts w:eastAsia="Tw Cen MT"/>
            <w:noProof/>
            <w14:scene3d>
              <w14:camera w14:prst="orthographicFront"/>
              <w14:lightRig w14:rig="threePt" w14:dir="t">
                <w14:rot w14:lat="0" w14:lon="0" w14:rev="0"/>
              </w14:lightRig>
            </w14:scene3d>
          </w:rPr>
          <w:t>6.1</w:t>
        </w:r>
        <w:r>
          <w:rPr>
            <w:rFonts w:eastAsiaTheme="minorEastAsia"/>
            <w:noProof/>
          </w:rPr>
          <w:tab/>
        </w:r>
        <w:r w:rsidRPr="005F703A">
          <w:rPr>
            <w:rStyle w:val="Hyperlink"/>
            <w:rFonts w:eastAsia="Tw Cen MT"/>
            <w:noProof/>
          </w:rPr>
          <w:t>Long-Term Averages</w:t>
        </w:r>
        <w:r>
          <w:rPr>
            <w:noProof/>
            <w:webHidden/>
          </w:rPr>
          <w:tab/>
        </w:r>
        <w:r>
          <w:rPr>
            <w:noProof/>
            <w:webHidden/>
          </w:rPr>
          <w:fldChar w:fldCharType="begin"/>
        </w:r>
        <w:r>
          <w:rPr>
            <w:noProof/>
            <w:webHidden/>
          </w:rPr>
          <w:instrText xml:space="preserve"> PAGEREF _Toc147226901 \h </w:instrText>
        </w:r>
        <w:r>
          <w:rPr>
            <w:noProof/>
            <w:webHidden/>
          </w:rPr>
        </w:r>
        <w:r>
          <w:rPr>
            <w:noProof/>
            <w:webHidden/>
          </w:rPr>
          <w:fldChar w:fldCharType="separate"/>
        </w:r>
        <w:r>
          <w:rPr>
            <w:noProof/>
            <w:webHidden/>
          </w:rPr>
          <w:t>21</w:t>
        </w:r>
        <w:r>
          <w:rPr>
            <w:noProof/>
            <w:webHidden/>
          </w:rPr>
          <w:fldChar w:fldCharType="end"/>
        </w:r>
      </w:hyperlink>
    </w:p>
    <w:p w14:paraId="4C4BBDAC" w14:textId="5BBA9EE3" w:rsidR="00253AC2" w:rsidRDefault="00253AC2">
      <w:pPr>
        <w:pStyle w:val="TOC1"/>
        <w:rPr>
          <w:rFonts w:eastAsiaTheme="minorEastAsia"/>
          <w:noProof/>
        </w:rPr>
      </w:pPr>
      <w:hyperlink w:anchor="_Toc147226902" w:history="1">
        <w:r w:rsidRPr="005F703A">
          <w:rPr>
            <w:rStyle w:val="Hyperlink"/>
            <w:rFonts w:eastAsia="Tw Cen MT"/>
            <w:noProof/>
            <w14:scene3d>
              <w14:camera w14:prst="orthographicFront"/>
              <w14:lightRig w14:rig="threePt" w14:dir="t">
                <w14:rot w14:lat="0" w14:lon="0" w14:rev="0"/>
              </w14:lightRig>
            </w14:scene3d>
          </w:rPr>
          <w:t>Section 7</w:t>
        </w:r>
        <w:r>
          <w:rPr>
            <w:rFonts w:eastAsiaTheme="minorEastAsia"/>
            <w:noProof/>
          </w:rPr>
          <w:tab/>
        </w:r>
        <w:r w:rsidRPr="005F703A">
          <w:rPr>
            <w:rStyle w:val="Hyperlink"/>
            <w:rFonts w:eastAsia="Tw Cen MT"/>
            <w:noProof/>
          </w:rPr>
          <w:t>Presentation of Compliance Demonstration</w:t>
        </w:r>
        <w:r>
          <w:rPr>
            <w:noProof/>
            <w:webHidden/>
          </w:rPr>
          <w:tab/>
        </w:r>
        <w:r>
          <w:rPr>
            <w:noProof/>
            <w:webHidden/>
          </w:rPr>
          <w:fldChar w:fldCharType="begin"/>
        </w:r>
        <w:r>
          <w:rPr>
            <w:noProof/>
            <w:webHidden/>
          </w:rPr>
          <w:instrText xml:space="preserve"> PAGEREF _Toc147226902 \h </w:instrText>
        </w:r>
        <w:r>
          <w:rPr>
            <w:noProof/>
            <w:webHidden/>
          </w:rPr>
        </w:r>
        <w:r>
          <w:rPr>
            <w:noProof/>
            <w:webHidden/>
          </w:rPr>
          <w:fldChar w:fldCharType="separate"/>
        </w:r>
        <w:r>
          <w:rPr>
            <w:noProof/>
            <w:webHidden/>
          </w:rPr>
          <w:t>21</w:t>
        </w:r>
        <w:r>
          <w:rPr>
            <w:noProof/>
            <w:webHidden/>
          </w:rPr>
          <w:fldChar w:fldCharType="end"/>
        </w:r>
      </w:hyperlink>
    </w:p>
    <w:p w14:paraId="10B841E9" w14:textId="3BF853B8" w:rsidR="00253AC2" w:rsidRDefault="00253AC2">
      <w:pPr>
        <w:pStyle w:val="TOC1"/>
        <w:rPr>
          <w:rFonts w:eastAsiaTheme="minorEastAsia"/>
          <w:noProof/>
        </w:rPr>
      </w:pPr>
      <w:hyperlink w:anchor="_Toc147226903" w:history="1">
        <w:r w:rsidRPr="005F703A">
          <w:rPr>
            <w:rStyle w:val="Hyperlink"/>
            <w:rFonts w:eastAsia="Calibri"/>
            <w:noProof/>
          </w:rPr>
          <w:t>Appendix A</w:t>
        </w:r>
        <w:r>
          <w:rPr>
            <w:noProof/>
            <w:webHidden/>
          </w:rPr>
          <w:tab/>
        </w:r>
        <w:r>
          <w:rPr>
            <w:noProof/>
            <w:webHidden/>
          </w:rPr>
          <w:fldChar w:fldCharType="begin"/>
        </w:r>
        <w:r>
          <w:rPr>
            <w:noProof/>
            <w:webHidden/>
          </w:rPr>
          <w:instrText xml:space="preserve"> PAGEREF _Toc147226903 \h </w:instrText>
        </w:r>
        <w:r>
          <w:rPr>
            <w:noProof/>
            <w:webHidden/>
          </w:rPr>
        </w:r>
        <w:r>
          <w:rPr>
            <w:noProof/>
            <w:webHidden/>
          </w:rPr>
          <w:fldChar w:fldCharType="separate"/>
        </w:r>
        <w:r>
          <w:rPr>
            <w:noProof/>
            <w:webHidden/>
          </w:rPr>
          <w:t>23</w:t>
        </w:r>
        <w:r>
          <w:rPr>
            <w:noProof/>
            <w:webHidden/>
          </w:rPr>
          <w:fldChar w:fldCharType="end"/>
        </w:r>
      </w:hyperlink>
    </w:p>
    <w:p w14:paraId="07C533A2" w14:textId="5EB9D280" w:rsidR="00253AC2" w:rsidRDefault="00253AC2">
      <w:pPr>
        <w:pStyle w:val="TOC1"/>
        <w:rPr>
          <w:rFonts w:eastAsiaTheme="minorEastAsia"/>
          <w:noProof/>
        </w:rPr>
      </w:pPr>
      <w:hyperlink w:anchor="_Toc147226904" w:history="1">
        <w:r w:rsidRPr="005F703A">
          <w:rPr>
            <w:rStyle w:val="Hyperlink"/>
            <w:noProof/>
          </w:rPr>
          <w:t>Appendix B</w:t>
        </w:r>
        <w:r>
          <w:rPr>
            <w:rFonts w:eastAsiaTheme="minorEastAsia"/>
            <w:noProof/>
          </w:rPr>
          <w:tab/>
        </w:r>
        <w:r w:rsidRPr="005F703A">
          <w:rPr>
            <w:rStyle w:val="Hyperlink"/>
            <w:noProof/>
          </w:rPr>
          <w:t>Air Quality Modeling Check List</w:t>
        </w:r>
        <w:r>
          <w:rPr>
            <w:noProof/>
            <w:webHidden/>
          </w:rPr>
          <w:tab/>
        </w:r>
        <w:r>
          <w:rPr>
            <w:noProof/>
            <w:webHidden/>
          </w:rPr>
          <w:fldChar w:fldCharType="begin"/>
        </w:r>
        <w:r>
          <w:rPr>
            <w:noProof/>
            <w:webHidden/>
          </w:rPr>
          <w:instrText xml:space="preserve"> PAGEREF _Toc147226904 \h </w:instrText>
        </w:r>
        <w:r>
          <w:rPr>
            <w:noProof/>
            <w:webHidden/>
          </w:rPr>
        </w:r>
        <w:r>
          <w:rPr>
            <w:noProof/>
            <w:webHidden/>
          </w:rPr>
          <w:fldChar w:fldCharType="separate"/>
        </w:r>
        <w:r>
          <w:rPr>
            <w:noProof/>
            <w:webHidden/>
          </w:rPr>
          <w:t>24</w:t>
        </w:r>
        <w:r>
          <w:rPr>
            <w:noProof/>
            <w:webHidden/>
          </w:rPr>
          <w:fldChar w:fldCharType="end"/>
        </w:r>
      </w:hyperlink>
    </w:p>
    <w:p w14:paraId="335A72DE" w14:textId="5F90203A" w:rsidR="00253AC2" w:rsidRDefault="00253AC2">
      <w:pPr>
        <w:pStyle w:val="TOC1"/>
        <w:rPr>
          <w:rFonts w:eastAsiaTheme="minorEastAsia"/>
          <w:noProof/>
        </w:rPr>
      </w:pPr>
      <w:hyperlink w:anchor="_Toc147226905" w:history="1">
        <w:r w:rsidRPr="005F703A">
          <w:rPr>
            <w:rStyle w:val="Hyperlink"/>
            <w:rFonts w:eastAsia="Tw Cen MT"/>
            <w:noProof/>
          </w:rPr>
          <w:t>References</w:t>
        </w:r>
        <w:r>
          <w:rPr>
            <w:noProof/>
            <w:webHidden/>
          </w:rPr>
          <w:tab/>
        </w:r>
        <w:r>
          <w:rPr>
            <w:noProof/>
            <w:webHidden/>
          </w:rPr>
          <w:fldChar w:fldCharType="begin"/>
        </w:r>
        <w:r>
          <w:rPr>
            <w:noProof/>
            <w:webHidden/>
          </w:rPr>
          <w:instrText xml:space="preserve"> PAGEREF _Toc147226905 \h </w:instrText>
        </w:r>
        <w:r>
          <w:rPr>
            <w:noProof/>
            <w:webHidden/>
          </w:rPr>
        </w:r>
        <w:r>
          <w:rPr>
            <w:noProof/>
            <w:webHidden/>
          </w:rPr>
          <w:fldChar w:fldCharType="separate"/>
        </w:r>
        <w:r>
          <w:rPr>
            <w:noProof/>
            <w:webHidden/>
          </w:rPr>
          <w:t>28</w:t>
        </w:r>
        <w:r>
          <w:rPr>
            <w:noProof/>
            <w:webHidden/>
          </w:rPr>
          <w:fldChar w:fldCharType="end"/>
        </w:r>
      </w:hyperlink>
    </w:p>
    <w:p w14:paraId="12AE7D13" w14:textId="2FF57E26" w:rsidR="00A34B71" w:rsidRDefault="00A34B71" w:rsidP="00A34B71">
      <w:pPr>
        <w:sectPr w:rsidR="00A34B71" w:rsidSect="00EF1185">
          <w:pgSz w:w="12240" w:h="15840"/>
          <w:pgMar w:top="1800" w:right="720" w:bottom="720" w:left="720" w:header="720" w:footer="576" w:gutter="0"/>
          <w:pgNumType w:fmt="lowerRoman" w:start="1"/>
          <w:cols w:space="720"/>
          <w:docGrid w:linePitch="360"/>
        </w:sectPr>
      </w:pPr>
      <w:r w:rsidRPr="005C6408">
        <w:rPr>
          <w:sz w:val="20"/>
        </w:rPr>
        <w:fldChar w:fldCharType="end"/>
      </w:r>
    </w:p>
    <w:p w14:paraId="68AA25E2" w14:textId="288F7BB3" w:rsidR="004F5587" w:rsidRPr="004F5587" w:rsidRDefault="004F5587" w:rsidP="00803347">
      <w:pPr>
        <w:pStyle w:val="Heading1"/>
      </w:pPr>
      <w:bookmarkStart w:id="8" w:name="_Hlk136405410"/>
      <w:bookmarkStart w:id="9" w:name="_Toc147226869"/>
      <w:bookmarkEnd w:id="6"/>
      <w:bookmarkEnd w:id="5"/>
      <w:bookmarkEnd w:id="4"/>
      <w:bookmarkEnd w:id="3"/>
      <w:bookmarkEnd w:id="2"/>
      <w:bookmarkEnd w:id="1"/>
      <w:bookmarkEnd w:id="0"/>
      <w:r w:rsidRPr="00803347">
        <w:lastRenderedPageBreak/>
        <w:t>Introduction</w:t>
      </w:r>
      <w:bookmarkEnd w:id="9"/>
    </w:p>
    <w:p w14:paraId="01C659E7" w14:textId="37309B1C" w:rsidR="00A34B71" w:rsidRPr="0068191B" w:rsidRDefault="004F5587" w:rsidP="00A34B71">
      <w:pPr>
        <w:pStyle w:val="Heading2"/>
      </w:pPr>
      <w:bookmarkStart w:id="10" w:name="_Hlk136405439"/>
      <w:bookmarkStart w:id="11" w:name="_Toc147226870"/>
      <w:bookmarkEnd w:id="8"/>
      <w:r>
        <w:t>Background</w:t>
      </w:r>
      <w:bookmarkEnd w:id="11"/>
    </w:p>
    <w:p w14:paraId="4DD56E5C" w14:textId="05DE14F5" w:rsidR="004F5587" w:rsidRDefault="004F5587" w:rsidP="004F5587">
      <w:pPr>
        <w:rPr>
          <w:rFonts w:ascii="Calibri" w:eastAsia="Calibri" w:hAnsi="Calibri" w:cs="Calibri"/>
        </w:rPr>
      </w:pPr>
      <w:r>
        <w:rPr>
          <w:rFonts w:ascii="Calibri" w:eastAsia="Calibri" w:hAnsi="Calibri" w:cs="Calibri"/>
        </w:rPr>
        <w:t xml:space="preserve">This Ambient Impact Analysis Guideline (AIAG) has been written as a detailed supplement to the modeling procedures contained in the Environmental Protection Agency’s (EPA) Guideline on Air Quality Models (GAQM), as incorporated in </w:t>
      </w:r>
      <w:hyperlink r:id="rId11" w:history="1">
        <w:r w:rsidRPr="00246786">
          <w:rPr>
            <w:rStyle w:val="Hyperlink"/>
            <w:rFonts w:ascii="Calibri" w:eastAsia="Calibri" w:hAnsi="Calibri" w:cs="Calibri"/>
          </w:rPr>
          <w:t>Appendix W of 40 CFR Part 51</w:t>
        </w:r>
      </w:hyperlink>
      <w:r>
        <w:rPr>
          <w:rFonts w:ascii="Calibri" w:eastAsia="Calibri" w:hAnsi="Calibri" w:cs="Calibri"/>
        </w:rPr>
        <w:t xml:space="preserve">, and certain EPA clarification/guidance memorandums which supplement Appendix W. </w:t>
      </w:r>
      <w:r w:rsidR="00127209">
        <w:rPr>
          <w:rFonts w:ascii="Calibri" w:eastAsia="Calibri" w:hAnsi="Calibri" w:cs="Calibri"/>
        </w:rPr>
        <w:t xml:space="preserve">The </w:t>
      </w:r>
      <w:r>
        <w:rPr>
          <w:rFonts w:ascii="Calibri" w:eastAsia="Calibri" w:hAnsi="Calibri" w:cs="Calibri"/>
        </w:rPr>
        <w:t xml:space="preserve">EPA guidance addresses a broad range of modeling issues such as model selection, input data requirements, and technical considerations that are appropriate for assessing impacts from stationary sources, mobile sources, photochemical processes, and long-range transport. </w:t>
      </w:r>
      <w:r w:rsidR="00127209">
        <w:rPr>
          <w:rFonts w:ascii="Calibri" w:eastAsia="Calibri" w:hAnsi="Calibri" w:cs="Calibri"/>
        </w:rPr>
        <w:t>Whereas t</w:t>
      </w:r>
      <w:r>
        <w:rPr>
          <w:rFonts w:ascii="Calibri" w:eastAsia="Calibri" w:hAnsi="Calibri" w:cs="Calibri"/>
        </w:rPr>
        <w:t>his guidance document focuses on modeling procedures that pertain to short-range (i.e., &lt;50 kilometers (km)) stationary source modeling in Connecticut. The Connecticut Department of Energy and Environmental Protection (CT DEEP) will</w:t>
      </w:r>
      <w:r w:rsidR="00127209">
        <w:rPr>
          <w:rFonts w:ascii="Calibri" w:eastAsia="Calibri" w:hAnsi="Calibri" w:cs="Calibri"/>
        </w:rPr>
        <w:t xml:space="preserve"> periodically</w:t>
      </w:r>
      <w:r>
        <w:rPr>
          <w:rFonts w:ascii="Calibri" w:eastAsia="Calibri" w:hAnsi="Calibri" w:cs="Calibri"/>
        </w:rPr>
        <w:t xml:space="preserve"> update this guidance document to reflect any substantive changes to EPA or CT DEEP preferred modeling techniques. Readers should check </w:t>
      </w:r>
      <w:r w:rsidR="00127209">
        <w:rPr>
          <w:rFonts w:ascii="Calibri" w:eastAsia="Calibri" w:hAnsi="Calibri" w:cs="Calibri"/>
        </w:rPr>
        <w:t xml:space="preserve">both the </w:t>
      </w:r>
      <w:r>
        <w:rPr>
          <w:rFonts w:ascii="Calibri" w:eastAsia="Calibri" w:hAnsi="Calibri" w:cs="Calibri"/>
        </w:rPr>
        <w:t xml:space="preserve">EPA and CT DEEP websites to ensure that modeling analyses are conducted in accordance with the latest revisions to modeling guidelines. Users of this document are encouraged to contact CT DEEP staff before undertaking any regulatory modeling analysis in Connecticut. Applicants and their consultants are also encouraged to check the </w:t>
      </w:r>
      <w:hyperlink r:id="rId12" w:history="1">
        <w:r w:rsidRPr="00665839">
          <w:rPr>
            <w:rStyle w:val="Hyperlink"/>
            <w:rFonts w:ascii="Calibri" w:eastAsia="Calibri" w:hAnsi="Calibri" w:cs="Calibri"/>
          </w:rPr>
          <w:t>Support Center for Regulatory Atmospheric Modeling (SCRAM) website</w:t>
        </w:r>
      </w:hyperlink>
      <w:r>
        <w:rPr>
          <w:rFonts w:ascii="Calibri" w:eastAsia="Calibri" w:hAnsi="Calibri" w:cs="Calibri"/>
        </w:rPr>
        <w:t xml:space="preserve"> for any new or revised versions of the AERMOD modeling system, and EPA policy guidance documents before undertaking New Source Review (NSR) National Ambient Air Quality Standards (NAAQS) and Prevention of Significant Deterioration (PSD) Permit Modeling Analyses in Connecticut.</w:t>
      </w:r>
    </w:p>
    <w:p w14:paraId="0FF78F99" w14:textId="77777777" w:rsidR="004F5587" w:rsidRDefault="004F5587" w:rsidP="004F5587">
      <w:pPr>
        <w:spacing w:after="0"/>
        <w:rPr>
          <w:rFonts w:ascii="Calibri" w:eastAsia="Calibri" w:hAnsi="Calibri" w:cs="Calibri"/>
        </w:rPr>
      </w:pPr>
      <w:r>
        <w:rPr>
          <w:rFonts w:ascii="Calibri" w:eastAsia="Calibri" w:hAnsi="Calibri" w:cs="Calibri"/>
        </w:rPr>
        <w:t>The latest version of Connecticut’s AIAG is available on the CT DEEP Air Quality Modeling website at:</w:t>
      </w:r>
    </w:p>
    <w:p w14:paraId="274CA1B2" w14:textId="77777777" w:rsidR="004F5587" w:rsidRDefault="00D035EC" w:rsidP="004F5587">
      <w:pPr>
        <w:rPr>
          <w:rFonts w:ascii="Calibri" w:eastAsia="Calibri" w:hAnsi="Calibri" w:cs="Calibri"/>
        </w:rPr>
      </w:pPr>
      <w:hyperlink r:id="rId13">
        <w:r w:rsidR="004F5587">
          <w:rPr>
            <w:rFonts w:ascii="Calibri" w:eastAsia="Calibri" w:hAnsi="Calibri" w:cs="Calibri"/>
            <w:color w:val="0000FF"/>
            <w:u w:val="single"/>
          </w:rPr>
          <w:t>DEEP: Air Permitting - Air Quality Modeling</w:t>
        </w:r>
      </w:hyperlink>
      <w:r w:rsidR="004F5587">
        <w:rPr>
          <w:rFonts w:ascii="Calibri" w:eastAsia="Calibri" w:hAnsi="Calibri" w:cs="Calibri"/>
          <w:color w:val="0000FF"/>
          <w:u w:val="single"/>
        </w:rPr>
        <w:t>.</w:t>
      </w:r>
    </w:p>
    <w:p w14:paraId="41E3FD95" w14:textId="77777777" w:rsidR="004F5587" w:rsidRPr="004F5587" w:rsidRDefault="004F5587" w:rsidP="004F5587">
      <w:pPr>
        <w:pStyle w:val="Heading2"/>
      </w:pPr>
      <w:bookmarkStart w:id="12" w:name="_Toc147226871"/>
      <w:r w:rsidRPr="004F5587">
        <w:t>Web-Based Modeling Guidance</w:t>
      </w:r>
      <w:bookmarkEnd w:id="12"/>
    </w:p>
    <w:p w14:paraId="628427C0" w14:textId="284EC167" w:rsidR="004F5587" w:rsidRDefault="004F5587" w:rsidP="004F5587">
      <w:pPr>
        <w:rPr>
          <w:rFonts w:ascii="Calibri" w:eastAsia="Calibri" w:hAnsi="Calibri" w:cs="Calibri"/>
        </w:rPr>
      </w:pPr>
      <w:r>
        <w:rPr>
          <w:rFonts w:ascii="Calibri" w:eastAsia="Calibri" w:hAnsi="Calibri" w:cs="Calibri"/>
        </w:rPr>
        <w:t>In addition to this document, the CT DEEP website include</w:t>
      </w:r>
      <w:r w:rsidR="00E02AC2">
        <w:rPr>
          <w:rFonts w:ascii="Calibri" w:eastAsia="Calibri" w:hAnsi="Calibri" w:cs="Calibri"/>
        </w:rPr>
        <w:t>s</w:t>
      </w:r>
      <w:r>
        <w:rPr>
          <w:rFonts w:ascii="Calibri" w:eastAsia="Calibri" w:hAnsi="Calibri" w:cs="Calibri"/>
        </w:rPr>
        <w:t xml:space="preserve"> links to pre-processed meteorological data, criteria air pollutant databases, and links to other relevant CT DEEP and EPA modeling guidance and support documents not explicitly contained herein. Our web-based interface has been created to enhance efficiency and consistency in regulatory modeling. The public and regulated-community are encouraged to use our web-based modeling guidance and </w:t>
      </w:r>
      <w:r w:rsidR="00C24410">
        <w:rPr>
          <w:rFonts w:ascii="Calibri" w:eastAsia="Calibri" w:hAnsi="Calibri" w:cs="Calibri"/>
        </w:rPr>
        <w:t>databases</w:t>
      </w:r>
      <w:r>
        <w:rPr>
          <w:rFonts w:ascii="Calibri" w:eastAsia="Calibri" w:hAnsi="Calibri" w:cs="Calibri"/>
        </w:rPr>
        <w:t xml:space="preserve"> at their convenience.</w:t>
      </w:r>
    </w:p>
    <w:p w14:paraId="02F5DCCD" w14:textId="2959C313" w:rsidR="004F5587" w:rsidRDefault="004F5587" w:rsidP="004F5587">
      <w:pPr>
        <w:rPr>
          <w:rFonts w:ascii="Calibri" w:eastAsia="Calibri" w:hAnsi="Calibri" w:cs="Calibri"/>
        </w:rPr>
      </w:pPr>
      <w:r>
        <w:rPr>
          <w:rFonts w:ascii="Calibri" w:eastAsia="Calibri" w:hAnsi="Calibri" w:cs="Calibri"/>
        </w:rPr>
        <w:t>Guidance documents and data</w:t>
      </w:r>
      <w:r w:rsidR="00E02AC2">
        <w:rPr>
          <w:rFonts w:ascii="Calibri" w:eastAsia="Calibri" w:hAnsi="Calibri" w:cs="Calibri"/>
        </w:rPr>
        <w:t>b</w:t>
      </w:r>
      <w:r>
        <w:rPr>
          <w:rFonts w:ascii="Calibri" w:eastAsia="Calibri" w:hAnsi="Calibri" w:cs="Calibri"/>
        </w:rPr>
        <w:t>ases currently available on the website are:</w:t>
      </w:r>
    </w:p>
    <w:p w14:paraId="2D24551A" w14:textId="77777777" w:rsidR="004F5587" w:rsidRDefault="004F5587" w:rsidP="008319A6">
      <w:pPr>
        <w:numPr>
          <w:ilvl w:val="0"/>
          <w:numId w:val="3"/>
        </w:numPr>
        <w:ind w:left="720" w:hanging="360"/>
        <w:rPr>
          <w:rFonts w:ascii="Calibri" w:eastAsia="Calibri" w:hAnsi="Calibri" w:cs="Calibri"/>
        </w:rPr>
      </w:pPr>
      <w:r>
        <w:rPr>
          <w:rFonts w:ascii="Calibri" w:eastAsia="Calibri" w:hAnsi="Calibri" w:cs="Calibri"/>
        </w:rPr>
        <w:t xml:space="preserve">Connecticut’s AIAG, </w:t>
      </w:r>
    </w:p>
    <w:p w14:paraId="65E19BDD" w14:textId="739D67DF" w:rsidR="004F5587" w:rsidRDefault="004F5587" w:rsidP="008319A6">
      <w:pPr>
        <w:numPr>
          <w:ilvl w:val="0"/>
          <w:numId w:val="3"/>
        </w:numPr>
        <w:ind w:left="720" w:hanging="360"/>
        <w:rPr>
          <w:rFonts w:ascii="Calibri" w:eastAsia="Calibri" w:hAnsi="Calibri" w:cs="Calibri"/>
        </w:rPr>
      </w:pPr>
      <w:r>
        <w:rPr>
          <w:rFonts w:ascii="Calibri" w:eastAsia="Calibri" w:hAnsi="Calibri" w:cs="Calibri"/>
        </w:rPr>
        <w:t xml:space="preserve">Links to EPA’s </w:t>
      </w:r>
      <w:hyperlink r:id="rId14" w:history="1">
        <w:r w:rsidRPr="00665839">
          <w:rPr>
            <w:rStyle w:val="Hyperlink"/>
            <w:rFonts w:ascii="Calibri" w:eastAsia="Calibri" w:hAnsi="Calibri" w:cs="Calibri"/>
          </w:rPr>
          <w:t>SCRAM Website</w:t>
        </w:r>
      </w:hyperlink>
      <w:r>
        <w:rPr>
          <w:rFonts w:ascii="Calibri" w:eastAsia="Calibri" w:hAnsi="Calibri" w:cs="Calibri"/>
        </w:rPr>
        <w:t xml:space="preserve"> and EPA’s </w:t>
      </w:r>
      <w:hyperlink r:id="rId15" w:history="1">
        <w:r w:rsidRPr="00665839">
          <w:rPr>
            <w:rStyle w:val="Hyperlink"/>
            <w:rFonts w:ascii="Calibri" w:eastAsia="Calibri" w:hAnsi="Calibri" w:cs="Calibri"/>
          </w:rPr>
          <w:t>Appendix W</w:t>
        </w:r>
      </w:hyperlink>
      <w:r>
        <w:rPr>
          <w:rFonts w:ascii="Calibri" w:eastAsia="Calibri" w:hAnsi="Calibri" w:cs="Calibri"/>
        </w:rPr>
        <w:t xml:space="preserve"> Guideline on Air Quality Models, latest available five years of pre-processed AERMOD ready hourly meteorological datasets, and measured ambient monitoring data for use as background concentrations including:</w:t>
      </w:r>
    </w:p>
    <w:p w14:paraId="1B2560D4" w14:textId="59A6A0FB" w:rsidR="004F5587" w:rsidRDefault="00991934" w:rsidP="00F6243B">
      <w:pPr>
        <w:numPr>
          <w:ilvl w:val="0"/>
          <w:numId w:val="3"/>
        </w:numPr>
        <w:spacing w:after="0"/>
        <w:ind w:left="1440" w:hanging="360"/>
        <w:rPr>
          <w:rFonts w:ascii="Calibri" w:eastAsia="Calibri" w:hAnsi="Calibri" w:cs="Calibri"/>
        </w:rPr>
      </w:pPr>
      <w:r>
        <w:rPr>
          <w:rFonts w:ascii="Calibri" w:eastAsia="Calibri" w:hAnsi="Calibri" w:cs="Calibri"/>
        </w:rPr>
        <w:t>M</w:t>
      </w:r>
      <w:r w:rsidR="004F5587">
        <w:rPr>
          <w:rFonts w:ascii="Calibri" w:eastAsia="Calibri" w:hAnsi="Calibri" w:cs="Calibri"/>
        </w:rPr>
        <w:t>ost recent design value concentrations at CT DEEP operated monitoring locations for all criteria pollutants</w:t>
      </w:r>
      <w:r>
        <w:rPr>
          <w:rFonts w:ascii="Calibri" w:eastAsia="Calibri" w:hAnsi="Calibri" w:cs="Calibri"/>
        </w:rPr>
        <w:t>;</w:t>
      </w:r>
    </w:p>
    <w:p w14:paraId="04005BF1" w14:textId="687AAEB3" w:rsidR="004F5587" w:rsidRDefault="004F5587" w:rsidP="00F6243B">
      <w:pPr>
        <w:numPr>
          <w:ilvl w:val="0"/>
          <w:numId w:val="3"/>
        </w:numPr>
        <w:spacing w:after="0"/>
        <w:ind w:left="1440" w:hanging="360"/>
        <w:rPr>
          <w:rFonts w:ascii="Calibri" w:eastAsia="Calibri" w:hAnsi="Calibri" w:cs="Calibri"/>
        </w:rPr>
      </w:pPr>
      <w:r>
        <w:rPr>
          <w:rFonts w:ascii="Calibri" w:eastAsia="Calibri" w:hAnsi="Calibri" w:cs="Calibri"/>
        </w:rPr>
        <w:t>99</w:t>
      </w:r>
      <w:r w:rsidRPr="00F6243B">
        <w:rPr>
          <w:rFonts w:ascii="Calibri" w:eastAsia="Calibri" w:hAnsi="Calibri" w:cs="Calibri"/>
          <w:vertAlign w:val="superscript"/>
        </w:rPr>
        <w:t>th</w:t>
      </w:r>
      <w:r>
        <w:rPr>
          <w:rFonts w:ascii="Calibri" w:eastAsia="Calibri" w:hAnsi="Calibri" w:cs="Calibri"/>
        </w:rPr>
        <w:t xml:space="preserve"> and 98</w:t>
      </w:r>
      <w:r w:rsidRPr="00F6243B">
        <w:rPr>
          <w:rFonts w:ascii="Calibri" w:eastAsia="Calibri" w:hAnsi="Calibri" w:cs="Calibri"/>
          <w:vertAlign w:val="superscript"/>
        </w:rPr>
        <w:t>th</w:t>
      </w:r>
      <w:r>
        <w:rPr>
          <w:rFonts w:ascii="Calibri" w:eastAsia="Calibri" w:hAnsi="Calibri" w:cs="Calibri"/>
        </w:rPr>
        <w:t xml:space="preserve"> percentile season by hour of day monitored values for 1-hour SO</w:t>
      </w:r>
      <w:r w:rsidRPr="00F6243B">
        <w:rPr>
          <w:rFonts w:ascii="Calibri" w:eastAsia="Calibri" w:hAnsi="Calibri" w:cs="Calibri"/>
          <w:vertAlign w:val="subscript"/>
        </w:rPr>
        <w:t>2</w:t>
      </w:r>
      <w:r>
        <w:rPr>
          <w:rFonts w:ascii="Calibri" w:eastAsia="Calibri" w:hAnsi="Calibri" w:cs="Calibri"/>
        </w:rPr>
        <w:t xml:space="preserve"> and NO</w:t>
      </w:r>
      <w:r w:rsidRPr="00F6243B">
        <w:rPr>
          <w:rFonts w:ascii="Calibri" w:eastAsia="Calibri" w:hAnsi="Calibri" w:cs="Calibri"/>
          <w:vertAlign w:val="subscript"/>
        </w:rPr>
        <w:t>2</w:t>
      </w:r>
      <w:r>
        <w:rPr>
          <w:rFonts w:ascii="Calibri" w:eastAsia="Calibri" w:hAnsi="Calibri" w:cs="Calibri"/>
        </w:rPr>
        <w:t xml:space="preserve"> respectively; 98</w:t>
      </w:r>
      <w:r w:rsidRPr="00F6243B">
        <w:rPr>
          <w:rFonts w:ascii="Calibri" w:eastAsia="Calibri" w:hAnsi="Calibri" w:cs="Calibri"/>
          <w:vertAlign w:val="superscript"/>
        </w:rPr>
        <w:t>th</w:t>
      </w:r>
      <w:r>
        <w:rPr>
          <w:rFonts w:ascii="Calibri" w:eastAsia="Calibri" w:hAnsi="Calibri" w:cs="Calibri"/>
        </w:rPr>
        <w:t xml:space="preserve"> percentile seasonal PM</w:t>
      </w:r>
      <w:r w:rsidRPr="00F6243B">
        <w:rPr>
          <w:rFonts w:ascii="Calibri" w:eastAsia="Calibri" w:hAnsi="Calibri" w:cs="Calibri"/>
          <w:vertAlign w:val="subscript"/>
        </w:rPr>
        <w:t>2.5</w:t>
      </w:r>
      <w:r w:rsidRPr="00F6243B">
        <w:rPr>
          <w:rFonts w:ascii="Calibri" w:eastAsia="Calibri" w:hAnsi="Calibri" w:cs="Calibri"/>
        </w:rPr>
        <w:t xml:space="preserve"> </w:t>
      </w:r>
      <w:r>
        <w:rPr>
          <w:rFonts w:ascii="Calibri" w:eastAsia="Calibri" w:hAnsi="Calibri" w:cs="Calibri"/>
        </w:rPr>
        <w:t>24-hour average measured values, and</w:t>
      </w:r>
      <w:r w:rsidR="00991934">
        <w:rPr>
          <w:rFonts w:ascii="Calibri" w:eastAsia="Calibri" w:hAnsi="Calibri" w:cs="Calibri"/>
        </w:rPr>
        <w:t>;</w:t>
      </w:r>
    </w:p>
    <w:p w14:paraId="1CD3E580" w14:textId="5FBBA94C" w:rsidR="004F5587" w:rsidRDefault="00991934" w:rsidP="00F6243B">
      <w:pPr>
        <w:numPr>
          <w:ilvl w:val="0"/>
          <w:numId w:val="3"/>
        </w:numPr>
        <w:spacing w:after="0"/>
        <w:ind w:left="1440" w:hanging="360"/>
        <w:rPr>
          <w:rFonts w:ascii="Calibri" w:eastAsia="Calibri" w:hAnsi="Calibri" w:cs="Calibri"/>
        </w:rPr>
      </w:pPr>
      <w:r>
        <w:rPr>
          <w:rFonts w:ascii="Calibri" w:eastAsia="Calibri" w:hAnsi="Calibri" w:cs="Calibri"/>
        </w:rPr>
        <w:t>F</w:t>
      </w:r>
      <w:r w:rsidR="004F5587">
        <w:rPr>
          <w:rFonts w:ascii="Calibri" w:eastAsia="Calibri" w:hAnsi="Calibri" w:cs="Calibri"/>
        </w:rPr>
        <w:t>ive years of hourly background ozone data used for approved Tier3 NO</w:t>
      </w:r>
      <w:r w:rsidR="004F5587" w:rsidRPr="00F6243B">
        <w:rPr>
          <w:rFonts w:ascii="Calibri" w:eastAsia="Calibri" w:hAnsi="Calibri" w:cs="Calibri"/>
          <w:vertAlign w:val="subscript"/>
        </w:rPr>
        <w:t>2</w:t>
      </w:r>
      <w:r w:rsidR="004F5587">
        <w:rPr>
          <w:rFonts w:ascii="Calibri" w:eastAsia="Calibri" w:hAnsi="Calibri" w:cs="Calibri"/>
        </w:rPr>
        <w:t xml:space="preserve"> modeling.</w:t>
      </w:r>
    </w:p>
    <w:p w14:paraId="081814C7" w14:textId="77777777" w:rsidR="004F5587" w:rsidRDefault="004F5587" w:rsidP="00991934">
      <w:pPr>
        <w:pStyle w:val="Heading2"/>
      </w:pPr>
      <w:bookmarkStart w:id="13" w:name="_Toc147226872"/>
      <w:r>
        <w:t>Summary/Overview</w:t>
      </w:r>
      <w:bookmarkEnd w:id="13"/>
    </w:p>
    <w:p w14:paraId="1EE1CF64" w14:textId="3F3C48AF" w:rsidR="004F5587" w:rsidRDefault="004F5587" w:rsidP="004F5587">
      <w:pPr>
        <w:rPr>
          <w:rFonts w:ascii="Calibri" w:eastAsia="Calibri" w:hAnsi="Calibri" w:cs="Calibri"/>
        </w:rPr>
      </w:pPr>
      <w:bookmarkStart w:id="14" w:name="_Hlk136405513"/>
      <w:bookmarkEnd w:id="10"/>
      <w:r>
        <w:rPr>
          <w:rFonts w:ascii="Calibri" w:eastAsia="Calibri" w:hAnsi="Calibri" w:cs="Calibri"/>
        </w:rPr>
        <w:t xml:space="preserve">Section 22a-174-3a of the Regulations of Connecticut State Agencies (RCSA) requires the owner of certain stationary sources of air pollution to apply for and obtain a permit prior to the construction, modification, and operation of the source. Permit applicability is defined in RCSA section 22a-174-3a (a). RCSA Section 22a-174-3a(d)(3)(B) and (C) requires </w:t>
      </w:r>
      <w:r>
        <w:rPr>
          <w:rFonts w:ascii="Calibri" w:eastAsia="Calibri" w:hAnsi="Calibri" w:cs="Calibri"/>
        </w:rPr>
        <w:lastRenderedPageBreak/>
        <w:t xml:space="preserve">the owner of any source for which an application for an air permit has been submitted to demonstrate that the operation of the source will not cause or contribute significantly to a violation of any federal or state air quality standard or prevention of significant deterioration (PSD) increment. RCSA Section 22a-174-3a(i)(2), requires this demonstration to include estimates of air quality impacts that follow procedures approved by the CT DEEP Commissioner. This document describes the approved procedures for performing stationary source air quality impact analyses. The recommended procedures conform to EPA’s modeling guidance contained in </w:t>
      </w:r>
      <w:hyperlink r:id="rId16" w:history="1">
        <w:r w:rsidRPr="00F8735E">
          <w:rPr>
            <w:rStyle w:val="Hyperlink"/>
            <w:rFonts w:ascii="Calibri" w:eastAsia="Calibri" w:hAnsi="Calibri" w:cs="Calibri"/>
          </w:rPr>
          <w:t>Appendix W of 40 CFR Part 51</w:t>
        </w:r>
      </w:hyperlink>
      <w:r w:rsidRPr="00F8735E">
        <w:rPr>
          <w:rFonts w:ascii="Calibri" w:eastAsia="Calibri" w:hAnsi="Calibri" w:cs="Calibri"/>
        </w:rPr>
        <w:t>.</w:t>
      </w:r>
    </w:p>
    <w:p w14:paraId="57DDF28A" w14:textId="4AA344CF" w:rsidR="004F5587" w:rsidRDefault="00D035EC" w:rsidP="004F5587">
      <w:pPr>
        <w:rPr>
          <w:rFonts w:ascii="Calibri" w:eastAsia="Calibri" w:hAnsi="Calibri" w:cs="Calibri"/>
        </w:rPr>
      </w:pPr>
      <w:hyperlink w:anchor="_Model_Applicability" w:history="1">
        <w:r w:rsidR="004F5587" w:rsidRPr="00F738BE">
          <w:rPr>
            <w:rStyle w:val="Hyperlink"/>
            <w:rFonts w:ascii="Calibri" w:eastAsia="Calibri" w:hAnsi="Calibri" w:cs="Calibri"/>
          </w:rPr>
          <w:t>Section 2</w:t>
        </w:r>
      </w:hyperlink>
      <w:r w:rsidR="004F5587">
        <w:rPr>
          <w:rFonts w:ascii="Calibri" w:eastAsia="Calibri" w:hAnsi="Calibri" w:cs="Calibri"/>
        </w:rPr>
        <w:t xml:space="preserve"> contains model applicability rules including major and minor source emission threshold requirements for PSD and NAAQS modeling.</w:t>
      </w:r>
    </w:p>
    <w:p w14:paraId="78AE6F59" w14:textId="19510692" w:rsidR="004F5587" w:rsidRDefault="00D035EC" w:rsidP="004F5587">
      <w:pPr>
        <w:rPr>
          <w:rFonts w:ascii="Calibri" w:eastAsia="Calibri" w:hAnsi="Calibri" w:cs="Calibri"/>
        </w:rPr>
      </w:pPr>
      <w:hyperlink w:anchor="_Air_Quality_Criteria" w:history="1">
        <w:r w:rsidR="004F5587" w:rsidRPr="00F738BE">
          <w:rPr>
            <w:rStyle w:val="Hyperlink"/>
            <w:rFonts w:ascii="Calibri" w:eastAsia="Calibri" w:hAnsi="Calibri" w:cs="Calibri"/>
          </w:rPr>
          <w:t>Section 3</w:t>
        </w:r>
      </w:hyperlink>
      <w:r w:rsidR="004F5587">
        <w:rPr>
          <w:rFonts w:ascii="Calibri" w:eastAsia="Calibri" w:hAnsi="Calibri" w:cs="Calibri"/>
        </w:rPr>
        <w:t xml:space="preserve"> contains the air quality criteria including the NAAQS, PSD increments, and Significant Impact Levels (SILs) for all regulated pollutants.</w:t>
      </w:r>
    </w:p>
    <w:p w14:paraId="56F293A7" w14:textId="0E069343" w:rsidR="004F5587" w:rsidRDefault="00D035EC" w:rsidP="004F5587">
      <w:pPr>
        <w:rPr>
          <w:rFonts w:ascii="Calibri" w:eastAsia="Calibri" w:hAnsi="Calibri" w:cs="Calibri"/>
        </w:rPr>
      </w:pPr>
      <w:hyperlink w:anchor="_Modeling_Analyses_for" w:history="1">
        <w:r w:rsidR="004F5587" w:rsidRPr="00F738BE">
          <w:rPr>
            <w:rStyle w:val="Hyperlink"/>
            <w:rFonts w:ascii="Calibri" w:eastAsia="Calibri" w:hAnsi="Calibri" w:cs="Calibri"/>
          </w:rPr>
          <w:t>Section 4</w:t>
        </w:r>
      </w:hyperlink>
      <w:r w:rsidR="004F5587">
        <w:rPr>
          <w:rFonts w:ascii="Calibri" w:eastAsia="Calibri" w:hAnsi="Calibri" w:cs="Calibri"/>
        </w:rPr>
        <w:t xml:space="preserve"> contains Good Engineering Practice (GEP) Stack Height recommended analyses, modeling analyses that include user-supplied input data to characterize the source of emissions, meteorology, and receptor geometry and background air quality. This section details the recommendations on the preparation and use of model input data, interpretation of results via a three-step process that includes a screening assessment, modeling of the subject source alone, compliance demonstration with the SILs, and, if necessary, defining the significant impact area (SIA). Section 4 defines the multi-source refined modeling and inventory requirements for NAAQS and PSD modeling analyses.</w:t>
      </w:r>
    </w:p>
    <w:p w14:paraId="33176448" w14:textId="4B2180A6" w:rsidR="004F5587" w:rsidRDefault="004F5587" w:rsidP="004F5587">
      <w:pPr>
        <w:rPr>
          <w:rFonts w:ascii="Calibri" w:eastAsia="Calibri" w:hAnsi="Calibri" w:cs="Calibri"/>
        </w:rPr>
      </w:pPr>
      <w:r>
        <w:rPr>
          <w:rFonts w:ascii="Calibri" w:eastAsia="Calibri" w:hAnsi="Calibri" w:cs="Calibri"/>
        </w:rPr>
        <w:t xml:space="preserve">Background air quality procedures and analyses for all regulated pollutants are provided in </w:t>
      </w:r>
      <w:hyperlink w:anchor="_Background_Air_Quality" w:history="1">
        <w:r w:rsidRPr="00F738BE">
          <w:rPr>
            <w:rStyle w:val="Hyperlink"/>
            <w:rFonts w:ascii="Calibri" w:eastAsia="Calibri" w:hAnsi="Calibri" w:cs="Calibri"/>
          </w:rPr>
          <w:t>Section 5</w:t>
        </w:r>
      </w:hyperlink>
      <w:r>
        <w:rPr>
          <w:rFonts w:ascii="Calibri" w:eastAsia="Calibri" w:hAnsi="Calibri" w:cs="Calibri"/>
        </w:rPr>
        <w:t xml:space="preserve">. </w:t>
      </w:r>
    </w:p>
    <w:p w14:paraId="236EE63D" w14:textId="33245EEA" w:rsidR="004F5587" w:rsidRDefault="004F5587" w:rsidP="004F5587">
      <w:pPr>
        <w:rPr>
          <w:rFonts w:ascii="Calibri" w:eastAsia="Calibri" w:hAnsi="Calibri" w:cs="Calibri"/>
        </w:rPr>
      </w:pPr>
      <w:r>
        <w:rPr>
          <w:rFonts w:ascii="Calibri" w:eastAsia="Calibri" w:hAnsi="Calibri" w:cs="Calibri"/>
        </w:rPr>
        <w:t xml:space="preserve">Analysis and interpretation of modeled results and compliance demonstration with the NAAQS and PSD increments are presented in </w:t>
      </w:r>
      <w:hyperlink w:anchor="_Presentation_of_Compliance" w:history="1">
        <w:r w:rsidRPr="00F738BE">
          <w:rPr>
            <w:rStyle w:val="Hyperlink"/>
            <w:rFonts w:ascii="Calibri" w:eastAsia="Calibri" w:hAnsi="Calibri" w:cs="Calibri"/>
          </w:rPr>
          <w:t>Section 7</w:t>
        </w:r>
      </w:hyperlink>
      <w:r>
        <w:rPr>
          <w:rFonts w:ascii="Calibri" w:eastAsia="Calibri" w:hAnsi="Calibri" w:cs="Calibri"/>
        </w:rPr>
        <w:t>.</w:t>
      </w:r>
    </w:p>
    <w:p w14:paraId="708381F5" w14:textId="2B71D654" w:rsidR="004F5587" w:rsidRDefault="004F5587" w:rsidP="004F5587">
      <w:pPr>
        <w:rPr>
          <w:rFonts w:ascii="Calibri" w:eastAsia="Calibri" w:hAnsi="Calibri" w:cs="Calibri"/>
        </w:rPr>
      </w:pPr>
      <w:r>
        <w:rPr>
          <w:rFonts w:ascii="Calibri" w:eastAsia="Calibri" w:hAnsi="Calibri" w:cs="Calibri"/>
        </w:rPr>
        <w:t xml:space="preserve">A list of referenced literature is provided in </w:t>
      </w:r>
      <w:hyperlink w:anchor="_References" w:history="1">
        <w:r w:rsidRPr="00F738BE">
          <w:rPr>
            <w:rStyle w:val="Hyperlink"/>
            <w:rFonts w:ascii="Calibri" w:eastAsia="Calibri" w:hAnsi="Calibri" w:cs="Calibri"/>
          </w:rPr>
          <w:t>Section 8</w:t>
        </w:r>
      </w:hyperlink>
      <w:r>
        <w:rPr>
          <w:rFonts w:ascii="Calibri" w:eastAsia="Calibri" w:hAnsi="Calibri" w:cs="Calibri"/>
        </w:rPr>
        <w:t>.</w:t>
      </w:r>
    </w:p>
    <w:p w14:paraId="001D7F01" w14:textId="238956D9" w:rsidR="004F5587" w:rsidRPr="006464A0" w:rsidRDefault="00B906D0" w:rsidP="00803347">
      <w:pPr>
        <w:pStyle w:val="Heading1"/>
        <w:rPr>
          <w:rFonts w:eastAsia="Tw Cen MT"/>
        </w:rPr>
      </w:pPr>
      <w:bookmarkStart w:id="15" w:name="_Model_Applicability"/>
      <w:bookmarkEnd w:id="15"/>
      <w:r>
        <w:rPr>
          <w:rFonts w:eastAsia="Tw Cen MT"/>
        </w:rPr>
        <w:t xml:space="preserve"> </w:t>
      </w:r>
      <w:bookmarkStart w:id="16" w:name="_Toc147226873"/>
      <w:r w:rsidR="004F5587" w:rsidRPr="006464A0">
        <w:rPr>
          <w:rFonts w:eastAsia="Tw Cen MT"/>
        </w:rPr>
        <w:t>Model Applicability</w:t>
      </w:r>
      <w:bookmarkEnd w:id="16"/>
    </w:p>
    <w:p w14:paraId="069E0B87" w14:textId="77777777" w:rsidR="004F5587" w:rsidRDefault="004F5587" w:rsidP="004F5587">
      <w:pPr>
        <w:rPr>
          <w:rFonts w:ascii="Calibri" w:eastAsia="Calibri" w:hAnsi="Calibri" w:cs="Calibri"/>
        </w:rPr>
      </w:pPr>
      <w:r>
        <w:rPr>
          <w:rFonts w:ascii="Calibri" w:eastAsia="Calibri" w:hAnsi="Calibri" w:cs="Calibri"/>
        </w:rPr>
        <w:t xml:space="preserve">As mentioned in Section 1.2 above, RCSA section 22a-174-3a(d)(3)(B) and (C) requires the owner of any source applying for an air permit to demonstrate that the operation of the source will not cause or contribute significantly to a violation of any federal or state air quality standard or PSD increment. RCSA section 22a-174-3a(i) requires this demonstration to include estimates of air quality impacts that follow procedures approved by the CT DEEP Commissioner. Definitions applicable for estimating air quality impacts can be found in RCSA section 22a-174-1. </w:t>
      </w:r>
      <w:r w:rsidRPr="00615B0E">
        <w:t>Owners of sources that are not required to obtain an air permit, such as sources that limit their emissions under RCSA section 22a-174-3b (Permit by Rule), are not subject to the modeling requirements of RCSA section22a-174-3a.</w:t>
      </w:r>
    </w:p>
    <w:p w14:paraId="782CFC6E" w14:textId="66D58DFC" w:rsidR="004F5587" w:rsidRDefault="006464A0" w:rsidP="00F6243B">
      <w:pPr>
        <w:pStyle w:val="Heading1"/>
        <w:spacing w:after="240"/>
        <w:rPr>
          <w:rFonts w:eastAsia="Tw Cen MT"/>
        </w:rPr>
      </w:pPr>
      <w:bookmarkStart w:id="17" w:name="_Air_Quality_Criteria"/>
      <w:bookmarkEnd w:id="17"/>
      <w:r>
        <w:rPr>
          <w:rFonts w:eastAsia="Tw Cen MT"/>
        </w:rPr>
        <w:t xml:space="preserve"> </w:t>
      </w:r>
      <w:bookmarkStart w:id="18" w:name="_Toc147226874"/>
      <w:r w:rsidR="004F5587">
        <w:rPr>
          <w:rFonts w:eastAsia="Tw Cen MT"/>
        </w:rPr>
        <w:t>Air Quality Criteria (Modeling for NAAQS and PSD Compliance)</w:t>
      </w:r>
      <w:bookmarkEnd w:id="18"/>
      <w:r w:rsidR="004F5587">
        <w:rPr>
          <w:rFonts w:eastAsia="Tw Cen MT"/>
        </w:rPr>
        <w:t xml:space="preserve"> </w:t>
      </w:r>
    </w:p>
    <w:p w14:paraId="70DCED9F" w14:textId="77777777" w:rsidR="004F5587" w:rsidRDefault="004F5587" w:rsidP="00615B0E">
      <w:pPr>
        <w:pStyle w:val="Heading2"/>
        <w:rPr>
          <w:rFonts w:eastAsia="Tw Cen MT"/>
        </w:rPr>
      </w:pPr>
      <w:bookmarkStart w:id="19" w:name="_Toc147226875"/>
      <w:r>
        <w:rPr>
          <w:rFonts w:eastAsia="Tw Cen MT"/>
        </w:rPr>
        <w:t>National Ambient Air Quality Standards</w:t>
      </w:r>
      <w:bookmarkEnd w:id="19"/>
    </w:p>
    <w:p w14:paraId="6694E8C4" w14:textId="77777777" w:rsidR="004F5587" w:rsidRDefault="004F5587" w:rsidP="004F5587">
      <w:pPr>
        <w:rPr>
          <w:rFonts w:ascii="Calibri" w:eastAsia="Calibri" w:hAnsi="Calibri" w:cs="Calibri"/>
        </w:rPr>
      </w:pPr>
      <w:r>
        <w:rPr>
          <w:rFonts w:ascii="Calibri" w:eastAsia="Calibri" w:hAnsi="Calibri" w:cs="Calibri"/>
        </w:rPr>
        <w:t>Table 3-1 displays the National Ambient Air Quality Standards that have been established for the criteria air pollutants. In addition, a single Connecticut Ambient Air Quality Standard (CAAQS) was established for total Dioxin (see RCSA section 22a-174-24(m)) that is also listed in Table 3-1. Each NAAQS is defined in terms of pollutant, averaging time, and level above which health is at risk (primary standard).</w:t>
      </w:r>
    </w:p>
    <w:p w14:paraId="79B298B7" w14:textId="7D2AB17C" w:rsidR="004F5587" w:rsidRDefault="004F5587" w:rsidP="00615B0E">
      <w:pPr>
        <w:tabs>
          <w:tab w:val="left" w:pos="9270"/>
        </w:tabs>
        <w:rPr>
          <w:rFonts w:ascii="Calibri" w:eastAsia="Calibri" w:hAnsi="Calibri" w:cs="Calibri"/>
        </w:rPr>
      </w:pPr>
      <w:r>
        <w:rPr>
          <w:rFonts w:ascii="Calibri" w:eastAsia="Calibri" w:hAnsi="Calibri" w:cs="Calibri"/>
        </w:rPr>
        <w:t xml:space="preserve">Compliance with each NAAQS is determined by adding the appropriate modeled predicted impacts to background design values (for the applicable pollutant, </w:t>
      </w:r>
      <w:r w:rsidR="00C24410">
        <w:rPr>
          <w:rFonts w:ascii="Calibri" w:eastAsia="Calibri" w:hAnsi="Calibri" w:cs="Calibri"/>
        </w:rPr>
        <w:t>short- and long-term</w:t>
      </w:r>
      <w:r>
        <w:rPr>
          <w:rFonts w:ascii="Calibri" w:eastAsia="Calibri" w:hAnsi="Calibri" w:cs="Calibri"/>
        </w:rPr>
        <w:t xml:space="preserve"> averaging times), and comparing the combined values from each receptor modeled to the NAAQS (see Table 3-1 footnotes). The modeled impacts used in this determination represent </w:t>
      </w:r>
      <w:r>
        <w:rPr>
          <w:rFonts w:ascii="Calibri" w:eastAsia="Calibri" w:hAnsi="Calibri" w:cs="Calibri"/>
        </w:rPr>
        <w:lastRenderedPageBreak/>
        <w:t>impacts not only from the applicant source, but also other nearby sources, if required, (source inputs are reviewed and approved CT DEEP), plus background levels, which are also provided by CT DEEP, unless monitoring is required.</w:t>
      </w:r>
    </w:p>
    <w:p w14:paraId="5399ABCD" w14:textId="5605148C" w:rsidR="004F5587" w:rsidRDefault="004F5587" w:rsidP="004F5587">
      <w:pPr>
        <w:rPr>
          <w:rFonts w:ascii="Calibri" w:eastAsia="Calibri" w:hAnsi="Calibri" w:cs="Calibri"/>
        </w:rPr>
      </w:pPr>
      <w:r>
        <w:rPr>
          <w:rFonts w:ascii="Calibri" w:eastAsia="Calibri" w:hAnsi="Calibri" w:cs="Calibri"/>
        </w:rPr>
        <w:t xml:space="preserve">If there are violations with any applicable NAAQS, applicants must demonstrate that a source does not cause or significantly contribute to any violation </w:t>
      </w:r>
      <w:r w:rsidR="005A2FFF">
        <w:rPr>
          <w:rFonts w:ascii="Calibri" w:eastAsia="Calibri" w:hAnsi="Calibri" w:cs="Calibri"/>
        </w:rPr>
        <w:t>for</w:t>
      </w:r>
      <w:r>
        <w:rPr>
          <w:rFonts w:ascii="Calibri" w:eastAsia="Calibri" w:hAnsi="Calibri" w:cs="Calibri"/>
        </w:rPr>
        <w:t xml:space="preserve"> a permit to be issued.</w:t>
      </w:r>
    </w:p>
    <w:p w14:paraId="4960B31C" w14:textId="77777777" w:rsidR="004F5587" w:rsidRPr="005F22DA" w:rsidRDefault="004F5587" w:rsidP="004F5587">
      <w:pPr>
        <w:spacing w:after="0" w:line="240" w:lineRule="auto"/>
        <w:jc w:val="center"/>
        <w:rPr>
          <w:rFonts w:eastAsia="Times New Roman" w:cstheme="minorHAnsi"/>
          <w:b/>
          <w:color w:val="000000"/>
          <w:sz w:val="24"/>
        </w:rPr>
      </w:pPr>
      <w:r w:rsidRPr="005F22DA">
        <w:rPr>
          <w:rFonts w:eastAsia="Times New Roman" w:cstheme="minorHAnsi"/>
          <w:b/>
          <w:color w:val="000000"/>
          <w:sz w:val="24"/>
        </w:rPr>
        <w:t>TABLE 3-1</w:t>
      </w:r>
    </w:p>
    <w:p w14:paraId="1DC418A2" w14:textId="77777777" w:rsidR="004F5587" w:rsidRPr="005F22DA" w:rsidRDefault="004F5587" w:rsidP="004F5587">
      <w:pPr>
        <w:spacing w:after="0" w:line="240" w:lineRule="auto"/>
        <w:jc w:val="center"/>
        <w:rPr>
          <w:rFonts w:eastAsia="Times New Roman" w:cstheme="minorHAnsi"/>
          <w:b/>
          <w:color w:val="000000"/>
          <w:sz w:val="24"/>
        </w:rPr>
      </w:pPr>
      <w:r w:rsidRPr="005F22DA">
        <w:rPr>
          <w:rFonts w:eastAsia="Times New Roman" w:cstheme="minorHAnsi"/>
          <w:b/>
          <w:color w:val="000000"/>
          <w:sz w:val="24"/>
        </w:rPr>
        <w:t>National and Connecticut Ambient Air Quality Standards</w:t>
      </w:r>
    </w:p>
    <w:tbl>
      <w:tblPr>
        <w:tblW w:w="9265" w:type="dxa"/>
        <w:jc w:val="center"/>
        <w:tblCellMar>
          <w:left w:w="10" w:type="dxa"/>
          <w:right w:w="10" w:type="dxa"/>
        </w:tblCellMar>
        <w:tblLook w:val="04A0" w:firstRow="1" w:lastRow="0" w:firstColumn="1" w:lastColumn="0" w:noHBand="0" w:noVBand="1"/>
      </w:tblPr>
      <w:tblGrid>
        <w:gridCol w:w="1705"/>
        <w:gridCol w:w="1943"/>
        <w:gridCol w:w="1927"/>
        <w:gridCol w:w="3690"/>
      </w:tblGrid>
      <w:tr w:rsidR="004F5587" w:rsidRPr="005F22DA" w14:paraId="60B071DD" w14:textId="77777777" w:rsidTr="00253AC2">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bottom"/>
          </w:tcPr>
          <w:p w14:paraId="06F1C211" w14:textId="77777777" w:rsidR="004F5587" w:rsidRPr="005F22DA" w:rsidRDefault="004F5587" w:rsidP="00253AC2">
            <w:pPr>
              <w:spacing w:after="100" w:line="240" w:lineRule="auto"/>
              <w:jc w:val="center"/>
              <w:rPr>
                <w:rFonts w:eastAsia="Calibri" w:cstheme="minorHAnsi"/>
              </w:rPr>
            </w:pPr>
          </w:p>
        </w:tc>
        <w:tc>
          <w:tcPr>
            <w:tcW w:w="7560"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bottom"/>
          </w:tcPr>
          <w:p w14:paraId="03AEB708" w14:textId="77777777" w:rsidR="004F5587" w:rsidRPr="005F22DA" w:rsidRDefault="004F5587" w:rsidP="00253AC2">
            <w:pPr>
              <w:spacing w:after="120" w:line="240" w:lineRule="auto"/>
              <w:jc w:val="center"/>
              <w:rPr>
                <w:rFonts w:cstheme="minorHAnsi"/>
              </w:rPr>
            </w:pPr>
            <w:r w:rsidRPr="005F22DA">
              <w:rPr>
                <w:rFonts w:eastAsia="Times New Roman" w:cstheme="minorHAnsi"/>
                <w:b/>
                <w:color w:val="000000"/>
                <w:sz w:val="24"/>
              </w:rPr>
              <w:t>Primary Standards</w:t>
            </w:r>
          </w:p>
        </w:tc>
      </w:tr>
      <w:tr w:rsidR="004F5587" w:rsidRPr="005F22DA" w14:paraId="20EDFE0B" w14:textId="77777777" w:rsidTr="00253AC2">
        <w:trPr>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0D21D2" w14:textId="77777777" w:rsidR="004F5587" w:rsidRPr="005F22DA" w:rsidRDefault="004F5587" w:rsidP="00253AC2">
            <w:pPr>
              <w:spacing w:after="0" w:line="240" w:lineRule="auto"/>
              <w:jc w:val="center"/>
              <w:rPr>
                <w:rFonts w:cstheme="minorHAnsi"/>
              </w:rPr>
            </w:pPr>
            <w:r w:rsidRPr="005F22DA">
              <w:rPr>
                <w:rFonts w:eastAsia="Times New Roman" w:cstheme="minorHAnsi"/>
                <w:b/>
                <w:color w:val="000000"/>
                <w:sz w:val="24"/>
              </w:rPr>
              <w:t>Pollutant</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D75CC4" w14:textId="77777777" w:rsidR="004F5587" w:rsidRPr="005F22DA" w:rsidRDefault="004F5587" w:rsidP="00253AC2">
            <w:pPr>
              <w:spacing w:after="0" w:line="240" w:lineRule="auto"/>
              <w:jc w:val="center"/>
              <w:rPr>
                <w:rFonts w:cstheme="minorHAnsi"/>
              </w:rPr>
            </w:pPr>
            <w:r w:rsidRPr="005F22DA">
              <w:rPr>
                <w:rFonts w:eastAsia="Times New Roman" w:cstheme="minorHAnsi"/>
                <w:b/>
                <w:color w:val="000000"/>
                <w:sz w:val="24"/>
              </w:rPr>
              <w:t>Level</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0E9F33" w14:textId="77777777" w:rsidR="004F5587" w:rsidRPr="005F22DA" w:rsidRDefault="004F5587" w:rsidP="00253AC2">
            <w:pPr>
              <w:spacing w:after="0" w:line="240" w:lineRule="auto"/>
              <w:jc w:val="center"/>
              <w:rPr>
                <w:rFonts w:cstheme="minorHAnsi"/>
              </w:rPr>
            </w:pPr>
            <w:r w:rsidRPr="005F22DA">
              <w:rPr>
                <w:rFonts w:eastAsia="Times New Roman" w:cstheme="minorHAnsi"/>
                <w:b/>
                <w:color w:val="000000"/>
                <w:sz w:val="24"/>
              </w:rPr>
              <w:t>Averaging Time</w:t>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E32C1" w14:textId="77777777" w:rsidR="004F5587" w:rsidRPr="005F22DA" w:rsidRDefault="004F5587" w:rsidP="00253AC2">
            <w:pPr>
              <w:spacing w:after="0" w:line="240" w:lineRule="auto"/>
              <w:jc w:val="center"/>
              <w:rPr>
                <w:rFonts w:cstheme="minorHAnsi"/>
              </w:rPr>
            </w:pPr>
            <w:r w:rsidRPr="005F22DA">
              <w:rPr>
                <w:rFonts w:eastAsia="Times New Roman" w:cstheme="minorHAnsi"/>
                <w:b/>
                <w:color w:val="000000"/>
                <w:sz w:val="24"/>
              </w:rPr>
              <w:t>Notes on demonstrating compliance with NAAQS via modeling</w:t>
            </w:r>
          </w:p>
        </w:tc>
      </w:tr>
      <w:tr w:rsidR="004F5587" w:rsidRPr="005F22DA" w14:paraId="3306DFA7" w14:textId="77777777" w:rsidTr="00253AC2">
        <w:trPr>
          <w:jc w:val="center"/>
        </w:trPr>
        <w:tc>
          <w:tcPr>
            <w:tcW w:w="17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79CFF"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 xml:space="preserve">Carbon </w:t>
            </w:r>
            <w:r w:rsidRPr="005F22DA">
              <w:rPr>
                <w:rFonts w:eastAsia="Times New Roman" w:cstheme="minorHAnsi"/>
                <w:color w:val="000000"/>
                <w:sz w:val="24"/>
              </w:rPr>
              <w:br/>
              <w:t>Monoxide (CO)</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EDAE6" w14:textId="77777777" w:rsidR="004F5587" w:rsidRPr="005F22DA" w:rsidRDefault="004F5587" w:rsidP="00253AC2">
            <w:pPr>
              <w:spacing w:after="100" w:line="240" w:lineRule="auto"/>
              <w:jc w:val="center"/>
              <w:rPr>
                <w:rFonts w:cstheme="minorHAnsi"/>
              </w:rPr>
            </w:pPr>
            <w:r w:rsidRPr="005F22DA">
              <w:rPr>
                <w:rFonts w:eastAsia="Times New Roman" w:cstheme="minorHAnsi"/>
                <w:color w:val="000000"/>
                <w:sz w:val="24"/>
              </w:rPr>
              <w:t>10,000 µg/m</w:t>
            </w:r>
            <w:r w:rsidRPr="005F22DA">
              <w:rPr>
                <w:rFonts w:eastAsia="Times New Roman" w:cstheme="minorHAnsi"/>
                <w:color w:val="000000"/>
                <w:sz w:val="24"/>
                <w:vertAlign w:val="superscript"/>
              </w:rPr>
              <w:t>3</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0717D" w14:textId="76874A3E" w:rsidR="004F5587" w:rsidRPr="005F22DA" w:rsidRDefault="004F5587" w:rsidP="00253AC2">
            <w:pPr>
              <w:spacing w:after="0" w:line="240" w:lineRule="auto"/>
              <w:jc w:val="center"/>
              <w:rPr>
                <w:rFonts w:eastAsia="Calibri" w:cstheme="minorHAnsi"/>
              </w:rPr>
            </w:pPr>
            <w:r w:rsidRPr="005F22DA">
              <w:rPr>
                <w:rFonts w:eastAsia="Times New Roman" w:cstheme="minorHAnsi"/>
                <w:color w:val="000000"/>
                <w:sz w:val="24"/>
              </w:rPr>
              <w:t>8-hour</w:t>
            </w:r>
          </w:p>
          <w:p w14:paraId="74BE8A45" w14:textId="3F381EA4" w:rsidR="004F5587" w:rsidRPr="005F22DA" w:rsidRDefault="004F5587" w:rsidP="00253AC2">
            <w:pPr>
              <w:spacing w:after="0" w:line="240" w:lineRule="auto"/>
              <w:jc w:val="center"/>
              <w:rPr>
                <w:rFonts w:cstheme="minorHAnsi"/>
              </w:rPr>
            </w:pP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CB6C4F"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rPr>
              <w:t>Not to be exceeded more than once per year</w:t>
            </w:r>
          </w:p>
        </w:tc>
      </w:tr>
      <w:tr w:rsidR="004F5587" w:rsidRPr="005F22DA" w14:paraId="5B9154EE" w14:textId="77777777" w:rsidTr="00253AC2">
        <w:trPr>
          <w:jc w:val="center"/>
        </w:trPr>
        <w:tc>
          <w:tcPr>
            <w:tcW w:w="17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ED20D" w14:textId="77777777" w:rsidR="004F5587" w:rsidRPr="005F22DA" w:rsidRDefault="004F5587" w:rsidP="00253AC2">
            <w:pPr>
              <w:spacing w:after="200" w:line="276" w:lineRule="auto"/>
              <w:jc w:val="center"/>
              <w:rPr>
                <w:rFonts w:eastAsia="Calibri" w:cstheme="minorHAnsi"/>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8D0209" w14:textId="77777777" w:rsidR="004F5587" w:rsidRPr="005F22DA" w:rsidRDefault="004F5587" w:rsidP="00253AC2">
            <w:pPr>
              <w:spacing w:after="100" w:line="240" w:lineRule="auto"/>
              <w:jc w:val="center"/>
              <w:rPr>
                <w:rFonts w:cstheme="minorHAnsi"/>
              </w:rPr>
            </w:pPr>
            <w:r w:rsidRPr="005F22DA">
              <w:rPr>
                <w:rFonts w:eastAsia="Times New Roman" w:cstheme="minorHAnsi"/>
                <w:color w:val="000000"/>
                <w:sz w:val="24"/>
              </w:rPr>
              <w:t>40,000 µg/m</w:t>
            </w:r>
            <w:r w:rsidRPr="005F22DA">
              <w:rPr>
                <w:rFonts w:eastAsia="Times New Roman" w:cstheme="minorHAnsi"/>
                <w:color w:val="000000"/>
                <w:sz w:val="24"/>
                <w:vertAlign w:val="superscript"/>
              </w:rPr>
              <w:t>3</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3C76B" w14:textId="66FC45A1"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1-hour</w:t>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563DE5"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rPr>
              <w:t>Not to be exceeded more than once per year</w:t>
            </w:r>
          </w:p>
        </w:tc>
      </w:tr>
      <w:tr w:rsidR="004F5587" w:rsidRPr="005F22DA" w14:paraId="551E2D2E" w14:textId="77777777" w:rsidTr="00253AC2">
        <w:trPr>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740706"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Dioxin</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E65D9"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1.0 picogram/m</w:t>
            </w:r>
            <w:r w:rsidRPr="005F22DA">
              <w:rPr>
                <w:rFonts w:eastAsia="Times New Roman" w:cstheme="minorHAnsi"/>
                <w:color w:val="000000"/>
                <w:sz w:val="24"/>
                <w:vertAlign w:val="superscript"/>
              </w:rPr>
              <w:t>3</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5E243"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Annual Average</w:t>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561986"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rPr>
              <w:t>Not to be exceeded</w:t>
            </w:r>
          </w:p>
        </w:tc>
      </w:tr>
      <w:tr w:rsidR="004F5587" w:rsidRPr="005F22DA" w14:paraId="264D26CF" w14:textId="77777777" w:rsidTr="00253AC2">
        <w:trPr>
          <w:trHeight w:val="1"/>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80F2A"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Lead (Pb)</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2A5C62" w14:textId="5F390E20"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0.15 µg/m</w:t>
            </w:r>
            <w:r w:rsidRPr="005F22DA">
              <w:rPr>
                <w:rFonts w:eastAsia="Times New Roman" w:cstheme="minorHAnsi"/>
                <w:color w:val="000000"/>
                <w:sz w:val="24"/>
                <w:vertAlign w:val="superscript"/>
              </w:rPr>
              <w:t>3</w:t>
            </w:r>
            <w:r w:rsidR="00253AC2">
              <w:rPr>
                <w:rFonts w:eastAsia="Times New Roman" w:cstheme="minorHAnsi"/>
                <w:color w:val="000000"/>
                <w:sz w:val="24"/>
                <w:vertAlign w:val="superscript"/>
              </w:rPr>
              <w:t xml:space="preserve"> </w:t>
            </w:r>
            <w:r w:rsidRPr="005F22DA">
              <w:rPr>
                <w:rFonts w:eastAsia="Times New Roman" w:cstheme="minorHAnsi"/>
                <w:sz w:val="24"/>
                <w:vertAlign w:val="superscript"/>
              </w:rPr>
              <w:t>(1)</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6CFD5"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Rolling 3-Month Average</w:t>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FFD9A3"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rPr>
              <w:t>Not to be exceeded</w:t>
            </w:r>
          </w:p>
        </w:tc>
      </w:tr>
      <w:tr w:rsidR="004F5587" w:rsidRPr="005F22DA" w14:paraId="71130D2C" w14:textId="77777777" w:rsidTr="00253AC2">
        <w:trPr>
          <w:jc w:val="center"/>
        </w:trPr>
        <w:tc>
          <w:tcPr>
            <w:tcW w:w="17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6943C" w14:textId="77777777" w:rsidR="004F5587" w:rsidRPr="005F22DA" w:rsidRDefault="004F5587" w:rsidP="00253AC2">
            <w:pPr>
              <w:spacing w:after="0" w:line="240" w:lineRule="auto"/>
              <w:jc w:val="center"/>
              <w:rPr>
                <w:rFonts w:eastAsia="Times New Roman" w:cstheme="minorHAnsi"/>
                <w:color w:val="000000"/>
                <w:sz w:val="24"/>
              </w:rPr>
            </w:pPr>
            <w:r w:rsidRPr="005F22DA">
              <w:rPr>
                <w:rFonts w:eastAsia="Times New Roman" w:cstheme="minorHAnsi"/>
                <w:color w:val="000000"/>
                <w:sz w:val="24"/>
              </w:rPr>
              <w:t xml:space="preserve">Nitrogen </w:t>
            </w:r>
            <w:r w:rsidRPr="005F22DA">
              <w:rPr>
                <w:rFonts w:eastAsia="Times New Roman" w:cstheme="minorHAnsi"/>
                <w:color w:val="000000"/>
                <w:sz w:val="24"/>
              </w:rPr>
              <w:br/>
              <w:t>Dioxide (NO</w:t>
            </w:r>
            <w:r w:rsidRPr="005F22DA">
              <w:rPr>
                <w:rFonts w:eastAsia="Times New Roman" w:cstheme="minorHAnsi"/>
                <w:color w:val="000000"/>
                <w:sz w:val="24"/>
                <w:vertAlign w:val="subscript"/>
              </w:rPr>
              <w:t>2</w:t>
            </w:r>
            <w:r w:rsidRPr="005F22DA">
              <w:rPr>
                <w:rFonts w:eastAsia="Times New Roman" w:cstheme="minorHAnsi"/>
                <w:color w:val="000000"/>
                <w:sz w:val="24"/>
              </w:rPr>
              <w:t>)</w:t>
            </w:r>
          </w:p>
          <w:p w14:paraId="5B01B51C" w14:textId="77777777" w:rsidR="004F5587" w:rsidRPr="005F22DA" w:rsidRDefault="004F5587" w:rsidP="00253AC2">
            <w:pPr>
              <w:spacing w:after="0" w:line="240" w:lineRule="auto"/>
              <w:jc w:val="center"/>
              <w:rPr>
                <w:rFonts w:cstheme="minorHAnsi"/>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DE1FD"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100 µg/m</w:t>
            </w:r>
            <w:r w:rsidRPr="005F22DA">
              <w:rPr>
                <w:rFonts w:eastAsia="Times New Roman" w:cstheme="minorHAnsi"/>
                <w:color w:val="000000"/>
                <w:sz w:val="24"/>
                <w:vertAlign w:val="superscript"/>
              </w:rPr>
              <w:t>3</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23998D"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Annual (Arithmetic Mean)</w:t>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C68CC4"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rPr>
              <w:t>Not to be exceeded</w:t>
            </w:r>
          </w:p>
        </w:tc>
      </w:tr>
      <w:tr w:rsidR="004F5587" w:rsidRPr="005F22DA" w14:paraId="7CC1DBA8" w14:textId="77777777" w:rsidTr="00253AC2">
        <w:trPr>
          <w:jc w:val="center"/>
        </w:trPr>
        <w:tc>
          <w:tcPr>
            <w:tcW w:w="17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D4640" w14:textId="77777777" w:rsidR="004F5587" w:rsidRPr="005F22DA" w:rsidRDefault="004F5587" w:rsidP="00253AC2">
            <w:pPr>
              <w:spacing w:after="200" w:line="276" w:lineRule="auto"/>
              <w:jc w:val="center"/>
              <w:rPr>
                <w:rFonts w:eastAsia="Calibri" w:cstheme="minorHAnsi"/>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CC310"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188 µg/m</w:t>
            </w:r>
            <w:r w:rsidRPr="005F22DA">
              <w:rPr>
                <w:rFonts w:eastAsia="Times New Roman" w:cstheme="minorHAnsi"/>
                <w:color w:val="000000"/>
                <w:sz w:val="24"/>
                <w:vertAlign w:val="superscript"/>
              </w:rPr>
              <w:t>3</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43765" w14:textId="77081956"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1-hour</w:t>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8E14D5" w14:textId="3E2B680E" w:rsidR="004F5587" w:rsidRPr="005F22DA" w:rsidRDefault="004F5587" w:rsidP="00253AC2">
            <w:pPr>
              <w:spacing w:after="0" w:line="240" w:lineRule="auto"/>
              <w:jc w:val="center"/>
              <w:rPr>
                <w:rFonts w:cstheme="minorHAnsi"/>
              </w:rPr>
            </w:pPr>
            <w:r w:rsidRPr="005F22DA">
              <w:rPr>
                <w:rFonts w:eastAsia="Times New Roman" w:cstheme="minorHAnsi"/>
                <w:color w:val="000000"/>
              </w:rPr>
              <w:t xml:space="preserve">The 5-year average (1-year for on-site </w:t>
            </w:r>
            <w:r w:rsidR="008C666E">
              <w:rPr>
                <w:rFonts w:eastAsia="Times New Roman" w:cstheme="minorHAnsi"/>
                <w:color w:val="000000"/>
              </w:rPr>
              <w:t>MET</w:t>
            </w:r>
            <w:r w:rsidRPr="005F22DA">
              <w:rPr>
                <w:rFonts w:eastAsia="Times New Roman" w:cstheme="minorHAnsi"/>
                <w:color w:val="000000"/>
              </w:rPr>
              <w:t xml:space="preserve"> data) of the 98</w:t>
            </w:r>
            <w:r w:rsidRPr="005F22DA">
              <w:rPr>
                <w:rFonts w:eastAsia="Times New Roman" w:cstheme="minorHAnsi"/>
                <w:color w:val="000000"/>
                <w:vertAlign w:val="superscript"/>
              </w:rPr>
              <w:t>th</w:t>
            </w:r>
            <w:r w:rsidRPr="005F22DA">
              <w:rPr>
                <w:rFonts w:eastAsia="Times New Roman" w:cstheme="minorHAnsi"/>
                <w:color w:val="000000"/>
              </w:rPr>
              <w:t xml:space="preserve"> percentile of 1-hour maximum daily concentrations</w:t>
            </w:r>
          </w:p>
        </w:tc>
      </w:tr>
      <w:tr w:rsidR="004F5587" w:rsidRPr="005F22DA" w14:paraId="6B8D5723" w14:textId="77777777" w:rsidTr="00253AC2">
        <w:trPr>
          <w:trHeight w:val="1"/>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4C9A6" w14:textId="77777777" w:rsidR="004F5587" w:rsidRPr="005F22DA" w:rsidRDefault="004F5587" w:rsidP="00253AC2">
            <w:pPr>
              <w:spacing w:after="100" w:line="240" w:lineRule="auto"/>
              <w:jc w:val="center"/>
              <w:rPr>
                <w:rFonts w:cstheme="minorHAnsi"/>
              </w:rPr>
            </w:pPr>
            <w:r w:rsidRPr="005F22DA">
              <w:rPr>
                <w:rFonts w:eastAsia="Times New Roman" w:cstheme="minorHAnsi"/>
                <w:color w:val="000000"/>
                <w:sz w:val="24"/>
              </w:rPr>
              <w:t xml:space="preserve">Particulate </w:t>
            </w:r>
            <w:r w:rsidRPr="005F22DA">
              <w:rPr>
                <w:rFonts w:eastAsia="Times New Roman" w:cstheme="minorHAnsi"/>
                <w:color w:val="000000"/>
                <w:sz w:val="24"/>
              </w:rPr>
              <w:br/>
              <w:t>Matter (PM</w:t>
            </w:r>
            <w:r w:rsidRPr="005F22DA">
              <w:rPr>
                <w:rFonts w:eastAsia="Times New Roman" w:cstheme="minorHAnsi"/>
                <w:color w:val="000000"/>
                <w:sz w:val="24"/>
                <w:vertAlign w:val="subscript"/>
              </w:rPr>
              <w:t>10</w:t>
            </w:r>
            <w:r w:rsidRPr="005F22DA">
              <w:rPr>
                <w:rFonts w:eastAsia="Times New Roman" w:cstheme="minorHAnsi"/>
                <w:color w:val="000000"/>
                <w:sz w:val="24"/>
              </w:rPr>
              <w:t>)</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8A479" w14:textId="77777777" w:rsidR="004F5587" w:rsidRPr="005F22DA" w:rsidRDefault="004F5587" w:rsidP="00253AC2">
            <w:pPr>
              <w:spacing w:after="100" w:line="240" w:lineRule="auto"/>
              <w:jc w:val="center"/>
              <w:rPr>
                <w:rFonts w:cstheme="minorHAnsi"/>
              </w:rPr>
            </w:pPr>
            <w:r w:rsidRPr="005F22DA">
              <w:rPr>
                <w:rFonts w:eastAsia="Times New Roman" w:cstheme="minorHAnsi"/>
                <w:color w:val="000000"/>
                <w:sz w:val="24"/>
              </w:rPr>
              <w:t>150 µg/m</w:t>
            </w:r>
            <w:r w:rsidRPr="005F22DA">
              <w:rPr>
                <w:rFonts w:eastAsia="Times New Roman" w:cstheme="minorHAnsi"/>
                <w:color w:val="000000"/>
                <w:sz w:val="24"/>
                <w:vertAlign w:val="superscript"/>
              </w:rPr>
              <w:t>3</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A6E27" w14:textId="0CC0EF02"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24-hour</w:t>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00B0DA" w14:textId="0CA64670" w:rsidR="004F5587" w:rsidRPr="005F22DA" w:rsidRDefault="004F5587" w:rsidP="00253AC2">
            <w:pPr>
              <w:spacing w:after="0" w:line="240" w:lineRule="auto"/>
              <w:jc w:val="center"/>
              <w:rPr>
                <w:rFonts w:cstheme="minorHAnsi"/>
              </w:rPr>
            </w:pPr>
            <w:r w:rsidRPr="005F22DA">
              <w:rPr>
                <w:rFonts w:eastAsia="Times New Roman" w:cstheme="minorHAnsi"/>
                <w:color w:val="000000"/>
              </w:rPr>
              <w:t xml:space="preserve">Not to be exceeded more than once per year on average over 5 years (1-year for on-site </w:t>
            </w:r>
            <w:r w:rsidR="008C666E">
              <w:rPr>
                <w:rFonts w:eastAsia="Times New Roman" w:cstheme="minorHAnsi"/>
                <w:color w:val="000000"/>
              </w:rPr>
              <w:t>MET</w:t>
            </w:r>
            <w:r w:rsidRPr="005F22DA">
              <w:rPr>
                <w:rFonts w:eastAsia="Times New Roman" w:cstheme="minorHAnsi"/>
                <w:color w:val="000000"/>
              </w:rPr>
              <w:t xml:space="preserve"> data)</w:t>
            </w:r>
          </w:p>
        </w:tc>
      </w:tr>
      <w:tr w:rsidR="004F5587" w:rsidRPr="005F22DA" w14:paraId="524BF2DE" w14:textId="77777777" w:rsidTr="00253AC2">
        <w:trPr>
          <w:trHeight w:val="1"/>
          <w:jc w:val="center"/>
        </w:trPr>
        <w:tc>
          <w:tcPr>
            <w:tcW w:w="17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4BF8B" w14:textId="609DCF74" w:rsidR="004F5587" w:rsidRPr="005F22DA" w:rsidRDefault="004F5587" w:rsidP="00253AC2">
            <w:pPr>
              <w:spacing w:after="100" w:line="240" w:lineRule="auto"/>
              <w:jc w:val="center"/>
              <w:rPr>
                <w:rFonts w:cstheme="minorHAnsi"/>
              </w:rPr>
            </w:pPr>
            <w:r w:rsidRPr="005F22DA">
              <w:rPr>
                <w:rFonts w:eastAsia="Times New Roman" w:cstheme="minorHAnsi"/>
                <w:color w:val="000000"/>
                <w:sz w:val="24"/>
              </w:rPr>
              <w:t xml:space="preserve">Particulate </w:t>
            </w:r>
            <w:r w:rsidRPr="005F22DA">
              <w:rPr>
                <w:rFonts w:eastAsia="Times New Roman" w:cstheme="minorHAnsi"/>
                <w:color w:val="000000"/>
                <w:sz w:val="24"/>
              </w:rPr>
              <w:br/>
              <w:t>Matter (PM</w:t>
            </w:r>
            <w:r w:rsidRPr="005F22DA">
              <w:rPr>
                <w:rFonts w:eastAsia="Times New Roman" w:cstheme="minorHAnsi"/>
                <w:color w:val="000000"/>
                <w:sz w:val="24"/>
                <w:vertAlign w:val="subscript"/>
              </w:rPr>
              <w:t>2.5</w:t>
            </w:r>
            <w:r w:rsidRPr="005F22DA">
              <w:rPr>
                <w:rFonts w:eastAsia="Times New Roman" w:cstheme="minorHAnsi"/>
                <w:color w:val="000000"/>
                <w:sz w:val="24"/>
              </w:rPr>
              <w:t>)</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50BA4" w14:textId="0D63DA21" w:rsidR="004F5587" w:rsidRPr="005F22DA" w:rsidRDefault="004F5587" w:rsidP="00253AC2">
            <w:pPr>
              <w:spacing w:after="100" w:line="240" w:lineRule="auto"/>
              <w:jc w:val="center"/>
              <w:rPr>
                <w:rFonts w:cstheme="minorHAnsi"/>
              </w:rPr>
            </w:pPr>
            <w:r w:rsidRPr="005F22DA">
              <w:rPr>
                <w:rFonts w:eastAsia="Times New Roman" w:cstheme="minorHAnsi"/>
                <w:color w:val="000000"/>
                <w:sz w:val="24"/>
              </w:rPr>
              <w:t>12.0 µg/m</w:t>
            </w:r>
            <w:r w:rsidRPr="005F22DA">
              <w:rPr>
                <w:rFonts w:eastAsia="Times New Roman" w:cstheme="minorHAnsi"/>
                <w:color w:val="000000"/>
                <w:sz w:val="24"/>
                <w:vertAlign w:val="superscript"/>
              </w:rPr>
              <w:t>3</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C6BBE" w14:textId="68AE01C8" w:rsidR="004F5587" w:rsidRPr="005F22DA" w:rsidRDefault="004F5587" w:rsidP="00253AC2">
            <w:pPr>
              <w:spacing w:after="100" w:line="240" w:lineRule="auto"/>
              <w:jc w:val="center"/>
              <w:rPr>
                <w:rFonts w:cstheme="minorHAnsi"/>
              </w:rPr>
            </w:pPr>
            <w:r w:rsidRPr="005F22DA">
              <w:rPr>
                <w:rFonts w:eastAsia="Times New Roman" w:cstheme="minorHAnsi"/>
                <w:color w:val="000000"/>
                <w:sz w:val="24"/>
              </w:rPr>
              <w:t>Annual (Arithmetic Mean)</w:t>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1E37B4" w14:textId="5989B584" w:rsidR="004F5587" w:rsidRPr="005F22DA" w:rsidRDefault="004F5587" w:rsidP="00253AC2">
            <w:pPr>
              <w:spacing w:after="0" w:line="240" w:lineRule="auto"/>
              <w:jc w:val="center"/>
              <w:rPr>
                <w:rFonts w:cstheme="minorHAnsi"/>
              </w:rPr>
            </w:pPr>
            <w:r w:rsidRPr="005F22DA">
              <w:rPr>
                <w:rFonts w:eastAsia="Times New Roman" w:cstheme="minorHAnsi"/>
                <w:color w:val="000000"/>
              </w:rPr>
              <w:t>Not to be exceeded</w:t>
            </w:r>
            <w:r w:rsidR="00253AC2">
              <w:rPr>
                <w:rFonts w:eastAsia="Times New Roman" w:cstheme="minorHAnsi"/>
                <w:color w:val="000000"/>
              </w:rPr>
              <w:t xml:space="preserve"> (</w:t>
            </w:r>
            <w:r w:rsidRPr="005F22DA">
              <w:rPr>
                <w:rFonts w:eastAsia="Times New Roman" w:cstheme="minorHAnsi"/>
                <w:color w:val="000000"/>
              </w:rPr>
              <w:t>See Section 4.4</w:t>
            </w:r>
            <w:r w:rsidR="00253AC2">
              <w:rPr>
                <w:rFonts w:eastAsia="Times New Roman" w:cstheme="minorHAnsi"/>
                <w:color w:val="000000"/>
              </w:rPr>
              <w:t>)</w:t>
            </w:r>
          </w:p>
        </w:tc>
      </w:tr>
      <w:tr w:rsidR="004F5587" w:rsidRPr="005F22DA" w14:paraId="2B6D02E0" w14:textId="77777777" w:rsidTr="00253AC2">
        <w:trPr>
          <w:trHeight w:val="1"/>
          <w:jc w:val="center"/>
        </w:trPr>
        <w:tc>
          <w:tcPr>
            <w:tcW w:w="17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11FDD" w14:textId="77777777" w:rsidR="004F5587" w:rsidRPr="005F22DA" w:rsidRDefault="004F5587" w:rsidP="00253AC2">
            <w:pPr>
              <w:spacing w:after="200" w:line="276" w:lineRule="auto"/>
              <w:jc w:val="center"/>
              <w:rPr>
                <w:rFonts w:eastAsia="Calibri" w:cstheme="minorHAnsi"/>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04CBC" w14:textId="77777777"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35 µg/m</w:t>
            </w:r>
            <w:r w:rsidRPr="005F22DA">
              <w:rPr>
                <w:rFonts w:eastAsia="Times New Roman" w:cstheme="minorHAnsi"/>
                <w:color w:val="000000"/>
                <w:sz w:val="24"/>
                <w:vertAlign w:val="superscript"/>
              </w:rPr>
              <w:t>3</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C8DE8" w14:textId="212C8A08"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24-hour</w:t>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4CCD4D" w14:textId="2057441D" w:rsidR="004F5587" w:rsidRPr="005F22DA" w:rsidRDefault="004F5587" w:rsidP="00253AC2">
            <w:pPr>
              <w:spacing w:after="0" w:line="240" w:lineRule="auto"/>
              <w:jc w:val="center"/>
              <w:rPr>
                <w:rFonts w:cstheme="minorHAnsi"/>
              </w:rPr>
            </w:pPr>
            <w:r w:rsidRPr="005F22DA">
              <w:rPr>
                <w:rFonts w:eastAsia="Times New Roman" w:cstheme="minorHAnsi"/>
                <w:color w:val="000000"/>
              </w:rPr>
              <w:t xml:space="preserve">The 5-year average (1-year for on-site </w:t>
            </w:r>
            <w:r w:rsidR="008C666E">
              <w:rPr>
                <w:rFonts w:eastAsia="Times New Roman" w:cstheme="minorHAnsi"/>
                <w:color w:val="000000"/>
              </w:rPr>
              <w:t>MET</w:t>
            </w:r>
            <w:r w:rsidRPr="005F22DA">
              <w:rPr>
                <w:rFonts w:eastAsia="Times New Roman" w:cstheme="minorHAnsi"/>
                <w:color w:val="000000"/>
              </w:rPr>
              <w:t xml:space="preserve"> data) of the 98th percentile of the 24-hour concentrations</w:t>
            </w:r>
            <w:r w:rsidR="00253AC2">
              <w:rPr>
                <w:rFonts w:eastAsia="Times New Roman" w:cstheme="minorHAnsi"/>
                <w:color w:val="000000"/>
              </w:rPr>
              <w:t xml:space="preserve"> (</w:t>
            </w:r>
            <w:r w:rsidRPr="005F22DA">
              <w:rPr>
                <w:rFonts w:eastAsia="Times New Roman" w:cstheme="minorHAnsi"/>
                <w:color w:val="000000"/>
              </w:rPr>
              <w:t>See Section 4.4</w:t>
            </w:r>
            <w:r w:rsidR="00253AC2">
              <w:rPr>
                <w:rFonts w:eastAsia="Times New Roman" w:cstheme="minorHAnsi"/>
                <w:color w:val="000000"/>
              </w:rPr>
              <w:t>)</w:t>
            </w:r>
          </w:p>
        </w:tc>
      </w:tr>
      <w:tr w:rsidR="004F5587" w:rsidRPr="005F22DA" w14:paraId="1399E60B" w14:textId="77777777" w:rsidTr="00253AC2">
        <w:trPr>
          <w:trHeight w:val="1"/>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14278A" w14:textId="77777777" w:rsidR="004F5587" w:rsidRPr="005F22DA" w:rsidRDefault="004F5587" w:rsidP="00253AC2">
            <w:pPr>
              <w:spacing w:after="100" w:line="240" w:lineRule="auto"/>
              <w:jc w:val="center"/>
              <w:rPr>
                <w:rFonts w:cstheme="minorHAnsi"/>
              </w:rPr>
            </w:pPr>
            <w:r w:rsidRPr="005F22DA">
              <w:rPr>
                <w:rFonts w:eastAsia="Times New Roman" w:cstheme="minorHAnsi"/>
                <w:color w:val="000000"/>
                <w:sz w:val="24"/>
              </w:rPr>
              <w:t>Ozone (O</w:t>
            </w:r>
            <w:r w:rsidRPr="005F22DA">
              <w:rPr>
                <w:rFonts w:eastAsia="Times New Roman" w:cstheme="minorHAnsi"/>
                <w:color w:val="000000"/>
                <w:sz w:val="24"/>
                <w:vertAlign w:val="subscript"/>
              </w:rPr>
              <w:t>3</w:t>
            </w:r>
            <w:r w:rsidRPr="005F22DA">
              <w:rPr>
                <w:rFonts w:eastAsia="Times New Roman" w:cstheme="minorHAnsi"/>
                <w:color w:val="000000"/>
                <w:sz w:val="24"/>
              </w:rPr>
              <w:t>)</w:t>
            </w: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3D9CA4" w14:textId="44B8162B" w:rsidR="004F5587" w:rsidRPr="005F22DA" w:rsidRDefault="004F5587" w:rsidP="00253AC2">
            <w:pPr>
              <w:spacing w:after="100" w:line="240" w:lineRule="auto"/>
              <w:jc w:val="center"/>
              <w:rPr>
                <w:rFonts w:cstheme="minorHAnsi"/>
              </w:rPr>
            </w:pPr>
            <w:r w:rsidRPr="005F22DA">
              <w:rPr>
                <w:rFonts w:eastAsia="Times New Roman" w:cstheme="minorHAnsi"/>
                <w:color w:val="000000"/>
                <w:sz w:val="24"/>
              </w:rPr>
              <w:t>0.070</w:t>
            </w:r>
            <w:r w:rsidR="00253AC2">
              <w:rPr>
                <w:rFonts w:eastAsia="Times New Roman" w:cstheme="minorHAnsi"/>
                <w:color w:val="000000"/>
                <w:sz w:val="24"/>
              </w:rPr>
              <w:t xml:space="preserve"> </w:t>
            </w:r>
            <w:r w:rsidRPr="005F22DA">
              <w:rPr>
                <w:rFonts w:eastAsia="Times New Roman" w:cstheme="minorHAnsi"/>
                <w:color w:val="000000"/>
                <w:sz w:val="24"/>
              </w:rPr>
              <w:t>ppm</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F32AC" w14:textId="6537517A"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 xml:space="preserve">8-hour </w:t>
            </w:r>
            <w:r w:rsidRPr="005F22DA">
              <w:rPr>
                <w:rFonts w:eastAsia="Times New Roman" w:cstheme="minorHAnsi"/>
                <w:sz w:val="24"/>
                <w:vertAlign w:val="superscript"/>
              </w:rPr>
              <w:t>(2)</w:t>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37A3F7" w14:textId="7DFC7E08" w:rsidR="004F5587" w:rsidRPr="005F22DA" w:rsidRDefault="004F5587" w:rsidP="00253AC2">
            <w:pPr>
              <w:spacing w:after="0" w:line="240" w:lineRule="auto"/>
              <w:jc w:val="center"/>
              <w:rPr>
                <w:rFonts w:cstheme="minorHAnsi"/>
              </w:rPr>
            </w:pPr>
            <w:r w:rsidRPr="005F22DA">
              <w:rPr>
                <w:rFonts w:eastAsia="Times New Roman" w:cstheme="minorHAnsi"/>
                <w:color w:val="000000"/>
              </w:rPr>
              <w:t>O</w:t>
            </w:r>
            <w:r w:rsidRPr="005F22DA">
              <w:rPr>
                <w:rFonts w:eastAsia="Times New Roman" w:cstheme="minorHAnsi"/>
                <w:color w:val="000000"/>
                <w:vertAlign w:val="subscript"/>
              </w:rPr>
              <w:t>3</w:t>
            </w:r>
            <w:r w:rsidRPr="005F22DA">
              <w:rPr>
                <w:rFonts w:eastAsia="Times New Roman" w:cstheme="minorHAnsi"/>
                <w:color w:val="000000"/>
              </w:rPr>
              <w:t xml:space="preserve"> – </w:t>
            </w:r>
            <w:r w:rsidR="00253AC2">
              <w:rPr>
                <w:rFonts w:eastAsia="Times New Roman" w:cstheme="minorHAnsi"/>
                <w:color w:val="000000"/>
              </w:rPr>
              <w:t>(</w:t>
            </w:r>
            <w:r w:rsidRPr="005F22DA">
              <w:rPr>
                <w:rFonts w:eastAsia="Times New Roman" w:cstheme="minorHAnsi"/>
                <w:color w:val="000000"/>
              </w:rPr>
              <w:t>See Section 4.4</w:t>
            </w:r>
            <w:r w:rsidR="00253AC2">
              <w:rPr>
                <w:rFonts w:eastAsia="Times New Roman" w:cstheme="minorHAnsi"/>
                <w:color w:val="000000"/>
              </w:rPr>
              <w:t>)</w:t>
            </w:r>
          </w:p>
        </w:tc>
      </w:tr>
      <w:tr w:rsidR="004F5587" w:rsidRPr="005F22DA" w14:paraId="3D198A96" w14:textId="77777777" w:rsidTr="00253AC2">
        <w:trPr>
          <w:trHeight w:val="1"/>
          <w:jc w:val="center"/>
        </w:trPr>
        <w:tc>
          <w:tcPr>
            <w:tcW w:w="1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AE707" w14:textId="77777777" w:rsidR="004F5587" w:rsidRPr="005F22DA" w:rsidRDefault="004F5587" w:rsidP="00253AC2">
            <w:pPr>
              <w:spacing w:after="0" w:line="240" w:lineRule="auto"/>
              <w:jc w:val="center"/>
              <w:rPr>
                <w:rFonts w:eastAsia="Times New Roman" w:cstheme="minorHAnsi"/>
                <w:color w:val="000000"/>
                <w:sz w:val="24"/>
              </w:rPr>
            </w:pPr>
            <w:r w:rsidRPr="005F22DA">
              <w:rPr>
                <w:rFonts w:eastAsia="Times New Roman" w:cstheme="minorHAnsi"/>
                <w:color w:val="000000"/>
                <w:sz w:val="24"/>
              </w:rPr>
              <w:t xml:space="preserve">Sulfur </w:t>
            </w:r>
            <w:r w:rsidRPr="005F22DA">
              <w:rPr>
                <w:rFonts w:eastAsia="Times New Roman" w:cstheme="minorHAnsi"/>
                <w:color w:val="000000"/>
                <w:sz w:val="24"/>
              </w:rPr>
              <w:br/>
              <w:t>Dioxide (SO</w:t>
            </w:r>
            <w:r w:rsidRPr="005F22DA">
              <w:rPr>
                <w:rFonts w:eastAsia="Times New Roman" w:cstheme="minorHAnsi"/>
                <w:color w:val="000000"/>
                <w:sz w:val="24"/>
                <w:vertAlign w:val="subscript"/>
              </w:rPr>
              <w:t>2</w:t>
            </w:r>
            <w:r w:rsidRPr="005F22DA">
              <w:rPr>
                <w:rFonts w:eastAsia="Times New Roman" w:cstheme="minorHAnsi"/>
                <w:color w:val="000000"/>
                <w:sz w:val="24"/>
              </w:rPr>
              <w:t>)</w:t>
            </w:r>
          </w:p>
          <w:p w14:paraId="2D1D9F68" w14:textId="77777777" w:rsidR="004F5587" w:rsidRPr="005F22DA" w:rsidRDefault="004F5587" w:rsidP="00253AC2">
            <w:pPr>
              <w:spacing w:after="0" w:line="240" w:lineRule="auto"/>
              <w:jc w:val="center"/>
              <w:rPr>
                <w:rFonts w:cstheme="minorHAnsi"/>
              </w:rPr>
            </w:pPr>
          </w:p>
        </w:tc>
        <w:tc>
          <w:tcPr>
            <w:tcW w:w="1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92488" w14:textId="163D97B4" w:rsidR="004F5587" w:rsidRPr="005F22DA" w:rsidRDefault="004F5587" w:rsidP="00253AC2">
            <w:pPr>
              <w:spacing w:after="0" w:line="240" w:lineRule="auto"/>
              <w:jc w:val="center"/>
              <w:rPr>
                <w:rFonts w:cstheme="minorHAnsi"/>
              </w:rPr>
            </w:pPr>
            <w:r w:rsidRPr="005F22DA">
              <w:rPr>
                <w:rFonts w:eastAsia="Times New Roman" w:cstheme="minorHAnsi"/>
                <w:color w:val="000000"/>
                <w:sz w:val="24"/>
              </w:rPr>
              <w:t>196µg/m</w:t>
            </w:r>
            <w:r w:rsidRPr="005F22DA">
              <w:rPr>
                <w:rFonts w:eastAsia="Times New Roman" w:cstheme="minorHAnsi"/>
                <w:color w:val="000000"/>
                <w:sz w:val="24"/>
                <w:vertAlign w:val="superscript"/>
              </w:rPr>
              <w:t>3</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B67C0" w14:textId="53F19AD3" w:rsidR="004F5587" w:rsidRPr="005F22DA" w:rsidRDefault="004F5587" w:rsidP="00253AC2">
            <w:pPr>
              <w:spacing w:after="100" w:line="240" w:lineRule="auto"/>
              <w:jc w:val="center"/>
              <w:rPr>
                <w:rFonts w:cstheme="minorHAnsi"/>
              </w:rPr>
            </w:pPr>
            <w:r w:rsidRPr="005F22DA">
              <w:rPr>
                <w:rFonts w:eastAsia="Times New Roman" w:cstheme="minorHAnsi"/>
                <w:color w:val="000000"/>
                <w:sz w:val="24"/>
              </w:rPr>
              <w:t xml:space="preserve">1-hour </w:t>
            </w:r>
            <w:r w:rsidRPr="005F22DA">
              <w:rPr>
                <w:rFonts w:eastAsia="Times New Roman" w:cstheme="minorHAnsi"/>
                <w:color w:val="000000"/>
                <w:sz w:val="24"/>
              </w:rPr>
              <w:br/>
            </w:r>
          </w:p>
        </w:tc>
        <w:tc>
          <w:tcPr>
            <w:tcW w:w="3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47EB46" w14:textId="69325EFB" w:rsidR="004F5587" w:rsidRPr="005F22DA" w:rsidRDefault="004F5587" w:rsidP="00253AC2">
            <w:pPr>
              <w:spacing w:after="100" w:line="240" w:lineRule="auto"/>
              <w:jc w:val="center"/>
              <w:rPr>
                <w:rFonts w:cstheme="minorHAnsi"/>
              </w:rPr>
            </w:pPr>
            <w:r w:rsidRPr="005F22DA">
              <w:rPr>
                <w:rFonts w:eastAsia="Times New Roman" w:cstheme="minorHAnsi"/>
                <w:color w:val="000000"/>
              </w:rPr>
              <w:t>The 5-year average (1-year for on-site</w:t>
            </w:r>
            <w:r w:rsidR="008C666E">
              <w:rPr>
                <w:rFonts w:eastAsia="Times New Roman" w:cstheme="minorHAnsi"/>
                <w:color w:val="000000"/>
              </w:rPr>
              <w:t xml:space="preserve"> MET</w:t>
            </w:r>
            <w:r w:rsidRPr="005F22DA">
              <w:rPr>
                <w:rFonts w:eastAsia="Times New Roman" w:cstheme="minorHAnsi"/>
                <w:color w:val="000000"/>
              </w:rPr>
              <w:t xml:space="preserve"> data) of the 99</w:t>
            </w:r>
            <w:r w:rsidRPr="005F22DA">
              <w:rPr>
                <w:rFonts w:eastAsia="Times New Roman" w:cstheme="minorHAnsi"/>
                <w:color w:val="000000"/>
                <w:vertAlign w:val="superscript"/>
              </w:rPr>
              <w:t>th</w:t>
            </w:r>
            <w:r w:rsidRPr="005F22DA">
              <w:rPr>
                <w:rFonts w:eastAsia="Times New Roman" w:cstheme="minorHAnsi"/>
                <w:color w:val="000000"/>
              </w:rPr>
              <w:t xml:space="preserve"> percentile of the 1-hour maximum daily concentrations</w:t>
            </w:r>
          </w:p>
        </w:tc>
      </w:tr>
    </w:tbl>
    <w:p w14:paraId="17E67223" w14:textId="20B2A068" w:rsidR="004F5587" w:rsidRPr="005F22DA" w:rsidRDefault="004F5587" w:rsidP="005C6408">
      <w:pPr>
        <w:tabs>
          <w:tab w:val="left" w:pos="1530"/>
        </w:tabs>
        <w:spacing w:after="0" w:line="240" w:lineRule="auto"/>
        <w:ind w:left="810" w:right="720"/>
        <w:rPr>
          <w:rFonts w:eastAsia="Times New Roman" w:cstheme="minorHAnsi"/>
          <w:sz w:val="18"/>
        </w:rPr>
      </w:pPr>
      <w:r w:rsidRPr="005F22DA">
        <w:rPr>
          <w:rFonts w:eastAsia="Times New Roman" w:cstheme="minorHAnsi"/>
          <w:sz w:val="18"/>
          <w:vertAlign w:val="superscript"/>
        </w:rPr>
        <w:t>1</w:t>
      </w:r>
      <w:r w:rsidR="00E620CE">
        <w:rPr>
          <w:rFonts w:eastAsia="Times New Roman" w:cstheme="minorHAnsi"/>
          <w:sz w:val="18"/>
          <w:vertAlign w:val="superscript"/>
        </w:rPr>
        <w:t xml:space="preserve"> </w:t>
      </w:r>
      <w:r w:rsidRPr="005F22DA">
        <w:rPr>
          <w:rFonts w:eastAsia="Times New Roman" w:cstheme="minorHAnsi"/>
          <w:sz w:val="18"/>
        </w:rPr>
        <w:t>National lead standard, rolling 3-month average, signed October 15, 2008</w:t>
      </w:r>
    </w:p>
    <w:p w14:paraId="7EB573CA" w14:textId="16FCB356" w:rsidR="004F5587" w:rsidRPr="005F22DA" w:rsidRDefault="004F5587" w:rsidP="005C6408">
      <w:pPr>
        <w:tabs>
          <w:tab w:val="left" w:pos="1530"/>
        </w:tabs>
        <w:spacing w:before="120" w:after="120" w:line="240" w:lineRule="auto"/>
        <w:ind w:left="810" w:right="720"/>
        <w:rPr>
          <w:rFonts w:eastAsia="Times New Roman" w:cstheme="minorHAnsi"/>
          <w:color w:val="000000"/>
          <w:sz w:val="18"/>
        </w:rPr>
      </w:pPr>
      <w:r w:rsidRPr="005F22DA">
        <w:rPr>
          <w:rFonts w:eastAsia="Times New Roman" w:cstheme="minorHAnsi"/>
          <w:color w:val="000000"/>
          <w:sz w:val="18"/>
          <w:vertAlign w:val="superscript"/>
        </w:rPr>
        <w:t>2</w:t>
      </w:r>
      <w:r w:rsidR="00E620CE">
        <w:rPr>
          <w:rFonts w:eastAsia="Times New Roman" w:cstheme="minorHAnsi"/>
          <w:color w:val="000000"/>
          <w:sz w:val="18"/>
          <w:vertAlign w:val="superscript"/>
        </w:rPr>
        <w:t xml:space="preserve"> </w:t>
      </w:r>
      <w:r w:rsidRPr="005F22DA">
        <w:rPr>
          <w:rFonts w:eastAsia="Times New Roman" w:cstheme="minorHAnsi"/>
          <w:color w:val="000000"/>
          <w:sz w:val="18"/>
        </w:rPr>
        <w:t>To attain this standard, the 3-year average of the fourth-highest daily maximum 8-hour average ozone concentrations measured at each monitor within an area over each year must not exceed 0.070 ppm</w:t>
      </w:r>
      <w:r w:rsidR="00BB547A">
        <w:rPr>
          <w:rFonts w:eastAsia="Times New Roman" w:cstheme="minorHAnsi"/>
          <w:color w:val="000000"/>
          <w:sz w:val="18"/>
        </w:rPr>
        <w:t xml:space="preserve"> </w:t>
      </w:r>
      <w:r w:rsidRPr="005F22DA">
        <w:rPr>
          <w:rFonts w:eastAsia="Times New Roman" w:cstheme="minorHAnsi"/>
          <w:color w:val="000000"/>
          <w:sz w:val="18"/>
        </w:rPr>
        <w:t>(effective October 26, 2015)</w:t>
      </w:r>
    </w:p>
    <w:p w14:paraId="12280CBD" w14:textId="77777777" w:rsidR="004F5587" w:rsidRDefault="004F5587" w:rsidP="008319A6">
      <w:pPr>
        <w:pStyle w:val="Heading2"/>
        <w:rPr>
          <w:rFonts w:eastAsia="Tw Cen MT"/>
        </w:rPr>
      </w:pPr>
      <w:bookmarkStart w:id="20" w:name="_Toc147226876"/>
      <w:r>
        <w:rPr>
          <w:rFonts w:eastAsia="Tw Cen MT"/>
        </w:rPr>
        <w:lastRenderedPageBreak/>
        <w:t>Prevention of Significant Deterioration (PSD)</w:t>
      </w:r>
      <w:bookmarkEnd w:id="20"/>
    </w:p>
    <w:p w14:paraId="257D67FB" w14:textId="62402842" w:rsidR="004F5587" w:rsidRPr="00597446" w:rsidRDefault="004F5587" w:rsidP="004F5587">
      <w:pPr>
        <w:rPr>
          <w:rFonts w:ascii="Public Sans" w:eastAsia="Calibri" w:hAnsi="Public Sans" w:cs="Calibri"/>
        </w:rPr>
      </w:pPr>
      <w:r w:rsidRPr="00597446">
        <w:rPr>
          <w:rFonts w:ascii="Public Sans" w:eastAsia="Calibri" w:hAnsi="Public Sans" w:cs="Calibri"/>
        </w:rPr>
        <w:t xml:space="preserve">Connecticut’s NSR PSD program is implemented by CT DEEP as a federally approved program. The objectives of the PSD program are: to ensure that economic growth will occur in harmony with the preservation of existing clean air resources; to protect public health and welfare at air quality levels that are cleaner than the NAAQS; and to preserve and protect air quality in natural recreational, scenic or historical areas including but not limited to national parks and wilderness areas. Additional PSD requirements for a new major source or major modification also include an analysis of impairment of visibility, soils, and vegetation. These objectives are </w:t>
      </w:r>
      <w:r w:rsidR="005A2FFF" w:rsidRPr="00597446">
        <w:rPr>
          <w:rFonts w:ascii="Public Sans" w:eastAsia="Calibri" w:hAnsi="Public Sans" w:cs="Calibri"/>
        </w:rPr>
        <w:t>accomplished</w:t>
      </w:r>
      <w:r w:rsidRPr="00597446">
        <w:rPr>
          <w:rFonts w:ascii="Public Sans" w:eastAsia="Calibri" w:hAnsi="Public Sans" w:cs="Calibri"/>
        </w:rPr>
        <w:t xml:space="preserve"> by not allowing significant incremental degradation of air quality beyond baseline concentrations in an area. A Baseline concentration is </w:t>
      </w:r>
      <w:r w:rsidR="005A2FFF" w:rsidRPr="00597446">
        <w:rPr>
          <w:rFonts w:ascii="Public Sans" w:eastAsia="Calibri" w:hAnsi="Public Sans" w:cs="Calibri"/>
        </w:rPr>
        <w:t>the</w:t>
      </w:r>
      <w:r w:rsidRPr="00597446">
        <w:rPr>
          <w:rFonts w:ascii="Public Sans" w:eastAsia="Calibri" w:hAnsi="Public Sans" w:cs="Calibri"/>
        </w:rPr>
        <w:t xml:space="preserve"> ambient concentration level of an air pollutant at the time of the first PSD permit application submittal affecting an area.</w:t>
      </w:r>
    </w:p>
    <w:p w14:paraId="570AE04C" w14:textId="0EB95A4E" w:rsidR="004F5587" w:rsidRPr="00597446" w:rsidRDefault="004F5587" w:rsidP="004F5587">
      <w:pPr>
        <w:rPr>
          <w:rFonts w:ascii="Public Sans" w:eastAsia="Calibri" w:hAnsi="Public Sans" w:cs="Calibri"/>
        </w:rPr>
      </w:pPr>
      <w:r w:rsidRPr="00597446">
        <w:rPr>
          <w:rFonts w:ascii="Public Sans" w:eastAsia="Calibri" w:hAnsi="Public Sans" w:cs="Calibri"/>
        </w:rPr>
        <w:t>PSD applicability determination is based on whether a source is a new major stationary source or if a modification to an existing source is considered a major modification. However, the PSD program also requires an assessment of minor source growth on increment consumption. An increment is the maximum allowed increase in SO</w:t>
      </w:r>
      <w:r w:rsidRPr="00597446">
        <w:rPr>
          <w:rFonts w:ascii="Public Sans" w:eastAsia="Calibri" w:hAnsi="Public Sans" w:cs="Calibri"/>
          <w:vertAlign w:val="subscript"/>
        </w:rPr>
        <w:t>2</w:t>
      </w:r>
      <w:r w:rsidRPr="00597446">
        <w:rPr>
          <w:rFonts w:ascii="Public Sans" w:eastAsia="Calibri" w:hAnsi="Public Sans" w:cs="Calibri"/>
        </w:rPr>
        <w:t>, NO</w:t>
      </w:r>
      <w:r w:rsidRPr="00597446">
        <w:rPr>
          <w:rFonts w:ascii="Public Sans" w:eastAsia="Calibri" w:hAnsi="Public Sans" w:cs="Calibri"/>
          <w:vertAlign w:val="subscript"/>
        </w:rPr>
        <w:t>2</w:t>
      </w:r>
      <w:r w:rsidRPr="00597446">
        <w:rPr>
          <w:rFonts w:ascii="Public Sans" w:eastAsia="Calibri" w:hAnsi="Public Sans" w:cs="Calibri"/>
        </w:rPr>
        <w:t>, PM</w:t>
      </w:r>
      <w:r w:rsidRPr="00597446">
        <w:rPr>
          <w:rFonts w:ascii="Public Sans" w:eastAsia="Calibri" w:hAnsi="Public Sans" w:cs="Calibri"/>
          <w:vertAlign w:val="subscript"/>
        </w:rPr>
        <w:t>10</w:t>
      </w:r>
      <w:r w:rsidRPr="00597446">
        <w:rPr>
          <w:rFonts w:ascii="Public Sans" w:eastAsia="Calibri" w:hAnsi="Public Sans" w:cs="Calibri"/>
        </w:rPr>
        <w:t>, and PM</w:t>
      </w:r>
      <w:r w:rsidRPr="00597446">
        <w:rPr>
          <w:rFonts w:ascii="Public Sans" w:eastAsia="Calibri" w:hAnsi="Public Sans" w:cs="Calibri"/>
          <w:vertAlign w:val="subscript"/>
        </w:rPr>
        <w:t>2.5</w:t>
      </w:r>
      <w:r w:rsidRPr="00597446">
        <w:rPr>
          <w:rFonts w:ascii="Public Sans" w:eastAsia="Calibri" w:hAnsi="Public Sans" w:cs="Calibri"/>
        </w:rPr>
        <w:t xml:space="preserve"> concentrations above the baseline concentration in an area. Connecticut’s approach to tracking increment consumption from minor sources is to require every permitted source to demonstrate compliance with the existing increments regardless of its level of annual emissions.</w:t>
      </w:r>
    </w:p>
    <w:p w14:paraId="574BB4D3" w14:textId="2C6154BA" w:rsidR="004F5587" w:rsidRPr="00597446" w:rsidRDefault="004F5587" w:rsidP="004F5587">
      <w:pPr>
        <w:rPr>
          <w:rFonts w:ascii="Public Sans" w:eastAsia="Calibri" w:hAnsi="Public Sans" w:cs="Calibri"/>
        </w:rPr>
      </w:pPr>
      <w:r w:rsidRPr="00597446">
        <w:rPr>
          <w:rFonts w:ascii="Public Sans" w:eastAsia="Calibri" w:hAnsi="Public Sans" w:cs="Calibri"/>
        </w:rPr>
        <w:t xml:space="preserve">CT DEEP maintains PSD inventories for each pollutant for the purpose of tracking PSD increment consumption. An applicant must assess PSD increment consumption from the subject source and from the inventory of nearby increment consuming sources. The baseline concentration for PSD modeling purposes is defined as the minor source baseline date. These dates are June 7, </w:t>
      </w:r>
      <w:r w:rsidR="00C24410" w:rsidRPr="00597446">
        <w:rPr>
          <w:rFonts w:ascii="Public Sans" w:eastAsia="Calibri" w:hAnsi="Public Sans" w:cs="Calibri"/>
        </w:rPr>
        <w:t>1988,</w:t>
      </w:r>
      <w:r w:rsidRPr="00597446">
        <w:rPr>
          <w:rFonts w:ascii="Public Sans" w:eastAsia="Calibri" w:hAnsi="Public Sans" w:cs="Calibri"/>
        </w:rPr>
        <w:t xml:space="preserve"> for NO</w:t>
      </w:r>
      <w:r w:rsidRPr="00597446">
        <w:rPr>
          <w:rFonts w:ascii="Public Sans" w:eastAsia="Calibri" w:hAnsi="Public Sans" w:cs="Calibri"/>
          <w:vertAlign w:val="subscript"/>
        </w:rPr>
        <w:t>2</w:t>
      </w:r>
      <w:r w:rsidRPr="00597446">
        <w:rPr>
          <w:rFonts w:ascii="Public Sans" w:eastAsia="Calibri" w:hAnsi="Public Sans" w:cs="Calibri"/>
        </w:rPr>
        <w:t xml:space="preserve"> and PM</w:t>
      </w:r>
      <w:r w:rsidRPr="00597446">
        <w:rPr>
          <w:rFonts w:ascii="Public Sans" w:eastAsia="Calibri" w:hAnsi="Public Sans" w:cs="Calibri"/>
          <w:vertAlign w:val="subscript"/>
        </w:rPr>
        <w:t>10</w:t>
      </w:r>
      <w:r w:rsidRPr="00597446">
        <w:rPr>
          <w:rFonts w:ascii="Public Sans" w:eastAsia="Calibri" w:hAnsi="Public Sans" w:cs="Calibri"/>
        </w:rPr>
        <w:t xml:space="preserve">, December 17, </w:t>
      </w:r>
      <w:r w:rsidR="00C24410" w:rsidRPr="00597446">
        <w:rPr>
          <w:rFonts w:ascii="Public Sans" w:eastAsia="Calibri" w:hAnsi="Public Sans" w:cs="Calibri"/>
        </w:rPr>
        <w:t>1984,</w:t>
      </w:r>
      <w:r w:rsidRPr="00597446">
        <w:rPr>
          <w:rFonts w:ascii="Public Sans" w:eastAsia="Calibri" w:hAnsi="Public Sans" w:cs="Calibri"/>
        </w:rPr>
        <w:t xml:space="preserve"> for SO</w:t>
      </w:r>
      <w:r w:rsidRPr="00597446">
        <w:rPr>
          <w:rFonts w:ascii="Public Sans" w:eastAsia="Calibri" w:hAnsi="Public Sans" w:cs="Calibri"/>
          <w:vertAlign w:val="subscript"/>
        </w:rPr>
        <w:t>2</w:t>
      </w:r>
      <w:r w:rsidRPr="00597446">
        <w:rPr>
          <w:rFonts w:ascii="Public Sans" w:eastAsia="Calibri" w:hAnsi="Public Sans" w:cs="Calibri"/>
        </w:rPr>
        <w:t xml:space="preserve">, and August 24, </w:t>
      </w:r>
      <w:r w:rsidR="00C24410" w:rsidRPr="00597446">
        <w:rPr>
          <w:rFonts w:ascii="Public Sans" w:eastAsia="Calibri" w:hAnsi="Public Sans" w:cs="Calibri"/>
        </w:rPr>
        <w:t>2014,</w:t>
      </w:r>
      <w:r w:rsidRPr="00597446">
        <w:rPr>
          <w:rFonts w:ascii="Public Sans" w:eastAsia="Calibri" w:hAnsi="Public Sans" w:cs="Calibri"/>
        </w:rPr>
        <w:t xml:space="preserve"> for PM</w:t>
      </w:r>
      <w:r w:rsidRPr="00597446">
        <w:rPr>
          <w:rFonts w:ascii="Public Sans" w:eastAsia="Calibri" w:hAnsi="Public Sans" w:cs="Calibri"/>
          <w:vertAlign w:val="subscript"/>
        </w:rPr>
        <w:t>2.5</w:t>
      </w:r>
      <w:r w:rsidRPr="00597446">
        <w:rPr>
          <w:rFonts w:ascii="Public Sans" w:eastAsia="Calibri" w:hAnsi="Public Sans" w:cs="Calibri"/>
        </w:rPr>
        <w:t xml:space="preserve">. Table 3-2 displays the current PSD increments that have been promulgated for the </w:t>
      </w:r>
      <w:r w:rsidR="005A2FFF" w:rsidRPr="00597446">
        <w:rPr>
          <w:rFonts w:ascii="Public Sans" w:eastAsia="Calibri" w:hAnsi="Public Sans" w:cs="Calibri"/>
        </w:rPr>
        <w:t>criteria pollutants</w:t>
      </w:r>
      <w:r w:rsidRPr="00597446">
        <w:rPr>
          <w:rFonts w:ascii="Public Sans" w:eastAsia="Calibri" w:hAnsi="Public Sans" w:cs="Calibri"/>
        </w:rPr>
        <w:t>.</w:t>
      </w:r>
    </w:p>
    <w:p w14:paraId="0E64EE1A" w14:textId="19A283CB" w:rsidR="004F5587" w:rsidRPr="005F22DA" w:rsidRDefault="004F5587" w:rsidP="004F5587">
      <w:pPr>
        <w:spacing w:after="0" w:line="240" w:lineRule="auto"/>
        <w:jc w:val="center"/>
        <w:rPr>
          <w:rFonts w:eastAsia="Times New Roman" w:cstheme="minorHAnsi"/>
          <w:b/>
          <w:color w:val="000000"/>
          <w:sz w:val="24"/>
        </w:rPr>
      </w:pPr>
      <w:r w:rsidRPr="005F22DA">
        <w:rPr>
          <w:rFonts w:eastAsia="Times New Roman" w:cstheme="minorHAnsi"/>
          <w:b/>
          <w:color w:val="000000"/>
          <w:sz w:val="24"/>
        </w:rPr>
        <w:t xml:space="preserve">TABLE 3-2 </w:t>
      </w:r>
    </w:p>
    <w:p w14:paraId="510F210E" w14:textId="77777777" w:rsidR="004F5587" w:rsidRPr="005F22DA" w:rsidRDefault="004F5587" w:rsidP="004F5587">
      <w:pPr>
        <w:spacing w:after="0" w:line="240" w:lineRule="auto"/>
        <w:jc w:val="center"/>
        <w:rPr>
          <w:rFonts w:eastAsia="Times New Roman" w:cstheme="minorHAnsi"/>
          <w:color w:val="000000"/>
          <w:sz w:val="24"/>
        </w:rPr>
      </w:pPr>
      <w:r w:rsidRPr="005F22DA">
        <w:rPr>
          <w:rFonts w:eastAsia="Times New Roman" w:cstheme="minorHAnsi"/>
          <w:b/>
          <w:color w:val="000000"/>
          <w:sz w:val="24"/>
        </w:rPr>
        <w:t>Class II PSD Increments (µg/m</w:t>
      </w:r>
      <w:r w:rsidRPr="005F22DA">
        <w:rPr>
          <w:rFonts w:eastAsia="Times New Roman" w:cstheme="minorHAnsi"/>
          <w:b/>
          <w:color w:val="000000"/>
          <w:sz w:val="24"/>
          <w:vertAlign w:val="superscript"/>
        </w:rPr>
        <w:t>3</w:t>
      </w:r>
      <w:r w:rsidRPr="005F22DA">
        <w:rPr>
          <w:rFonts w:eastAsia="Times New Roman" w:cstheme="minorHAnsi"/>
          <w:b/>
          <w:color w:val="000000"/>
          <w:sz w:val="24"/>
        </w:rPr>
        <w:t xml:space="preserve">) </w:t>
      </w:r>
      <w:r w:rsidRPr="005F22DA">
        <w:rPr>
          <w:rFonts w:eastAsia="Times New Roman" w:cstheme="minorHAnsi"/>
          <w:b/>
          <w:color w:val="000000"/>
          <w:sz w:val="24"/>
        </w:rPr>
        <w:br/>
      </w:r>
    </w:p>
    <w:tbl>
      <w:tblPr>
        <w:tblW w:w="0" w:type="auto"/>
        <w:jc w:val="center"/>
        <w:tblCellMar>
          <w:left w:w="10" w:type="dxa"/>
          <w:right w:w="10" w:type="dxa"/>
        </w:tblCellMar>
        <w:tblLook w:val="04A0" w:firstRow="1" w:lastRow="0" w:firstColumn="1" w:lastColumn="0" w:noHBand="0" w:noVBand="1"/>
      </w:tblPr>
      <w:tblGrid>
        <w:gridCol w:w="2632"/>
        <w:gridCol w:w="1223"/>
        <w:gridCol w:w="1350"/>
        <w:gridCol w:w="1440"/>
      </w:tblGrid>
      <w:tr w:rsidR="004F5587" w:rsidRPr="005F22DA" w14:paraId="785554D8" w14:textId="77777777" w:rsidTr="004F5587">
        <w:trPr>
          <w:jc w:val="center"/>
        </w:trPr>
        <w:tc>
          <w:tcPr>
            <w:tcW w:w="263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4C73E61C" w14:textId="77777777" w:rsidR="004F5587" w:rsidRPr="005F22DA" w:rsidRDefault="004F5587" w:rsidP="004F5587">
            <w:pPr>
              <w:spacing w:after="0" w:line="240" w:lineRule="auto"/>
              <w:jc w:val="center"/>
              <w:rPr>
                <w:rFonts w:cstheme="minorHAnsi"/>
              </w:rPr>
            </w:pPr>
            <w:r w:rsidRPr="005F22DA">
              <w:rPr>
                <w:rFonts w:eastAsia="Times New Roman" w:cstheme="minorHAnsi"/>
                <w:b/>
                <w:color w:val="000000"/>
                <w:sz w:val="24"/>
              </w:rPr>
              <w:t>POLLUTANT</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154F99B7" w14:textId="77777777" w:rsidR="004F5587" w:rsidRPr="005F22DA" w:rsidRDefault="004F5587" w:rsidP="004F5587">
            <w:pPr>
              <w:spacing w:after="0" w:line="240" w:lineRule="auto"/>
              <w:jc w:val="center"/>
              <w:rPr>
                <w:rFonts w:cstheme="minorHAnsi"/>
              </w:rPr>
            </w:pPr>
            <w:r w:rsidRPr="005F22DA">
              <w:rPr>
                <w:rFonts w:eastAsia="Times New Roman" w:cstheme="minorHAnsi"/>
                <w:b/>
                <w:color w:val="000000"/>
                <w:sz w:val="24"/>
              </w:rPr>
              <w:t>Annual</w:t>
            </w:r>
            <w:r w:rsidRPr="005F22DA">
              <w:rPr>
                <w:rFonts w:eastAsia="Times New Roman" w:cstheme="minorHAnsi"/>
                <w:b/>
                <w:color w:val="000000"/>
                <w:sz w:val="24"/>
                <w:vertAlign w:val="superscript"/>
              </w:rPr>
              <w:t>1</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29C8B748" w14:textId="77777777" w:rsidR="004F5587" w:rsidRPr="005F22DA" w:rsidRDefault="004F5587" w:rsidP="004F5587">
            <w:pPr>
              <w:spacing w:after="0" w:line="240" w:lineRule="auto"/>
              <w:jc w:val="center"/>
              <w:rPr>
                <w:rFonts w:cstheme="minorHAnsi"/>
              </w:rPr>
            </w:pPr>
            <w:r w:rsidRPr="005F22DA">
              <w:rPr>
                <w:rFonts w:eastAsia="Times New Roman" w:cstheme="minorHAnsi"/>
                <w:b/>
                <w:color w:val="000000"/>
                <w:sz w:val="24"/>
              </w:rPr>
              <w:t>24-Hour</w:t>
            </w:r>
            <w:r w:rsidRPr="005F22DA">
              <w:rPr>
                <w:rFonts w:eastAsia="Times New Roman" w:cstheme="minorHAnsi"/>
                <w:b/>
                <w:color w:val="000000"/>
                <w:sz w:val="24"/>
                <w:vertAlign w:val="superscript"/>
              </w:rPr>
              <w:t>2</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142C08AB" w14:textId="77777777" w:rsidR="004F5587" w:rsidRPr="005F22DA" w:rsidRDefault="004F5587" w:rsidP="004F5587">
            <w:pPr>
              <w:spacing w:after="0" w:line="240" w:lineRule="auto"/>
              <w:jc w:val="center"/>
              <w:rPr>
                <w:rFonts w:cstheme="minorHAnsi"/>
              </w:rPr>
            </w:pPr>
            <w:r w:rsidRPr="005F22DA">
              <w:rPr>
                <w:rFonts w:eastAsia="Times New Roman" w:cstheme="minorHAnsi"/>
                <w:b/>
                <w:color w:val="000000"/>
                <w:sz w:val="24"/>
              </w:rPr>
              <w:t>1-Hour</w:t>
            </w:r>
          </w:p>
        </w:tc>
      </w:tr>
      <w:tr w:rsidR="004F5587" w:rsidRPr="005F22DA" w14:paraId="77374B36" w14:textId="77777777" w:rsidTr="004F5587">
        <w:trPr>
          <w:jc w:val="center"/>
        </w:trPr>
        <w:tc>
          <w:tcPr>
            <w:tcW w:w="263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7CA4E2AB" w14:textId="77777777" w:rsidR="004F5587" w:rsidRPr="005F22DA" w:rsidRDefault="004F5587" w:rsidP="00531266">
            <w:pPr>
              <w:spacing w:after="0" w:line="240" w:lineRule="auto"/>
              <w:jc w:val="center"/>
              <w:rPr>
                <w:rFonts w:cstheme="minorHAnsi"/>
              </w:rPr>
            </w:pPr>
            <w:r w:rsidRPr="005F22DA">
              <w:rPr>
                <w:rFonts w:eastAsia="Times New Roman" w:cstheme="minorHAnsi"/>
                <w:color w:val="000000"/>
                <w:sz w:val="24"/>
              </w:rPr>
              <w:t>SO</w:t>
            </w:r>
            <w:r w:rsidRPr="005F22DA">
              <w:rPr>
                <w:rFonts w:eastAsia="Times New Roman" w:cstheme="minorHAnsi"/>
                <w:color w:val="000000"/>
                <w:sz w:val="24"/>
                <w:vertAlign w:val="subscript"/>
              </w:rPr>
              <w:t>2</w:t>
            </w:r>
            <w:r w:rsidRPr="005F22DA">
              <w:rPr>
                <w:rFonts w:eastAsia="Times New Roman" w:cstheme="minorHAnsi"/>
                <w:color w:val="000000"/>
                <w:sz w:val="24"/>
                <w:vertAlign w:val="superscript"/>
              </w:rPr>
              <w:t>3</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5C98B23B" w14:textId="77777777" w:rsidR="004F5587" w:rsidRPr="005F22DA" w:rsidRDefault="004F5587" w:rsidP="00531266">
            <w:pPr>
              <w:spacing w:after="0" w:line="240" w:lineRule="auto"/>
              <w:jc w:val="center"/>
              <w:rPr>
                <w:rFonts w:cstheme="minorHAnsi"/>
              </w:rPr>
            </w:pPr>
            <w:r w:rsidRPr="005F22DA">
              <w:rPr>
                <w:rFonts w:eastAsia="Times New Roman" w:cstheme="minorHAnsi"/>
                <w:sz w:val="24"/>
              </w:rPr>
              <w:t>20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68FA61DD" w14:textId="77777777" w:rsidR="004F5587" w:rsidRPr="005F22DA" w:rsidRDefault="004F5587" w:rsidP="00531266">
            <w:pPr>
              <w:spacing w:after="0" w:line="240" w:lineRule="auto"/>
              <w:jc w:val="center"/>
              <w:rPr>
                <w:rFonts w:cstheme="minorHAnsi"/>
              </w:rPr>
            </w:pPr>
            <w:r w:rsidRPr="005F22DA">
              <w:rPr>
                <w:rFonts w:eastAsia="Times New Roman" w:cstheme="minorHAnsi"/>
                <w:sz w:val="24"/>
              </w:rPr>
              <w:t>91</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688952B8" w14:textId="7FD9F24F" w:rsidR="004F5587" w:rsidRPr="005F22DA" w:rsidRDefault="004F5587" w:rsidP="00531266">
            <w:pPr>
              <w:spacing w:after="0" w:line="240" w:lineRule="auto"/>
              <w:jc w:val="center"/>
              <w:rPr>
                <w:rFonts w:cstheme="minorHAnsi"/>
              </w:rPr>
            </w:pPr>
            <w:r w:rsidRPr="005F22DA">
              <w:rPr>
                <w:rFonts w:eastAsia="Times New Roman" w:cstheme="minorHAnsi"/>
                <w:sz w:val="24"/>
              </w:rPr>
              <w:t>*</w:t>
            </w:r>
          </w:p>
        </w:tc>
      </w:tr>
      <w:tr w:rsidR="004F5587" w:rsidRPr="005F22DA" w14:paraId="5F0D751F" w14:textId="77777777" w:rsidTr="004F5587">
        <w:trPr>
          <w:jc w:val="center"/>
        </w:trPr>
        <w:tc>
          <w:tcPr>
            <w:tcW w:w="263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1F4D45D0" w14:textId="77777777" w:rsidR="004F5587" w:rsidRPr="005F22DA" w:rsidRDefault="004F5587" w:rsidP="00531266">
            <w:pPr>
              <w:spacing w:after="0" w:line="240" w:lineRule="auto"/>
              <w:jc w:val="center"/>
              <w:rPr>
                <w:rFonts w:cstheme="minorHAnsi"/>
              </w:rPr>
            </w:pPr>
            <w:r w:rsidRPr="005F22DA">
              <w:rPr>
                <w:rFonts w:eastAsia="Times New Roman" w:cstheme="minorHAnsi"/>
                <w:color w:val="000000"/>
                <w:sz w:val="24"/>
              </w:rPr>
              <w:t>NO</w:t>
            </w:r>
            <w:r w:rsidRPr="005F22DA">
              <w:rPr>
                <w:rFonts w:eastAsia="Times New Roman" w:cstheme="minorHAnsi"/>
                <w:color w:val="000000"/>
                <w:sz w:val="24"/>
                <w:vertAlign w:val="subscript"/>
              </w:rPr>
              <w:t>2</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727C0551" w14:textId="77777777" w:rsidR="004F5587" w:rsidRPr="005F22DA" w:rsidRDefault="004F5587" w:rsidP="00531266">
            <w:pPr>
              <w:spacing w:after="0" w:line="240" w:lineRule="auto"/>
              <w:jc w:val="center"/>
              <w:rPr>
                <w:rFonts w:cstheme="minorHAnsi"/>
              </w:rPr>
            </w:pPr>
            <w:r w:rsidRPr="005F22DA">
              <w:rPr>
                <w:rFonts w:eastAsia="Times New Roman" w:cstheme="minorHAnsi"/>
                <w:color w:val="000000"/>
                <w:sz w:val="24"/>
              </w:rPr>
              <w:t>25</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1AE4DC94" w14:textId="77777777" w:rsidR="004F5587" w:rsidRPr="005F22DA" w:rsidRDefault="004F5587" w:rsidP="00531266">
            <w:pPr>
              <w:spacing w:after="0" w:line="240" w:lineRule="auto"/>
              <w:jc w:val="center"/>
              <w:rPr>
                <w:rFonts w:eastAsia="Calibri" w:cstheme="minorHAnsi"/>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58EEDFD3" w14:textId="6731C22C" w:rsidR="004F5587" w:rsidRPr="005F22DA" w:rsidRDefault="004F5587" w:rsidP="00531266">
            <w:pPr>
              <w:spacing w:after="0" w:line="240" w:lineRule="auto"/>
              <w:jc w:val="center"/>
              <w:rPr>
                <w:rFonts w:cstheme="minorHAnsi"/>
              </w:rPr>
            </w:pPr>
            <w:r w:rsidRPr="005F22DA">
              <w:rPr>
                <w:rFonts w:eastAsia="Times New Roman" w:cstheme="minorHAnsi"/>
                <w:color w:val="000000"/>
                <w:sz w:val="24"/>
              </w:rPr>
              <w:t>*</w:t>
            </w:r>
          </w:p>
        </w:tc>
      </w:tr>
      <w:tr w:rsidR="004F5587" w:rsidRPr="005F22DA" w14:paraId="2737999C" w14:textId="77777777" w:rsidTr="004F5587">
        <w:trPr>
          <w:jc w:val="center"/>
        </w:trPr>
        <w:tc>
          <w:tcPr>
            <w:tcW w:w="263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22530D71" w14:textId="77777777" w:rsidR="004F5587" w:rsidRPr="005F22DA" w:rsidRDefault="004F5587" w:rsidP="00531266">
            <w:pPr>
              <w:spacing w:after="0" w:line="240" w:lineRule="auto"/>
              <w:jc w:val="center"/>
              <w:rPr>
                <w:rFonts w:cstheme="minorHAnsi"/>
              </w:rPr>
            </w:pPr>
            <w:r w:rsidRPr="005F22DA">
              <w:rPr>
                <w:rFonts w:eastAsia="Times New Roman" w:cstheme="minorHAnsi"/>
                <w:color w:val="000000"/>
                <w:sz w:val="24"/>
              </w:rPr>
              <w:t>PM</w:t>
            </w:r>
            <w:r w:rsidRPr="005F22DA">
              <w:rPr>
                <w:rFonts w:eastAsia="Times New Roman" w:cstheme="minorHAnsi"/>
                <w:color w:val="000000"/>
                <w:sz w:val="24"/>
                <w:vertAlign w:val="subscript"/>
              </w:rPr>
              <w:t>10</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67376018" w14:textId="77777777" w:rsidR="004F5587" w:rsidRPr="005F22DA" w:rsidRDefault="004F5587" w:rsidP="00531266">
            <w:pPr>
              <w:spacing w:after="0" w:line="240" w:lineRule="auto"/>
              <w:jc w:val="center"/>
              <w:rPr>
                <w:rFonts w:cstheme="minorHAnsi"/>
              </w:rPr>
            </w:pPr>
            <w:r w:rsidRPr="005F22DA">
              <w:rPr>
                <w:rFonts w:eastAsia="Times New Roman" w:cstheme="minorHAnsi"/>
                <w:sz w:val="24"/>
              </w:rPr>
              <w:t>17</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526E73D3" w14:textId="77777777" w:rsidR="004F5587" w:rsidRPr="005F22DA" w:rsidRDefault="004F5587" w:rsidP="00531266">
            <w:pPr>
              <w:spacing w:after="0" w:line="240" w:lineRule="auto"/>
              <w:jc w:val="center"/>
              <w:rPr>
                <w:rFonts w:cstheme="minorHAnsi"/>
              </w:rPr>
            </w:pPr>
            <w:r w:rsidRPr="005F22DA">
              <w:rPr>
                <w:rFonts w:eastAsia="Times New Roman" w:cstheme="minorHAnsi"/>
                <w:sz w:val="24"/>
              </w:rPr>
              <w:t>30</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725E5033" w14:textId="77777777" w:rsidR="004F5587" w:rsidRPr="005F22DA" w:rsidRDefault="004F5587" w:rsidP="00531266">
            <w:pPr>
              <w:spacing w:after="0" w:line="240" w:lineRule="auto"/>
              <w:jc w:val="center"/>
              <w:rPr>
                <w:rFonts w:eastAsia="Calibri" w:cstheme="minorHAnsi"/>
              </w:rPr>
            </w:pPr>
          </w:p>
        </w:tc>
      </w:tr>
      <w:tr w:rsidR="004F5587" w:rsidRPr="005F22DA" w14:paraId="0CC7D55E" w14:textId="77777777" w:rsidTr="004F5587">
        <w:trPr>
          <w:jc w:val="center"/>
        </w:trPr>
        <w:tc>
          <w:tcPr>
            <w:tcW w:w="263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1B0CAA80" w14:textId="77777777" w:rsidR="004F5587" w:rsidRPr="005F22DA" w:rsidRDefault="004F5587" w:rsidP="00531266">
            <w:pPr>
              <w:spacing w:after="0" w:line="240" w:lineRule="auto"/>
              <w:jc w:val="center"/>
              <w:rPr>
                <w:rFonts w:cstheme="minorHAnsi"/>
              </w:rPr>
            </w:pPr>
            <w:r w:rsidRPr="005F22DA">
              <w:rPr>
                <w:rFonts w:eastAsia="Times New Roman" w:cstheme="minorHAnsi"/>
                <w:color w:val="000000"/>
                <w:sz w:val="24"/>
              </w:rPr>
              <w:t>PM</w:t>
            </w:r>
            <w:r w:rsidRPr="005F22DA">
              <w:rPr>
                <w:rFonts w:eastAsia="Times New Roman" w:cstheme="minorHAnsi"/>
                <w:color w:val="000000"/>
                <w:sz w:val="24"/>
                <w:vertAlign w:val="subscript"/>
              </w:rPr>
              <w:t>2.5</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4FF5A626" w14:textId="77777777" w:rsidR="004F5587" w:rsidRPr="005F22DA" w:rsidRDefault="004F5587" w:rsidP="00531266">
            <w:pPr>
              <w:spacing w:after="0" w:line="240" w:lineRule="auto"/>
              <w:jc w:val="center"/>
              <w:rPr>
                <w:rFonts w:cstheme="minorHAnsi"/>
              </w:rPr>
            </w:pPr>
            <w:r w:rsidRPr="005F22DA">
              <w:rPr>
                <w:rFonts w:eastAsia="Times New Roman" w:cstheme="minorHAnsi"/>
                <w:color w:val="000000"/>
                <w:sz w:val="24"/>
              </w:rPr>
              <w:t>4</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1DF3DBBE" w14:textId="77777777" w:rsidR="004F5587" w:rsidRPr="005F22DA" w:rsidRDefault="004F5587" w:rsidP="00531266">
            <w:pPr>
              <w:spacing w:after="0" w:line="240" w:lineRule="auto"/>
              <w:jc w:val="center"/>
              <w:rPr>
                <w:rFonts w:cstheme="minorHAnsi"/>
              </w:rPr>
            </w:pPr>
            <w:r w:rsidRPr="005F22DA">
              <w:rPr>
                <w:rFonts w:eastAsia="Times New Roman" w:cstheme="minorHAnsi"/>
                <w:color w:val="000000"/>
                <w:sz w:val="24"/>
              </w:rPr>
              <w:t>9</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bottom"/>
          </w:tcPr>
          <w:p w14:paraId="2F41DCFE" w14:textId="77777777" w:rsidR="004F5587" w:rsidRPr="005F22DA" w:rsidRDefault="004F5587" w:rsidP="00531266">
            <w:pPr>
              <w:spacing w:after="0" w:line="240" w:lineRule="auto"/>
              <w:jc w:val="center"/>
              <w:rPr>
                <w:rFonts w:eastAsia="Calibri" w:cstheme="minorHAnsi"/>
              </w:rPr>
            </w:pPr>
          </w:p>
        </w:tc>
      </w:tr>
    </w:tbl>
    <w:p w14:paraId="69512980" w14:textId="77777777" w:rsidR="004F5587" w:rsidRPr="00E620CE" w:rsidRDefault="004F5587" w:rsidP="006464A0">
      <w:pPr>
        <w:spacing w:after="0" w:line="240" w:lineRule="auto"/>
        <w:ind w:left="2160" w:right="2070"/>
        <w:rPr>
          <w:rFonts w:ascii="Public Sans Thin" w:eastAsia="Times New Roman" w:hAnsi="Public Sans Thin" w:cs="Times New Roman"/>
          <w:position w:val="10"/>
          <w:sz w:val="18"/>
          <w:vertAlign w:val="superscript"/>
        </w:rPr>
      </w:pPr>
      <w:r w:rsidRPr="00E620CE">
        <w:rPr>
          <w:rFonts w:ascii="Public Sans Thin" w:eastAsia="Times New Roman" w:hAnsi="Public Sans Thin" w:cs="Times New Roman"/>
          <w:position w:val="10"/>
          <w:sz w:val="18"/>
          <w:vertAlign w:val="superscript"/>
        </w:rPr>
        <w:t xml:space="preserve">1 </w:t>
      </w:r>
      <w:r w:rsidRPr="00E620CE">
        <w:rPr>
          <w:rFonts w:ascii="Public Sans Thin" w:eastAsia="Times New Roman" w:hAnsi="Public Sans Thin" w:cs="Times New Roman"/>
          <w:position w:val="10"/>
          <w:sz w:val="18"/>
        </w:rPr>
        <w:t>Not to be exceeded</w:t>
      </w:r>
    </w:p>
    <w:p w14:paraId="69B1EFBC" w14:textId="77777777" w:rsidR="004F5587" w:rsidRPr="00E620CE" w:rsidRDefault="004F5587" w:rsidP="006464A0">
      <w:pPr>
        <w:spacing w:after="0" w:line="240" w:lineRule="auto"/>
        <w:ind w:left="2160" w:right="2070"/>
        <w:rPr>
          <w:rFonts w:ascii="Public Sans Thin" w:eastAsia="Times New Roman" w:hAnsi="Public Sans Thin" w:cs="Times New Roman"/>
          <w:position w:val="10"/>
          <w:sz w:val="18"/>
          <w:vertAlign w:val="superscript"/>
        </w:rPr>
      </w:pPr>
      <w:r w:rsidRPr="00E620CE">
        <w:rPr>
          <w:rFonts w:ascii="Public Sans Thin" w:eastAsia="Times New Roman" w:hAnsi="Public Sans Thin" w:cs="Times New Roman"/>
          <w:position w:val="10"/>
          <w:sz w:val="18"/>
          <w:vertAlign w:val="superscript"/>
        </w:rPr>
        <w:t>2</w:t>
      </w:r>
      <w:r w:rsidRPr="00E620CE">
        <w:rPr>
          <w:rFonts w:ascii="Public Sans Thin" w:eastAsia="Times New Roman" w:hAnsi="Public Sans Thin" w:cs="Times New Roman"/>
          <w:position w:val="10"/>
          <w:sz w:val="18"/>
        </w:rPr>
        <w:t xml:space="preserve"> Not to be exceeded more than once per year</w:t>
      </w:r>
    </w:p>
    <w:p w14:paraId="6A46F023" w14:textId="77777777" w:rsidR="004F5587" w:rsidRPr="00E620CE" w:rsidRDefault="004F5587" w:rsidP="006464A0">
      <w:pPr>
        <w:spacing w:after="0" w:line="240" w:lineRule="auto"/>
        <w:ind w:left="2160" w:right="2070"/>
        <w:rPr>
          <w:rFonts w:ascii="Public Sans Thin" w:eastAsia="Times New Roman" w:hAnsi="Public Sans Thin" w:cs="Times New Roman"/>
          <w:position w:val="10"/>
          <w:sz w:val="18"/>
        </w:rPr>
      </w:pPr>
      <w:r w:rsidRPr="00E620CE">
        <w:rPr>
          <w:rFonts w:ascii="Public Sans Thin" w:eastAsia="Times New Roman" w:hAnsi="Public Sans Thin" w:cs="Times New Roman"/>
          <w:position w:val="10"/>
          <w:sz w:val="18"/>
          <w:vertAlign w:val="superscript"/>
        </w:rPr>
        <w:t>3</w:t>
      </w:r>
      <w:r w:rsidRPr="00E620CE">
        <w:rPr>
          <w:rFonts w:ascii="Public Sans Thin" w:eastAsia="Times New Roman" w:hAnsi="Public Sans Thin" w:cs="Times New Roman"/>
          <w:position w:val="10"/>
          <w:sz w:val="18"/>
        </w:rPr>
        <w:t xml:space="preserve"> Compliance with the annual and 24-hour SO</w:t>
      </w:r>
      <w:r w:rsidRPr="00E620CE">
        <w:rPr>
          <w:rFonts w:ascii="Public Sans Thin" w:eastAsia="Times New Roman" w:hAnsi="Public Sans Thin" w:cs="Times New Roman"/>
          <w:position w:val="10"/>
          <w:sz w:val="18"/>
          <w:vertAlign w:val="subscript"/>
        </w:rPr>
        <w:t>2</w:t>
      </w:r>
      <w:r w:rsidRPr="00E620CE">
        <w:rPr>
          <w:rFonts w:ascii="Public Sans Thin" w:eastAsia="Times New Roman" w:hAnsi="Public Sans Thin" w:cs="Times New Roman"/>
          <w:position w:val="10"/>
          <w:sz w:val="18"/>
        </w:rPr>
        <w:t xml:space="preserve"> PSD increments are required until a 1-hour SO</w:t>
      </w:r>
      <w:r w:rsidRPr="00E620CE">
        <w:rPr>
          <w:rFonts w:ascii="Public Sans Thin" w:eastAsia="Times New Roman" w:hAnsi="Public Sans Thin" w:cs="Times New Roman"/>
          <w:position w:val="10"/>
          <w:sz w:val="18"/>
          <w:vertAlign w:val="subscript"/>
        </w:rPr>
        <w:t>2</w:t>
      </w:r>
      <w:r w:rsidRPr="00E620CE">
        <w:rPr>
          <w:rFonts w:ascii="Public Sans Thin" w:eastAsia="Times New Roman" w:hAnsi="Public Sans Thin" w:cs="Times New Roman"/>
          <w:position w:val="10"/>
          <w:sz w:val="18"/>
        </w:rPr>
        <w:t xml:space="preserve"> increment is promulgated</w:t>
      </w:r>
    </w:p>
    <w:p w14:paraId="3E775DAF" w14:textId="77777777" w:rsidR="004F5587" w:rsidRDefault="004F5587" w:rsidP="008319A6">
      <w:pPr>
        <w:pStyle w:val="Heading2"/>
        <w:rPr>
          <w:rFonts w:eastAsia="Tw Cen MT"/>
        </w:rPr>
      </w:pPr>
      <w:bookmarkStart w:id="21" w:name="_Toc147226877"/>
      <w:r>
        <w:rPr>
          <w:rFonts w:eastAsia="Tw Cen MT"/>
        </w:rPr>
        <w:t>Significant Impact Levels</w:t>
      </w:r>
      <w:bookmarkEnd w:id="21"/>
    </w:p>
    <w:p w14:paraId="0451DCCB" w14:textId="6459907A" w:rsidR="004F5587" w:rsidRDefault="004F5587" w:rsidP="004F5587">
      <w:pPr>
        <w:rPr>
          <w:rFonts w:ascii="Calibri" w:eastAsia="Calibri" w:hAnsi="Calibri" w:cs="Calibri"/>
        </w:rPr>
      </w:pPr>
      <w:r>
        <w:rPr>
          <w:rFonts w:ascii="Calibri" w:eastAsia="Calibri" w:hAnsi="Calibri" w:cs="Calibri"/>
        </w:rPr>
        <w:t xml:space="preserve">Significant Impact Levels (SILs) are used to determine if a new or modified stationary source may cause or contribute to a violation of the NAAQS or PSD increments. If a new or modified stationary source’s predicted impacts are greater than or equal to the SIL values listed in Table 4-3, then a cumulative impact analysis is required. A cumulative impact analysis </w:t>
      </w:r>
      <w:r w:rsidR="005A2FFF">
        <w:rPr>
          <w:rFonts w:ascii="Calibri" w:eastAsia="Calibri" w:hAnsi="Calibri" w:cs="Calibri"/>
        </w:rPr>
        <w:t>considers</w:t>
      </w:r>
      <w:r>
        <w:rPr>
          <w:rFonts w:ascii="Calibri" w:eastAsia="Calibri" w:hAnsi="Calibri" w:cs="Calibri"/>
        </w:rPr>
        <w:t xml:space="preserve"> other nearby sources within the Significant Impact Area (SIA) of the proposed or modified stationary source as well as existing ambient pollution background levels. Modeled impacts from a source of air pollution are considered significant if they equal or exceed the SIL values listed in Table 3-3.</w:t>
      </w:r>
    </w:p>
    <w:p w14:paraId="538FFF88" w14:textId="77777777" w:rsidR="004F5587" w:rsidRDefault="004F5587" w:rsidP="004F5587">
      <w:pPr>
        <w:rPr>
          <w:rFonts w:ascii="Calibri" w:eastAsia="Calibri" w:hAnsi="Calibri" w:cs="Calibri"/>
        </w:rPr>
      </w:pPr>
      <w:r>
        <w:rPr>
          <w:rFonts w:ascii="Calibri" w:eastAsia="Calibri" w:hAnsi="Calibri" w:cs="Calibri"/>
        </w:rPr>
        <w:t>Model results should be compared to the SILs based on 5 years of NWS met data (1-year for site-specific met data, or 3 years of prognostic met data) in the following manner:</w:t>
      </w:r>
    </w:p>
    <w:p w14:paraId="564AEF8D" w14:textId="77777777" w:rsidR="004F5587" w:rsidRDefault="004F5587" w:rsidP="00BB547A">
      <w:pPr>
        <w:numPr>
          <w:ilvl w:val="0"/>
          <w:numId w:val="4"/>
        </w:numPr>
        <w:spacing w:after="0"/>
        <w:ind w:left="720" w:hanging="360"/>
        <w:rPr>
          <w:rFonts w:ascii="Calibri" w:eastAsia="Calibri" w:hAnsi="Calibri" w:cs="Calibri"/>
        </w:rPr>
      </w:pPr>
      <w:r>
        <w:rPr>
          <w:rFonts w:ascii="Calibri" w:eastAsia="Calibri" w:hAnsi="Calibri" w:cs="Calibri"/>
        </w:rPr>
        <w:lastRenderedPageBreak/>
        <w:t>For 1-hour NO</w:t>
      </w:r>
      <w:r w:rsidRPr="00F8735E">
        <w:rPr>
          <w:rFonts w:ascii="Calibri" w:eastAsia="Calibri" w:hAnsi="Calibri" w:cs="Calibri"/>
          <w:vertAlign w:val="subscript"/>
        </w:rPr>
        <w:t>2</w:t>
      </w:r>
      <w:r>
        <w:rPr>
          <w:rFonts w:ascii="Calibri" w:eastAsia="Calibri" w:hAnsi="Calibri" w:cs="Calibri"/>
        </w:rPr>
        <w:t xml:space="preserve"> ((Tier1 Full Conversion), or Tier2 (ARM2) Screening Methods)) and SO</w:t>
      </w:r>
      <w:r w:rsidRPr="00F8735E">
        <w:rPr>
          <w:rFonts w:ascii="Calibri" w:eastAsia="Calibri" w:hAnsi="Calibri" w:cs="Calibri"/>
          <w:vertAlign w:val="subscript"/>
        </w:rPr>
        <w:t>2</w:t>
      </w:r>
      <w:r>
        <w:rPr>
          <w:rFonts w:ascii="Calibri" w:eastAsia="Calibri" w:hAnsi="Calibri" w:cs="Calibri"/>
        </w:rPr>
        <w:t>: the highest of multi-year averages of the maximum modeled daily 1-hour concentrations predicted each year at each receptor;</w:t>
      </w:r>
    </w:p>
    <w:p w14:paraId="13D4EAB0" w14:textId="36A8DF12" w:rsidR="004F5587" w:rsidRDefault="004F5587" w:rsidP="00BB547A">
      <w:pPr>
        <w:numPr>
          <w:ilvl w:val="0"/>
          <w:numId w:val="4"/>
        </w:numPr>
        <w:spacing w:after="0"/>
        <w:ind w:left="720" w:hanging="360"/>
        <w:rPr>
          <w:rFonts w:ascii="Calibri" w:eastAsia="Calibri" w:hAnsi="Calibri" w:cs="Calibri"/>
        </w:rPr>
      </w:pPr>
      <w:r>
        <w:rPr>
          <w:rFonts w:ascii="Calibri" w:eastAsia="Calibri" w:hAnsi="Calibri" w:cs="Calibri"/>
        </w:rPr>
        <w:t xml:space="preserve">For 24-hour PM10: </w:t>
      </w:r>
      <w:r w:rsidR="008319A6">
        <w:rPr>
          <w:rFonts w:ascii="Calibri" w:eastAsia="Calibri" w:hAnsi="Calibri" w:cs="Calibri"/>
        </w:rPr>
        <w:t>T</w:t>
      </w:r>
      <w:r>
        <w:rPr>
          <w:rFonts w:ascii="Calibri" w:eastAsia="Calibri" w:hAnsi="Calibri" w:cs="Calibri"/>
        </w:rPr>
        <w:t>he highest first high 24-hour average concentrations predicted at each receptor;</w:t>
      </w:r>
    </w:p>
    <w:p w14:paraId="6A3C1C14" w14:textId="33A9F19B" w:rsidR="004F5587" w:rsidRDefault="004F5587" w:rsidP="00BB547A">
      <w:pPr>
        <w:numPr>
          <w:ilvl w:val="0"/>
          <w:numId w:val="4"/>
        </w:numPr>
        <w:spacing w:after="0"/>
        <w:ind w:left="720" w:hanging="360"/>
        <w:rPr>
          <w:rFonts w:ascii="Calibri" w:eastAsia="Calibri" w:hAnsi="Calibri" w:cs="Calibri"/>
        </w:rPr>
      </w:pPr>
      <w:r>
        <w:rPr>
          <w:rFonts w:ascii="Calibri" w:eastAsia="Calibri" w:hAnsi="Calibri" w:cs="Calibri"/>
        </w:rPr>
        <w:t xml:space="preserve">For 24-hour PM2.5: </w:t>
      </w:r>
      <w:r w:rsidR="008319A6">
        <w:rPr>
          <w:rFonts w:ascii="Calibri" w:eastAsia="Calibri" w:hAnsi="Calibri" w:cs="Calibri"/>
        </w:rPr>
        <w:t>T</w:t>
      </w:r>
      <w:r>
        <w:rPr>
          <w:rFonts w:ascii="Calibri" w:eastAsia="Calibri" w:hAnsi="Calibri" w:cs="Calibri"/>
        </w:rPr>
        <w:t>he highest of multi-year averages of the maximum modeled 24-hour concentrations predicted at each receptor;</w:t>
      </w:r>
    </w:p>
    <w:p w14:paraId="1F0E29AC" w14:textId="266A5888" w:rsidR="004F5587" w:rsidRDefault="004F5587" w:rsidP="00BB547A">
      <w:pPr>
        <w:numPr>
          <w:ilvl w:val="0"/>
          <w:numId w:val="4"/>
        </w:numPr>
        <w:spacing w:after="0"/>
        <w:ind w:left="720" w:hanging="360"/>
        <w:rPr>
          <w:rFonts w:ascii="Calibri" w:eastAsia="Calibri" w:hAnsi="Calibri" w:cs="Calibri"/>
        </w:rPr>
      </w:pPr>
      <w:r>
        <w:rPr>
          <w:rFonts w:ascii="Calibri" w:eastAsia="Calibri" w:hAnsi="Calibri" w:cs="Calibri"/>
        </w:rPr>
        <w:t xml:space="preserve">For annual PM2.5 &amp; NO2: </w:t>
      </w:r>
      <w:r w:rsidR="008319A6">
        <w:rPr>
          <w:rFonts w:ascii="Calibri" w:eastAsia="Calibri" w:hAnsi="Calibri" w:cs="Calibri"/>
        </w:rPr>
        <w:t>T</w:t>
      </w:r>
      <w:r>
        <w:rPr>
          <w:rFonts w:ascii="Calibri" w:eastAsia="Calibri" w:hAnsi="Calibri" w:cs="Calibri"/>
        </w:rPr>
        <w:t>he highest of multi-year averages of the maximum modeled annual concentration predicted at each receptor, and</w:t>
      </w:r>
    </w:p>
    <w:p w14:paraId="7D616F5E" w14:textId="3933CBA1" w:rsidR="004F5587" w:rsidRDefault="004F5587" w:rsidP="00BB547A">
      <w:pPr>
        <w:numPr>
          <w:ilvl w:val="0"/>
          <w:numId w:val="4"/>
        </w:numPr>
        <w:ind w:left="720" w:hanging="360"/>
        <w:rPr>
          <w:rFonts w:ascii="Calibri" w:eastAsia="Calibri" w:hAnsi="Calibri" w:cs="Calibri"/>
        </w:rPr>
      </w:pPr>
      <w:r>
        <w:rPr>
          <w:rFonts w:ascii="Calibri" w:eastAsia="Calibri" w:hAnsi="Calibri" w:cs="Calibri"/>
        </w:rPr>
        <w:t xml:space="preserve">For 1-hour and 8-hour CO: </w:t>
      </w:r>
      <w:r w:rsidR="008319A6">
        <w:rPr>
          <w:rFonts w:ascii="Calibri" w:eastAsia="Calibri" w:hAnsi="Calibri" w:cs="Calibri"/>
        </w:rPr>
        <w:t>T</w:t>
      </w:r>
      <w:r>
        <w:rPr>
          <w:rFonts w:ascii="Calibri" w:eastAsia="Calibri" w:hAnsi="Calibri" w:cs="Calibri"/>
        </w:rPr>
        <w:t>he highest-first-high 1-hour and 8-hour average concentrations predicted at each receptor.</w:t>
      </w:r>
    </w:p>
    <w:p w14:paraId="1DFA58B8" w14:textId="77777777" w:rsidR="004F5587" w:rsidRDefault="004F5587" w:rsidP="004F5587">
      <w:pPr>
        <w:rPr>
          <w:rFonts w:ascii="Calibri" w:eastAsia="Calibri" w:hAnsi="Calibri" w:cs="Calibri"/>
        </w:rPr>
      </w:pPr>
      <w:r>
        <w:rPr>
          <w:rFonts w:ascii="Calibri" w:eastAsia="Calibri" w:hAnsi="Calibri" w:cs="Calibri"/>
        </w:rPr>
        <w:t>If maximum source impacts are predicted to be below the SIL values shown in Table 3-3, additional multi-source modeling may not be required and compliance with the applicable NAAQS or PSD increment is demonstrated.</w:t>
      </w:r>
    </w:p>
    <w:p w14:paraId="282A5027" w14:textId="1317AE17" w:rsidR="004F5587" w:rsidRPr="005F22DA" w:rsidRDefault="004F5587" w:rsidP="004F5587">
      <w:pPr>
        <w:spacing w:after="0" w:line="240" w:lineRule="auto"/>
        <w:jc w:val="center"/>
        <w:rPr>
          <w:rFonts w:eastAsia="Times New Roman" w:cstheme="minorHAnsi"/>
          <w:b/>
          <w:color w:val="000000"/>
          <w:sz w:val="24"/>
        </w:rPr>
      </w:pPr>
      <w:r w:rsidRPr="005F22DA">
        <w:rPr>
          <w:rFonts w:eastAsia="Times New Roman" w:cstheme="minorHAnsi"/>
          <w:b/>
          <w:color w:val="000000"/>
          <w:sz w:val="24"/>
        </w:rPr>
        <w:t xml:space="preserve">TABLE 3-3 </w:t>
      </w:r>
    </w:p>
    <w:p w14:paraId="2DA6773C" w14:textId="687CC42F" w:rsidR="004F5587" w:rsidRPr="008C666E" w:rsidRDefault="004F5587" w:rsidP="008C666E">
      <w:pPr>
        <w:spacing w:after="0" w:line="240" w:lineRule="auto"/>
        <w:jc w:val="center"/>
        <w:rPr>
          <w:rFonts w:eastAsia="Times New Roman" w:cstheme="minorHAnsi"/>
          <w:b/>
          <w:color w:val="000000"/>
          <w:sz w:val="24"/>
          <w:vertAlign w:val="superscript"/>
        </w:rPr>
      </w:pPr>
      <w:r w:rsidRPr="005F22DA">
        <w:rPr>
          <w:rFonts w:eastAsia="Times New Roman" w:cstheme="minorHAnsi"/>
          <w:b/>
          <w:color w:val="000000"/>
          <w:sz w:val="24"/>
        </w:rPr>
        <w:t>Class II Significant Impact Levels (µg/m</w:t>
      </w:r>
      <w:r w:rsidRPr="005F22DA">
        <w:rPr>
          <w:rFonts w:eastAsia="Times New Roman" w:cstheme="minorHAnsi"/>
          <w:b/>
          <w:color w:val="000000"/>
          <w:sz w:val="24"/>
          <w:vertAlign w:val="superscript"/>
        </w:rPr>
        <w:t>3</w:t>
      </w:r>
      <w:r w:rsidRPr="005F22DA">
        <w:rPr>
          <w:rFonts w:eastAsia="Times New Roman" w:cstheme="minorHAnsi"/>
          <w:b/>
          <w:color w:val="000000"/>
          <w:sz w:val="24"/>
        </w:rPr>
        <w:t>)</w:t>
      </w:r>
      <w:r w:rsidR="00531266">
        <w:rPr>
          <w:rFonts w:eastAsia="Times New Roman" w:cstheme="minorHAnsi"/>
          <w:b/>
          <w:color w:val="000000"/>
          <w:sz w:val="24"/>
        </w:rPr>
        <w:t xml:space="preserve"> </w:t>
      </w:r>
      <w:r w:rsidR="00531266" w:rsidRPr="00531266">
        <w:rPr>
          <w:rFonts w:eastAsia="Times New Roman" w:cstheme="minorHAnsi"/>
          <w:bCs/>
          <w:color w:val="000000"/>
          <w:sz w:val="20"/>
          <w:szCs w:val="18"/>
          <w:vertAlign w:val="superscript"/>
        </w:rPr>
        <w:t>(</w:t>
      </w:r>
      <w:r w:rsidRPr="005F22DA">
        <w:rPr>
          <w:rFonts w:eastAsia="Times New Roman" w:cstheme="minorHAnsi"/>
          <w:color w:val="000000"/>
          <w:sz w:val="20"/>
          <w:vertAlign w:val="superscript"/>
        </w:rPr>
        <w:t>1</w:t>
      </w:r>
      <w:r w:rsidR="00531266">
        <w:rPr>
          <w:rFonts w:eastAsia="Times New Roman" w:cstheme="minorHAnsi"/>
          <w:color w:val="000000"/>
          <w:sz w:val="20"/>
          <w:vertAlign w:val="superscript"/>
        </w:rPr>
        <w:t>)</w:t>
      </w:r>
    </w:p>
    <w:tbl>
      <w:tblPr>
        <w:tblW w:w="0" w:type="auto"/>
        <w:tblInd w:w="108" w:type="dxa"/>
        <w:tblCellMar>
          <w:left w:w="10" w:type="dxa"/>
          <w:right w:w="10" w:type="dxa"/>
        </w:tblCellMar>
        <w:tblLook w:val="04A0" w:firstRow="1" w:lastRow="0" w:firstColumn="1" w:lastColumn="0" w:noHBand="0" w:noVBand="1"/>
      </w:tblPr>
      <w:tblGrid>
        <w:gridCol w:w="1965"/>
        <w:gridCol w:w="1530"/>
        <w:gridCol w:w="1530"/>
        <w:gridCol w:w="1890"/>
        <w:gridCol w:w="1575"/>
        <w:gridCol w:w="1575"/>
      </w:tblGrid>
      <w:tr w:rsidR="004F5587" w:rsidRPr="005F22DA" w14:paraId="5E324C04" w14:textId="77777777" w:rsidTr="004F5587">
        <w:tc>
          <w:tcPr>
            <w:tcW w:w="1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6391388" w14:textId="77777777" w:rsidR="004F5587" w:rsidRPr="005F22DA" w:rsidRDefault="004F5587" w:rsidP="004F5587">
            <w:pPr>
              <w:spacing w:after="0" w:line="240" w:lineRule="auto"/>
              <w:jc w:val="center"/>
              <w:rPr>
                <w:rFonts w:cstheme="minorHAnsi"/>
              </w:rPr>
            </w:pPr>
            <w:r w:rsidRPr="005F22DA">
              <w:rPr>
                <w:rFonts w:eastAsia="Times New Roman" w:cstheme="minorHAnsi"/>
                <w:b/>
                <w:sz w:val="24"/>
              </w:rPr>
              <w:t>POLLUTANT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6AF4756" w14:textId="77777777" w:rsidR="004F5587" w:rsidRPr="005F22DA" w:rsidRDefault="004F5587" w:rsidP="004F5587">
            <w:pPr>
              <w:spacing w:after="0" w:line="240" w:lineRule="auto"/>
              <w:jc w:val="center"/>
              <w:rPr>
                <w:rFonts w:cstheme="minorHAnsi"/>
              </w:rPr>
            </w:pPr>
            <w:r w:rsidRPr="005F22DA">
              <w:rPr>
                <w:rFonts w:eastAsia="Times New Roman" w:cstheme="minorHAnsi"/>
                <w:b/>
                <w:sz w:val="24"/>
              </w:rPr>
              <w:t>Annual</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D507C8A" w14:textId="77777777" w:rsidR="004F5587" w:rsidRPr="005F22DA" w:rsidRDefault="004F5587" w:rsidP="004F5587">
            <w:pPr>
              <w:spacing w:after="0" w:line="240" w:lineRule="auto"/>
              <w:jc w:val="center"/>
              <w:rPr>
                <w:rFonts w:cstheme="minorHAnsi"/>
              </w:rPr>
            </w:pPr>
            <w:r w:rsidRPr="005F22DA">
              <w:rPr>
                <w:rFonts w:eastAsia="Times New Roman" w:cstheme="minorHAnsi"/>
                <w:b/>
                <w:sz w:val="24"/>
              </w:rPr>
              <w:t>24-Hour</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C6B338" w14:textId="77777777" w:rsidR="004F5587" w:rsidRPr="005F22DA" w:rsidRDefault="004F5587" w:rsidP="004F5587">
            <w:pPr>
              <w:spacing w:after="0" w:line="240" w:lineRule="auto"/>
              <w:jc w:val="center"/>
              <w:rPr>
                <w:rFonts w:cstheme="minorHAnsi"/>
              </w:rPr>
            </w:pPr>
            <w:r w:rsidRPr="005F22DA">
              <w:rPr>
                <w:rFonts w:eastAsia="Times New Roman" w:cstheme="minorHAnsi"/>
                <w:b/>
                <w:sz w:val="24"/>
              </w:rPr>
              <w:t>8-Hour</w:t>
            </w: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8D63333" w14:textId="77777777" w:rsidR="004F5587" w:rsidRPr="005F22DA" w:rsidRDefault="004F5587" w:rsidP="004F5587">
            <w:pPr>
              <w:spacing w:after="0" w:line="240" w:lineRule="auto"/>
              <w:jc w:val="center"/>
              <w:rPr>
                <w:rFonts w:cstheme="minorHAnsi"/>
              </w:rPr>
            </w:pPr>
            <w:r w:rsidRPr="005F22DA">
              <w:rPr>
                <w:rFonts w:eastAsia="Times New Roman" w:cstheme="minorHAnsi"/>
                <w:b/>
                <w:sz w:val="24"/>
              </w:rPr>
              <w:t>3-Hour</w:t>
            </w: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C770CC8" w14:textId="77777777" w:rsidR="004F5587" w:rsidRPr="005F22DA" w:rsidRDefault="004F5587" w:rsidP="004F5587">
            <w:pPr>
              <w:spacing w:after="0" w:line="240" w:lineRule="auto"/>
              <w:jc w:val="center"/>
              <w:rPr>
                <w:rFonts w:cstheme="minorHAnsi"/>
              </w:rPr>
            </w:pPr>
            <w:r w:rsidRPr="005F22DA">
              <w:rPr>
                <w:rFonts w:eastAsia="Times New Roman" w:cstheme="minorHAnsi"/>
                <w:b/>
                <w:sz w:val="24"/>
              </w:rPr>
              <w:t>1-Hour</w:t>
            </w:r>
          </w:p>
        </w:tc>
      </w:tr>
      <w:tr w:rsidR="004F5587" w:rsidRPr="005F22DA" w14:paraId="2D075287" w14:textId="77777777" w:rsidTr="004F5587">
        <w:trPr>
          <w:trHeight w:val="1"/>
        </w:trPr>
        <w:tc>
          <w:tcPr>
            <w:tcW w:w="1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A9B1CDB"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SO</w:t>
            </w:r>
            <w:r w:rsidRPr="005F22DA">
              <w:rPr>
                <w:rFonts w:eastAsia="Times New Roman" w:cstheme="minorHAnsi"/>
                <w:color w:val="000000"/>
                <w:sz w:val="24"/>
                <w:vertAlign w:val="subscript"/>
              </w:rPr>
              <w:t>2</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BAECA83"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1.0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B9BCBF9"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5.0</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2ECD4C4" w14:textId="77777777" w:rsidR="004F5587" w:rsidRPr="005F22DA" w:rsidRDefault="004F5587" w:rsidP="004F5587">
            <w:pPr>
              <w:spacing w:after="0" w:line="240" w:lineRule="auto"/>
              <w:jc w:val="center"/>
              <w:rPr>
                <w:rFonts w:eastAsia="Calibri" w:cstheme="minorHAnsi"/>
              </w:rPr>
            </w:pP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2AB3DB8"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 xml:space="preserve">25.0 </w:t>
            </w: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E6B7F80" w14:textId="61D7A6A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7.8</w:t>
            </w:r>
            <w:r w:rsidR="00531266">
              <w:rPr>
                <w:rFonts w:eastAsia="Times New Roman" w:cstheme="minorHAnsi"/>
                <w:color w:val="000000"/>
                <w:sz w:val="24"/>
              </w:rPr>
              <w:t xml:space="preserve"> </w:t>
            </w:r>
            <w:r w:rsidR="00531266" w:rsidRPr="00531266">
              <w:rPr>
                <w:rFonts w:eastAsia="Times New Roman" w:cstheme="minorHAnsi"/>
                <w:color w:val="000000"/>
                <w:sz w:val="20"/>
                <w:szCs w:val="18"/>
                <w:vertAlign w:val="superscript"/>
              </w:rPr>
              <w:t>(</w:t>
            </w:r>
            <w:r w:rsidRPr="005F22DA">
              <w:rPr>
                <w:rFonts w:eastAsia="Times New Roman" w:cstheme="minorHAnsi"/>
                <w:color w:val="000000"/>
                <w:sz w:val="20"/>
                <w:vertAlign w:val="superscript"/>
              </w:rPr>
              <w:t>2</w:t>
            </w:r>
            <w:r w:rsidR="00531266">
              <w:rPr>
                <w:rFonts w:eastAsia="Times New Roman" w:cstheme="minorHAnsi"/>
                <w:color w:val="000000"/>
                <w:sz w:val="20"/>
                <w:vertAlign w:val="superscript"/>
              </w:rPr>
              <w:t>)</w:t>
            </w:r>
            <w:r w:rsidRPr="005F22DA">
              <w:rPr>
                <w:rFonts w:eastAsia="Times New Roman" w:cstheme="minorHAnsi"/>
                <w:color w:val="000000"/>
                <w:sz w:val="24"/>
              </w:rPr>
              <w:t xml:space="preserve"> </w:t>
            </w:r>
          </w:p>
        </w:tc>
      </w:tr>
      <w:tr w:rsidR="004F5587" w:rsidRPr="005F22DA" w14:paraId="2B965BA3" w14:textId="77777777" w:rsidTr="004F5587">
        <w:trPr>
          <w:trHeight w:val="1"/>
        </w:trPr>
        <w:tc>
          <w:tcPr>
            <w:tcW w:w="1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F5D6CB"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NO</w:t>
            </w:r>
            <w:r w:rsidRPr="005F22DA">
              <w:rPr>
                <w:rFonts w:eastAsia="Times New Roman" w:cstheme="minorHAnsi"/>
                <w:color w:val="000000"/>
                <w:sz w:val="24"/>
                <w:vertAlign w:val="subscript"/>
              </w:rPr>
              <w:t>2</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E3DE3BD"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1.0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756BA21" w14:textId="77777777" w:rsidR="004F5587" w:rsidRPr="005F22DA" w:rsidRDefault="004F5587" w:rsidP="004F5587">
            <w:pPr>
              <w:spacing w:after="0" w:line="240" w:lineRule="auto"/>
              <w:jc w:val="center"/>
              <w:rPr>
                <w:rFonts w:eastAsia="Calibri" w:cstheme="minorHAnsi"/>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52F501E" w14:textId="77777777" w:rsidR="004F5587" w:rsidRPr="005F22DA" w:rsidRDefault="004F5587" w:rsidP="004F5587">
            <w:pPr>
              <w:spacing w:after="0" w:line="240" w:lineRule="auto"/>
              <w:jc w:val="center"/>
              <w:rPr>
                <w:rFonts w:eastAsia="Calibri" w:cstheme="minorHAnsi"/>
              </w:rPr>
            </w:pP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321575A" w14:textId="77777777" w:rsidR="004F5587" w:rsidRPr="005F22DA" w:rsidRDefault="004F5587" w:rsidP="004F5587">
            <w:pPr>
              <w:spacing w:after="0" w:line="240" w:lineRule="auto"/>
              <w:jc w:val="center"/>
              <w:rPr>
                <w:rFonts w:eastAsia="Calibri" w:cstheme="minorHAnsi"/>
              </w:rPr>
            </w:pP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1210A56" w14:textId="7E07A474"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7.5</w:t>
            </w:r>
            <w:r w:rsidR="00531266">
              <w:rPr>
                <w:rFonts w:eastAsia="Times New Roman" w:cstheme="minorHAnsi"/>
                <w:color w:val="000000"/>
                <w:sz w:val="24"/>
              </w:rPr>
              <w:t xml:space="preserve"> </w:t>
            </w:r>
            <w:r w:rsidR="00531266" w:rsidRPr="00531266">
              <w:rPr>
                <w:rFonts w:eastAsia="Times New Roman" w:cstheme="minorHAnsi"/>
                <w:color w:val="000000"/>
                <w:sz w:val="20"/>
                <w:szCs w:val="18"/>
                <w:vertAlign w:val="superscript"/>
              </w:rPr>
              <w:t>(</w:t>
            </w:r>
            <w:r w:rsidRPr="005F22DA">
              <w:rPr>
                <w:rFonts w:eastAsia="Times New Roman" w:cstheme="minorHAnsi"/>
                <w:color w:val="000000"/>
                <w:sz w:val="20"/>
                <w:vertAlign w:val="superscript"/>
              </w:rPr>
              <w:t>3</w:t>
            </w:r>
            <w:r w:rsidR="00531266">
              <w:rPr>
                <w:rFonts w:eastAsia="Times New Roman" w:cstheme="minorHAnsi"/>
                <w:color w:val="000000"/>
                <w:sz w:val="20"/>
                <w:vertAlign w:val="superscript"/>
              </w:rPr>
              <w:t>)</w:t>
            </w:r>
          </w:p>
        </w:tc>
      </w:tr>
      <w:tr w:rsidR="004F5587" w:rsidRPr="005F22DA" w14:paraId="2D92CC8F" w14:textId="77777777" w:rsidTr="004F5587">
        <w:trPr>
          <w:trHeight w:val="1"/>
        </w:trPr>
        <w:tc>
          <w:tcPr>
            <w:tcW w:w="1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2464040"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PM</w:t>
            </w:r>
            <w:r w:rsidRPr="005F22DA">
              <w:rPr>
                <w:rFonts w:eastAsia="Times New Roman" w:cstheme="minorHAnsi"/>
                <w:color w:val="000000"/>
                <w:sz w:val="24"/>
                <w:vertAlign w:val="subscript"/>
              </w:rPr>
              <w:t>10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C1BAE65"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1.0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CFE15AE"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5.0</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A92AEDE" w14:textId="77777777" w:rsidR="004F5587" w:rsidRPr="005F22DA" w:rsidRDefault="004F5587" w:rsidP="004F5587">
            <w:pPr>
              <w:spacing w:after="0" w:line="240" w:lineRule="auto"/>
              <w:jc w:val="center"/>
              <w:rPr>
                <w:rFonts w:eastAsia="Calibri" w:cstheme="minorHAnsi"/>
              </w:rPr>
            </w:pP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84B61D4" w14:textId="77777777" w:rsidR="004F5587" w:rsidRPr="005F22DA" w:rsidRDefault="004F5587" w:rsidP="004F5587">
            <w:pPr>
              <w:spacing w:after="0" w:line="240" w:lineRule="auto"/>
              <w:jc w:val="center"/>
              <w:rPr>
                <w:rFonts w:eastAsia="Calibri" w:cstheme="minorHAnsi"/>
              </w:rPr>
            </w:pP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EF4BA10" w14:textId="77777777" w:rsidR="004F5587" w:rsidRPr="005F22DA" w:rsidRDefault="004F5587" w:rsidP="004F5587">
            <w:pPr>
              <w:spacing w:after="0" w:line="240" w:lineRule="auto"/>
              <w:jc w:val="center"/>
              <w:rPr>
                <w:rFonts w:eastAsia="Calibri" w:cstheme="minorHAnsi"/>
              </w:rPr>
            </w:pPr>
          </w:p>
        </w:tc>
      </w:tr>
      <w:tr w:rsidR="004F5587" w:rsidRPr="005F22DA" w14:paraId="0EA4D1DB" w14:textId="77777777" w:rsidTr="004F5587">
        <w:trPr>
          <w:trHeight w:val="1"/>
        </w:trPr>
        <w:tc>
          <w:tcPr>
            <w:tcW w:w="1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3BE4E22" w14:textId="4E080AF9"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PM</w:t>
            </w:r>
            <w:r w:rsidRPr="005F22DA">
              <w:rPr>
                <w:rFonts w:eastAsia="Times New Roman" w:cstheme="minorHAnsi"/>
                <w:color w:val="000000"/>
                <w:sz w:val="24"/>
                <w:vertAlign w:val="subscript"/>
              </w:rPr>
              <w:t>2.5</w:t>
            </w:r>
            <w:r w:rsidR="00531266">
              <w:rPr>
                <w:rFonts w:eastAsia="Times New Roman" w:cstheme="minorHAnsi"/>
                <w:color w:val="000000"/>
                <w:sz w:val="24"/>
                <w:vertAlign w:val="subscript"/>
              </w:rPr>
              <w:t xml:space="preserve"> </w:t>
            </w:r>
            <w:r w:rsidR="00531266" w:rsidRPr="00531266">
              <w:rPr>
                <w:rFonts w:eastAsia="Times New Roman" w:cstheme="minorHAnsi"/>
                <w:color w:val="000000"/>
                <w:sz w:val="20"/>
                <w:szCs w:val="18"/>
                <w:vertAlign w:val="superscript"/>
              </w:rPr>
              <w:t>(</w:t>
            </w:r>
            <w:r w:rsidRPr="005F22DA">
              <w:rPr>
                <w:rFonts w:eastAsia="Times New Roman" w:cstheme="minorHAnsi"/>
                <w:color w:val="000000"/>
                <w:sz w:val="20"/>
                <w:vertAlign w:val="superscript"/>
              </w:rPr>
              <w:t>4</w:t>
            </w:r>
            <w:r w:rsidR="00531266">
              <w:rPr>
                <w:rFonts w:eastAsia="Times New Roman" w:cstheme="minorHAnsi"/>
                <w:color w:val="000000"/>
                <w:sz w:val="20"/>
                <w:vertAlign w:val="superscript"/>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6C8536E"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0.2</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357E26"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1.2</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53553D1" w14:textId="77777777" w:rsidR="004F5587" w:rsidRPr="005F22DA" w:rsidRDefault="004F5587" w:rsidP="004F5587">
            <w:pPr>
              <w:spacing w:after="0" w:line="240" w:lineRule="auto"/>
              <w:jc w:val="center"/>
              <w:rPr>
                <w:rFonts w:eastAsia="Calibri" w:cstheme="minorHAnsi"/>
              </w:rPr>
            </w:pP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9DD54DC" w14:textId="77777777" w:rsidR="004F5587" w:rsidRPr="005F22DA" w:rsidRDefault="004F5587" w:rsidP="004F5587">
            <w:pPr>
              <w:spacing w:after="0" w:line="240" w:lineRule="auto"/>
              <w:jc w:val="center"/>
              <w:rPr>
                <w:rFonts w:eastAsia="Calibri" w:cstheme="minorHAnsi"/>
              </w:rPr>
            </w:pP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B0D7741" w14:textId="77777777" w:rsidR="004F5587" w:rsidRPr="005F22DA" w:rsidRDefault="004F5587" w:rsidP="004F5587">
            <w:pPr>
              <w:spacing w:after="0" w:line="240" w:lineRule="auto"/>
              <w:jc w:val="center"/>
              <w:rPr>
                <w:rFonts w:eastAsia="Calibri" w:cstheme="minorHAnsi"/>
              </w:rPr>
            </w:pPr>
          </w:p>
        </w:tc>
      </w:tr>
      <w:tr w:rsidR="004F5587" w:rsidRPr="005F22DA" w14:paraId="5FE9D589" w14:textId="77777777" w:rsidTr="004F5587">
        <w:tc>
          <w:tcPr>
            <w:tcW w:w="1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4137ED8"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CO</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AF61ED3" w14:textId="77777777" w:rsidR="004F5587" w:rsidRPr="005F22DA" w:rsidRDefault="004F5587" w:rsidP="004F5587">
            <w:pPr>
              <w:spacing w:after="0" w:line="240" w:lineRule="auto"/>
              <w:jc w:val="center"/>
              <w:rPr>
                <w:rFonts w:eastAsia="Calibri" w:cstheme="minorHAnsi"/>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F09763F" w14:textId="77777777" w:rsidR="004F5587" w:rsidRPr="005F22DA" w:rsidRDefault="004F5587" w:rsidP="004F5587">
            <w:pPr>
              <w:spacing w:after="0" w:line="240" w:lineRule="auto"/>
              <w:jc w:val="center"/>
              <w:rPr>
                <w:rFonts w:eastAsia="Calibri" w:cstheme="minorHAnsi"/>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90A1074"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500</w:t>
            </w: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225E325" w14:textId="77777777" w:rsidR="004F5587" w:rsidRPr="005F22DA" w:rsidRDefault="004F5587" w:rsidP="004F5587">
            <w:pPr>
              <w:spacing w:after="0" w:line="240" w:lineRule="auto"/>
              <w:jc w:val="center"/>
              <w:rPr>
                <w:rFonts w:eastAsia="Calibri" w:cstheme="minorHAnsi"/>
              </w:rPr>
            </w:pPr>
          </w:p>
        </w:tc>
        <w:tc>
          <w:tcPr>
            <w:tcW w:w="1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287D456" w14:textId="77777777" w:rsidR="004F5587" w:rsidRPr="005F22DA" w:rsidRDefault="004F5587" w:rsidP="004F5587">
            <w:pPr>
              <w:spacing w:after="0" w:line="240" w:lineRule="auto"/>
              <w:jc w:val="center"/>
              <w:rPr>
                <w:rFonts w:cstheme="minorHAnsi"/>
              </w:rPr>
            </w:pPr>
            <w:r w:rsidRPr="005F22DA">
              <w:rPr>
                <w:rFonts w:eastAsia="Times New Roman" w:cstheme="minorHAnsi"/>
                <w:color w:val="000000"/>
                <w:sz w:val="24"/>
              </w:rPr>
              <w:t>2,000</w:t>
            </w:r>
          </w:p>
        </w:tc>
      </w:tr>
    </w:tbl>
    <w:p w14:paraId="48AB9383" w14:textId="687350A7" w:rsidR="004F5587" w:rsidRPr="005F22DA" w:rsidRDefault="004F5587" w:rsidP="00BB547A">
      <w:pPr>
        <w:tabs>
          <w:tab w:val="left" w:pos="360"/>
        </w:tabs>
        <w:spacing w:after="0" w:line="240" w:lineRule="auto"/>
        <w:ind w:left="270"/>
        <w:jc w:val="left"/>
        <w:rPr>
          <w:rFonts w:eastAsia="Times New Roman" w:cstheme="minorHAnsi"/>
          <w:color w:val="000000"/>
          <w:position w:val="10"/>
          <w:sz w:val="18"/>
        </w:rPr>
      </w:pPr>
      <w:r w:rsidRPr="005F22DA">
        <w:rPr>
          <w:rFonts w:eastAsia="Times New Roman" w:cstheme="minorHAnsi"/>
          <w:color w:val="000000"/>
          <w:position w:val="10"/>
          <w:sz w:val="18"/>
          <w:vertAlign w:val="superscript"/>
        </w:rPr>
        <w:t>1</w:t>
      </w:r>
      <w:r w:rsidR="00BB547A" w:rsidRPr="00BB547A">
        <w:rPr>
          <w:rFonts w:eastAsia="Times New Roman" w:cstheme="minorHAnsi"/>
          <w:color w:val="000000"/>
          <w:position w:val="10"/>
          <w:sz w:val="18"/>
        </w:rPr>
        <w:t xml:space="preserve"> </w:t>
      </w:r>
      <w:r w:rsidRPr="005F22DA">
        <w:rPr>
          <w:rFonts w:eastAsia="Times New Roman" w:cstheme="minorHAnsi"/>
          <w:color w:val="000000"/>
          <w:position w:val="10"/>
          <w:sz w:val="18"/>
        </w:rPr>
        <w:t>Source impacts must be less than the appropriate significance impact levels to be considered “insignificant or de</w:t>
      </w:r>
      <w:r w:rsidR="00BB547A">
        <w:rPr>
          <w:rFonts w:eastAsia="Times New Roman" w:cstheme="minorHAnsi"/>
          <w:color w:val="000000"/>
          <w:position w:val="10"/>
          <w:sz w:val="18"/>
        </w:rPr>
        <w:t xml:space="preserve"> </w:t>
      </w:r>
      <w:r w:rsidRPr="005F22DA">
        <w:rPr>
          <w:rFonts w:eastAsia="Times New Roman" w:cstheme="minorHAnsi"/>
          <w:color w:val="000000"/>
          <w:position w:val="10"/>
          <w:sz w:val="18"/>
        </w:rPr>
        <w:t xml:space="preserve">minimis”. </w:t>
      </w:r>
    </w:p>
    <w:p w14:paraId="7946F05D" w14:textId="5457AB72" w:rsidR="004F5587" w:rsidRPr="005F22DA" w:rsidRDefault="004F5587" w:rsidP="00BB547A">
      <w:pPr>
        <w:tabs>
          <w:tab w:val="left" w:pos="360"/>
        </w:tabs>
        <w:spacing w:after="0" w:line="240" w:lineRule="auto"/>
        <w:ind w:left="270"/>
        <w:jc w:val="left"/>
        <w:rPr>
          <w:rFonts w:eastAsia="Times New Roman" w:cstheme="minorHAnsi"/>
          <w:color w:val="000000"/>
          <w:position w:val="10"/>
          <w:sz w:val="18"/>
        </w:rPr>
      </w:pPr>
      <w:r w:rsidRPr="005F22DA">
        <w:rPr>
          <w:rFonts w:eastAsia="Times New Roman" w:cstheme="minorHAnsi"/>
          <w:color w:val="000000"/>
          <w:position w:val="10"/>
          <w:sz w:val="18"/>
          <w:vertAlign w:val="superscript"/>
        </w:rPr>
        <w:t>2</w:t>
      </w:r>
      <w:r w:rsidRPr="00BB547A">
        <w:rPr>
          <w:rFonts w:eastAsia="Times New Roman" w:cstheme="minorHAnsi"/>
          <w:color w:val="000000"/>
          <w:position w:val="10"/>
          <w:sz w:val="18"/>
        </w:rPr>
        <w:t xml:space="preserve"> </w:t>
      </w:r>
      <w:r w:rsidRPr="005F22DA">
        <w:rPr>
          <w:rFonts w:eastAsia="Times New Roman" w:cstheme="minorHAnsi"/>
          <w:color w:val="000000"/>
          <w:position w:val="10"/>
          <w:sz w:val="18"/>
        </w:rPr>
        <w:t>On August 23, 2010, EPA recommended a SIL of 3</w:t>
      </w:r>
      <w:r w:rsidR="00B2524B">
        <w:rPr>
          <w:rFonts w:eastAsia="Times New Roman" w:cstheme="minorHAnsi"/>
          <w:color w:val="000000"/>
          <w:position w:val="10"/>
          <w:sz w:val="18"/>
        </w:rPr>
        <w:t xml:space="preserve"> </w:t>
      </w:r>
      <w:r w:rsidRPr="005F22DA">
        <w:rPr>
          <w:rFonts w:eastAsia="Times New Roman" w:cstheme="minorHAnsi"/>
          <w:color w:val="000000"/>
          <w:position w:val="10"/>
          <w:sz w:val="18"/>
        </w:rPr>
        <w:t>ppb (7.8µg/m</w:t>
      </w:r>
      <w:r w:rsidRPr="005F22DA">
        <w:rPr>
          <w:rFonts w:eastAsia="Times New Roman" w:cstheme="minorHAnsi"/>
          <w:color w:val="000000"/>
          <w:position w:val="10"/>
          <w:sz w:val="18"/>
          <w:vertAlign w:val="superscript"/>
        </w:rPr>
        <w:t>3</w:t>
      </w:r>
      <w:r w:rsidRPr="005F22DA">
        <w:rPr>
          <w:rFonts w:eastAsia="Times New Roman" w:cstheme="minorHAnsi"/>
          <w:color w:val="000000"/>
          <w:position w:val="10"/>
          <w:sz w:val="18"/>
        </w:rPr>
        <w:t>) for the 1-hour SO</w:t>
      </w:r>
      <w:r w:rsidRPr="005F22DA">
        <w:rPr>
          <w:rFonts w:eastAsia="Times New Roman" w:cstheme="minorHAnsi"/>
          <w:color w:val="000000"/>
          <w:position w:val="10"/>
          <w:sz w:val="18"/>
          <w:vertAlign w:val="subscript"/>
        </w:rPr>
        <w:t>2</w:t>
      </w:r>
      <w:r w:rsidRPr="005F22DA">
        <w:rPr>
          <w:rFonts w:eastAsia="Times New Roman" w:cstheme="minorHAnsi"/>
          <w:color w:val="000000"/>
          <w:position w:val="10"/>
          <w:sz w:val="18"/>
        </w:rPr>
        <w:t xml:space="preserve"> NAAQS. </w:t>
      </w:r>
    </w:p>
    <w:p w14:paraId="31800F94" w14:textId="763B19BF" w:rsidR="004F5587" w:rsidRPr="005F22DA" w:rsidRDefault="004F5587" w:rsidP="00BB547A">
      <w:pPr>
        <w:tabs>
          <w:tab w:val="left" w:pos="360"/>
        </w:tabs>
        <w:spacing w:after="0" w:line="240" w:lineRule="auto"/>
        <w:ind w:left="270"/>
        <w:jc w:val="left"/>
        <w:rPr>
          <w:rFonts w:eastAsia="Times New Roman" w:cstheme="minorHAnsi"/>
          <w:color w:val="000000"/>
          <w:position w:val="10"/>
          <w:sz w:val="18"/>
        </w:rPr>
      </w:pPr>
      <w:r w:rsidRPr="005F22DA">
        <w:rPr>
          <w:rFonts w:eastAsia="Times New Roman" w:cstheme="minorHAnsi"/>
          <w:color w:val="000000"/>
          <w:position w:val="10"/>
          <w:sz w:val="18"/>
          <w:vertAlign w:val="superscript"/>
        </w:rPr>
        <w:t>3</w:t>
      </w:r>
      <w:r w:rsidRPr="00BB547A">
        <w:rPr>
          <w:rFonts w:eastAsia="Times New Roman" w:cstheme="minorHAnsi"/>
          <w:color w:val="000000"/>
          <w:position w:val="10"/>
          <w:sz w:val="18"/>
        </w:rPr>
        <w:t xml:space="preserve"> </w:t>
      </w:r>
      <w:r w:rsidRPr="005F22DA">
        <w:rPr>
          <w:rFonts w:eastAsia="Times New Roman" w:cstheme="minorHAnsi"/>
          <w:color w:val="000000"/>
          <w:position w:val="10"/>
          <w:sz w:val="18"/>
        </w:rPr>
        <w:t>On June 28, 2010, EPA recommended a SIL of 4</w:t>
      </w:r>
      <w:r w:rsidR="00B2524B">
        <w:rPr>
          <w:rFonts w:eastAsia="Times New Roman" w:cstheme="minorHAnsi"/>
          <w:color w:val="000000"/>
          <w:position w:val="10"/>
          <w:sz w:val="18"/>
        </w:rPr>
        <w:t xml:space="preserve"> </w:t>
      </w:r>
      <w:r w:rsidRPr="005F22DA">
        <w:rPr>
          <w:rFonts w:eastAsia="Times New Roman" w:cstheme="minorHAnsi"/>
          <w:color w:val="000000"/>
          <w:position w:val="10"/>
          <w:sz w:val="18"/>
        </w:rPr>
        <w:t>ppb (7.5µg/m</w:t>
      </w:r>
      <w:r w:rsidRPr="005F22DA">
        <w:rPr>
          <w:rFonts w:eastAsia="Times New Roman" w:cstheme="minorHAnsi"/>
          <w:color w:val="000000"/>
          <w:position w:val="10"/>
          <w:sz w:val="18"/>
          <w:vertAlign w:val="superscript"/>
        </w:rPr>
        <w:t>3</w:t>
      </w:r>
      <w:r w:rsidRPr="005F22DA">
        <w:rPr>
          <w:rFonts w:eastAsia="Times New Roman" w:cstheme="minorHAnsi"/>
          <w:color w:val="000000"/>
          <w:position w:val="10"/>
          <w:sz w:val="18"/>
        </w:rPr>
        <w:t>) for the 1-hour NO</w:t>
      </w:r>
      <w:r w:rsidRPr="005F22DA">
        <w:rPr>
          <w:rFonts w:eastAsia="Times New Roman" w:cstheme="minorHAnsi"/>
          <w:color w:val="000000"/>
          <w:position w:val="10"/>
          <w:sz w:val="18"/>
          <w:vertAlign w:val="subscript"/>
        </w:rPr>
        <w:t>2</w:t>
      </w:r>
      <w:r w:rsidRPr="005F22DA">
        <w:rPr>
          <w:rFonts w:eastAsia="Times New Roman" w:cstheme="minorHAnsi"/>
          <w:color w:val="000000"/>
          <w:position w:val="10"/>
          <w:sz w:val="18"/>
        </w:rPr>
        <w:t xml:space="preserve"> NAAQS.</w:t>
      </w:r>
    </w:p>
    <w:p w14:paraId="18E27AE8" w14:textId="71AD73C6" w:rsidR="004F5587" w:rsidRPr="005F22DA" w:rsidRDefault="004F5587" w:rsidP="00BB547A">
      <w:pPr>
        <w:tabs>
          <w:tab w:val="left" w:pos="360"/>
        </w:tabs>
        <w:spacing w:after="0" w:line="240" w:lineRule="auto"/>
        <w:ind w:left="270"/>
        <w:jc w:val="left"/>
        <w:rPr>
          <w:rFonts w:eastAsia="Times New Roman" w:cstheme="minorHAnsi"/>
          <w:color w:val="000000"/>
          <w:sz w:val="18"/>
        </w:rPr>
      </w:pPr>
      <w:r w:rsidRPr="005F22DA">
        <w:rPr>
          <w:rFonts w:eastAsia="Times New Roman" w:cstheme="minorHAnsi"/>
          <w:color w:val="000000"/>
          <w:sz w:val="18"/>
          <w:vertAlign w:val="superscript"/>
        </w:rPr>
        <w:t>4</w:t>
      </w:r>
      <w:r w:rsidRPr="005F22DA">
        <w:rPr>
          <w:rFonts w:eastAsia="Times New Roman" w:cstheme="minorHAnsi"/>
          <w:color w:val="000000"/>
          <w:sz w:val="18"/>
        </w:rPr>
        <w:t xml:space="preserve"> On April 17, 2018, EPA issued Guidance on Significant Impacts Levels for Ozone and Fine Particulates in the Prevention of Significant Deterioration Permitting Program.</w:t>
      </w:r>
    </w:p>
    <w:p w14:paraId="4391DD77" w14:textId="77777777" w:rsidR="004F5587" w:rsidRDefault="004F5587" w:rsidP="004F5587">
      <w:pPr>
        <w:tabs>
          <w:tab w:val="left" w:pos="180"/>
        </w:tabs>
        <w:spacing w:after="0" w:line="240" w:lineRule="auto"/>
        <w:ind w:left="180" w:hanging="180"/>
        <w:rPr>
          <w:rFonts w:ascii="Times New Roman" w:eastAsia="Times New Roman" w:hAnsi="Times New Roman" w:cs="Times New Roman"/>
          <w:color w:val="000000"/>
          <w:sz w:val="18"/>
        </w:rPr>
      </w:pPr>
    </w:p>
    <w:p w14:paraId="4DE9E723" w14:textId="29B4DD81" w:rsidR="004F5587" w:rsidRDefault="005F0492" w:rsidP="00F6243B">
      <w:pPr>
        <w:pStyle w:val="Heading1"/>
        <w:spacing w:after="240"/>
        <w:rPr>
          <w:rFonts w:eastAsia="Tw Cen MT"/>
        </w:rPr>
      </w:pPr>
      <w:bookmarkStart w:id="22" w:name="_Modeling_Analyses_for"/>
      <w:bookmarkEnd w:id="22"/>
      <w:r>
        <w:rPr>
          <w:rFonts w:eastAsia="Tw Cen MT"/>
        </w:rPr>
        <w:t xml:space="preserve"> </w:t>
      </w:r>
      <w:bookmarkStart w:id="23" w:name="_Toc147226878"/>
      <w:r w:rsidR="004F5587">
        <w:rPr>
          <w:rFonts w:eastAsia="Tw Cen MT"/>
        </w:rPr>
        <w:t>Modeling Analyses for NAAQS/PSD Compliance Demonstration</w:t>
      </w:r>
      <w:bookmarkEnd w:id="23"/>
    </w:p>
    <w:p w14:paraId="2154F971" w14:textId="77777777" w:rsidR="004F5587" w:rsidRDefault="004F5587" w:rsidP="004F5587">
      <w:pPr>
        <w:rPr>
          <w:rFonts w:ascii="Calibri" w:eastAsia="Calibri" w:hAnsi="Calibri" w:cs="Calibri"/>
        </w:rPr>
      </w:pPr>
      <w:r>
        <w:rPr>
          <w:rFonts w:ascii="Calibri" w:eastAsia="Calibri" w:hAnsi="Calibri" w:cs="Calibri"/>
        </w:rPr>
        <w:t>This section provides applicants detailed requirements and procedures for performing an ambient impact analysis for the purpose of demonstrating compliance with the NAAQS and PSD increments. CT DEEP intends to update this document periodically; however, applicants are encouraged to consult with CT DEEP prior to conducting ambient impact analyses to confirm that guidance given herein reflects all current state and federal modeling requirements.</w:t>
      </w:r>
    </w:p>
    <w:p w14:paraId="53F221B7" w14:textId="0EAC4880" w:rsidR="004F5587" w:rsidRDefault="004F5587" w:rsidP="004F5587">
      <w:pPr>
        <w:rPr>
          <w:rFonts w:ascii="Calibri" w:eastAsia="Calibri" w:hAnsi="Calibri" w:cs="Calibri"/>
        </w:rPr>
      </w:pPr>
      <w:r>
        <w:rPr>
          <w:rFonts w:ascii="Calibri" w:eastAsia="Calibri" w:hAnsi="Calibri" w:cs="Calibri"/>
        </w:rPr>
        <w:t>The latest version of EPA’s approved regulatory air dispersion model (AERMOD) is required to predict ambient impacts from proposed new and modified existing permitted stationary sources in Connecticut</w:t>
      </w:r>
      <w:r w:rsidR="005A2FFF">
        <w:rPr>
          <w:rFonts w:ascii="Calibri" w:eastAsia="Calibri" w:hAnsi="Calibri" w:cs="Calibri"/>
        </w:rPr>
        <w:t xml:space="preserve">. </w:t>
      </w:r>
      <w:r>
        <w:rPr>
          <w:rFonts w:ascii="Calibri" w:eastAsia="Calibri" w:hAnsi="Calibri" w:cs="Calibri"/>
        </w:rPr>
        <w:t xml:space="preserve">EPA’s AERMOD screening model AERSCREEN is used to perform screening modeling analyses to determine worst-case operating conditions from proposed new and modified existing sources, and to </w:t>
      </w:r>
      <w:r w:rsidR="00C24410">
        <w:rPr>
          <w:rFonts w:ascii="Calibri" w:eastAsia="Calibri" w:hAnsi="Calibri" w:cs="Calibri"/>
        </w:rPr>
        <w:t>assess</w:t>
      </w:r>
      <w:r>
        <w:rPr>
          <w:rFonts w:ascii="Calibri" w:eastAsia="Calibri" w:hAnsi="Calibri" w:cs="Calibri"/>
        </w:rPr>
        <w:t xml:space="preserve"> for adverse impacts from minor sources. AERMOD is the recommended refined single and multi-source dispersion model, to predict ambient impacts on flat, simple, intermediate, and complex terrain within 50 kilometers (km) of the source modeled. AERSCREEN and AERMOD input requirements, modeling procedures, and analyses are discussed in more detail below.</w:t>
      </w:r>
    </w:p>
    <w:p w14:paraId="0B045621" w14:textId="77777777" w:rsidR="004F5587" w:rsidRDefault="004F5587" w:rsidP="008319A6">
      <w:pPr>
        <w:pStyle w:val="Heading2"/>
        <w:rPr>
          <w:rFonts w:eastAsia="Tw Cen MT"/>
        </w:rPr>
      </w:pPr>
      <w:bookmarkStart w:id="24" w:name="_Toc147226879"/>
      <w:r>
        <w:rPr>
          <w:rFonts w:eastAsia="Tw Cen MT"/>
        </w:rPr>
        <w:t>Screening Modeling Analysis</w:t>
      </w:r>
      <w:bookmarkEnd w:id="24"/>
    </w:p>
    <w:p w14:paraId="4068F200" w14:textId="21B3154F" w:rsidR="004F5587" w:rsidRDefault="004F5587" w:rsidP="004F5587">
      <w:pPr>
        <w:rPr>
          <w:rFonts w:ascii="Calibri" w:eastAsia="Calibri" w:hAnsi="Calibri" w:cs="Calibri"/>
        </w:rPr>
      </w:pPr>
      <w:r>
        <w:rPr>
          <w:rFonts w:ascii="Calibri" w:eastAsia="Calibri" w:hAnsi="Calibri" w:cs="Calibri"/>
        </w:rPr>
        <w:t xml:space="preserve">AERSCREEN is the preferred regulatory screening model for air permitting applications that is used to estimate ambient impacts from point, area, volume sources, and flares out to </w:t>
      </w:r>
      <w:r w:rsidR="00C24410">
        <w:rPr>
          <w:rFonts w:ascii="Calibri" w:eastAsia="Calibri" w:hAnsi="Calibri" w:cs="Calibri"/>
        </w:rPr>
        <w:t>50</w:t>
      </w:r>
      <w:r>
        <w:rPr>
          <w:rFonts w:ascii="Calibri" w:eastAsia="Calibri" w:hAnsi="Calibri" w:cs="Calibri"/>
        </w:rPr>
        <w:t xml:space="preserve"> </w:t>
      </w:r>
      <w:r w:rsidR="005A2FFF">
        <w:rPr>
          <w:rFonts w:ascii="Calibri" w:eastAsia="Calibri" w:hAnsi="Calibri" w:cs="Calibri"/>
        </w:rPr>
        <w:t xml:space="preserve">km. </w:t>
      </w:r>
      <w:r>
        <w:rPr>
          <w:rFonts w:ascii="Calibri" w:eastAsia="Calibri" w:hAnsi="Calibri" w:cs="Calibri"/>
        </w:rPr>
        <w:t xml:space="preserve">AERSCREEN is a single-source screening version of </w:t>
      </w:r>
      <w:r>
        <w:rPr>
          <w:rFonts w:ascii="Calibri" w:eastAsia="Calibri" w:hAnsi="Calibri" w:cs="Calibri"/>
        </w:rPr>
        <w:lastRenderedPageBreak/>
        <w:t xml:space="preserve">AERMOD that </w:t>
      </w:r>
      <w:r w:rsidR="00C24410">
        <w:rPr>
          <w:rFonts w:ascii="Calibri" w:eastAsia="Calibri" w:hAnsi="Calibri" w:cs="Calibri"/>
        </w:rPr>
        <w:t>produces</w:t>
      </w:r>
      <w:r>
        <w:rPr>
          <w:rFonts w:ascii="Calibri" w:eastAsia="Calibri" w:hAnsi="Calibri" w:cs="Calibri"/>
        </w:rPr>
        <w:t xml:space="preserve"> conservative impact estimates that has the capability to handle building downwash without the need for refined meteorological data.</w:t>
      </w:r>
    </w:p>
    <w:p w14:paraId="72433F18" w14:textId="73C36A67" w:rsidR="004F5587" w:rsidRDefault="004F5587" w:rsidP="004F5587">
      <w:pPr>
        <w:rPr>
          <w:rFonts w:ascii="Calibri" w:eastAsia="Calibri" w:hAnsi="Calibri" w:cs="Calibri"/>
        </w:rPr>
      </w:pPr>
      <w:r>
        <w:rPr>
          <w:rFonts w:ascii="Calibri" w:eastAsia="Calibri" w:hAnsi="Calibri" w:cs="Calibri"/>
        </w:rPr>
        <w:t>Screening modeling is conducted to assess worst case impacts from new minor sources or minor modifications whose annual allowable emissions fall within ranges shown Table 4-1</w:t>
      </w:r>
      <w:r w:rsidR="005A2FFF">
        <w:rPr>
          <w:rFonts w:ascii="Calibri" w:eastAsia="Calibri" w:hAnsi="Calibri" w:cs="Calibri"/>
        </w:rPr>
        <w:t xml:space="preserve">. </w:t>
      </w:r>
    </w:p>
    <w:p w14:paraId="18D86C44" w14:textId="77777777" w:rsidR="004F5587" w:rsidRPr="005F22DA" w:rsidRDefault="004F5587" w:rsidP="004F5587">
      <w:pPr>
        <w:spacing w:after="0" w:line="240" w:lineRule="auto"/>
        <w:jc w:val="center"/>
        <w:rPr>
          <w:rFonts w:eastAsia="Times New Roman" w:cstheme="minorHAnsi"/>
          <w:b/>
          <w:sz w:val="24"/>
        </w:rPr>
      </w:pPr>
      <w:r w:rsidRPr="005F22DA">
        <w:rPr>
          <w:rFonts w:eastAsia="Times New Roman" w:cstheme="minorHAnsi"/>
          <w:b/>
          <w:sz w:val="24"/>
        </w:rPr>
        <w:t>TABLE 4-1</w:t>
      </w:r>
    </w:p>
    <w:p w14:paraId="41BE1996" w14:textId="77777777" w:rsidR="004F5587" w:rsidRPr="005F22DA" w:rsidRDefault="004F5587" w:rsidP="004F5587">
      <w:pPr>
        <w:spacing w:after="100" w:line="240" w:lineRule="auto"/>
        <w:jc w:val="center"/>
        <w:rPr>
          <w:rFonts w:eastAsia="Times New Roman" w:cstheme="minorHAnsi"/>
          <w:sz w:val="24"/>
        </w:rPr>
      </w:pPr>
      <w:r w:rsidRPr="005F22DA">
        <w:rPr>
          <w:rFonts w:eastAsia="Times New Roman" w:cstheme="minorHAnsi"/>
          <w:b/>
          <w:sz w:val="24"/>
        </w:rPr>
        <w:t>Screening Modeling Allowable Emissions Thresholds (TPY)</w:t>
      </w:r>
    </w:p>
    <w:tbl>
      <w:tblPr>
        <w:tblW w:w="0" w:type="auto"/>
        <w:tblInd w:w="1170" w:type="dxa"/>
        <w:tblCellMar>
          <w:left w:w="10" w:type="dxa"/>
          <w:right w:w="10" w:type="dxa"/>
        </w:tblCellMar>
        <w:tblLook w:val="04A0" w:firstRow="1" w:lastRow="0" w:firstColumn="1" w:lastColumn="0" w:noHBand="0" w:noVBand="1"/>
      </w:tblPr>
      <w:tblGrid>
        <w:gridCol w:w="1701"/>
        <w:gridCol w:w="1522"/>
        <w:gridCol w:w="1523"/>
        <w:gridCol w:w="1522"/>
        <w:gridCol w:w="1434"/>
      </w:tblGrid>
      <w:tr w:rsidR="004F5587" w:rsidRPr="005F22DA" w14:paraId="224D7F4C"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4E861C4"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Pollutant</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1FB609D" w14:textId="796D9162" w:rsidR="004F5587" w:rsidRPr="005F22DA" w:rsidRDefault="004F5587" w:rsidP="008F2030">
            <w:pPr>
              <w:spacing w:after="100" w:line="240" w:lineRule="auto"/>
              <w:jc w:val="center"/>
              <w:rPr>
                <w:rFonts w:cstheme="minorHAnsi"/>
              </w:rPr>
            </w:pPr>
            <w:r w:rsidRPr="005F22DA">
              <w:rPr>
                <w:rFonts w:eastAsia="Times New Roman" w:cstheme="minorHAnsi"/>
                <w:sz w:val="24"/>
                <w:u w:val="single"/>
              </w:rPr>
              <w:t>&gt;</w:t>
            </w:r>
            <w:r w:rsidR="008F2030">
              <w:rPr>
                <w:rFonts w:eastAsia="Times New Roman" w:cstheme="minorHAnsi"/>
                <w:sz w:val="24"/>
                <w:u w:val="single"/>
              </w:rPr>
              <w:t xml:space="preserve"> </w:t>
            </w:r>
            <w:r w:rsidR="00A51A13" w:rsidRPr="008F2030">
              <w:rPr>
                <w:rFonts w:eastAsia="Times New Roman" w:cstheme="minorHAnsi"/>
                <w:sz w:val="24"/>
              </w:rPr>
              <w:t>0.5</w:t>
            </w:r>
            <w:r w:rsidRPr="005F22DA">
              <w:rPr>
                <w:rFonts w:eastAsia="Times New Roman" w:cstheme="minorHAnsi"/>
                <w:sz w:val="24"/>
              </w:rPr>
              <w:t xml:space="preserve"> &amp; &lt; </w:t>
            </w:r>
            <w:r w:rsidR="00E205D4">
              <w:rPr>
                <w:rFonts w:eastAsia="Times New Roman" w:cstheme="minorHAnsi"/>
                <w:sz w:val="24"/>
              </w:rPr>
              <w:t>10</w:t>
            </w: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3B63AA8"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u w:val="single"/>
              </w:rPr>
              <w:t>&gt;</w:t>
            </w:r>
            <w:r w:rsidRPr="005F22DA">
              <w:rPr>
                <w:rFonts w:eastAsia="Times New Roman" w:cstheme="minorHAnsi"/>
                <w:sz w:val="24"/>
              </w:rPr>
              <w:t xml:space="preserve"> 3 &amp; &lt;15</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0F50DC7" w14:textId="7B7EA0BB" w:rsidR="004F5587" w:rsidRPr="005F22DA" w:rsidRDefault="004F5587" w:rsidP="008F2030">
            <w:pPr>
              <w:spacing w:after="100" w:line="240" w:lineRule="auto"/>
              <w:jc w:val="center"/>
              <w:rPr>
                <w:rFonts w:cstheme="minorHAnsi"/>
              </w:rPr>
            </w:pPr>
            <w:r w:rsidRPr="005F22DA">
              <w:rPr>
                <w:rFonts w:eastAsia="Times New Roman" w:cstheme="minorHAnsi"/>
                <w:sz w:val="24"/>
                <w:u w:val="single"/>
              </w:rPr>
              <w:t>&gt;</w:t>
            </w:r>
            <w:r w:rsidRPr="005F22DA">
              <w:rPr>
                <w:rFonts w:eastAsia="Times New Roman" w:cstheme="minorHAnsi"/>
                <w:sz w:val="24"/>
              </w:rPr>
              <w:t xml:space="preserve"> </w:t>
            </w:r>
            <w:r w:rsidR="00E205D4">
              <w:rPr>
                <w:rFonts w:eastAsia="Times New Roman" w:cstheme="minorHAnsi"/>
                <w:sz w:val="24"/>
              </w:rPr>
              <w:t>1</w:t>
            </w:r>
            <w:r w:rsidRPr="005F22DA">
              <w:rPr>
                <w:rFonts w:eastAsia="Times New Roman" w:cstheme="minorHAnsi"/>
                <w:sz w:val="24"/>
              </w:rPr>
              <w:t xml:space="preserve"> &amp; &lt; 40</w:t>
            </w: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41E87D4"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u w:val="single"/>
              </w:rPr>
              <w:t>&gt;</w:t>
            </w:r>
            <w:r w:rsidRPr="005F22DA">
              <w:rPr>
                <w:rFonts w:eastAsia="Times New Roman" w:cstheme="minorHAnsi"/>
                <w:sz w:val="24"/>
              </w:rPr>
              <w:t xml:space="preserve"> 5 &amp; &lt; 100</w:t>
            </w:r>
          </w:p>
        </w:tc>
      </w:tr>
      <w:tr w:rsidR="004F5587" w:rsidRPr="005F22DA" w14:paraId="4C2736E6"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1951B1"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NO</w:t>
            </w:r>
            <w:r w:rsidRPr="005F22DA">
              <w:rPr>
                <w:rFonts w:eastAsia="Times New Roman" w:cstheme="minorHAnsi"/>
                <w:sz w:val="24"/>
                <w:vertAlign w:val="subscript"/>
              </w:rPr>
              <w:t>2</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05FA6EC" w14:textId="1D4ACC5E" w:rsidR="004F5587" w:rsidRPr="005F22DA" w:rsidRDefault="004F5587" w:rsidP="008F2030">
            <w:pPr>
              <w:spacing w:after="100" w:line="240" w:lineRule="auto"/>
              <w:jc w:val="center"/>
              <w:rPr>
                <w:rFonts w:eastAsia="Calibri" w:cstheme="minorHAnsi"/>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93B1B5" w14:textId="77777777" w:rsidR="004F5587" w:rsidRPr="005F22DA" w:rsidRDefault="004F5587" w:rsidP="008F2030">
            <w:pPr>
              <w:spacing w:after="100" w:line="240" w:lineRule="auto"/>
              <w:jc w:val="center"/>
              <w:rPr>
                <w:rFonts w:eastAsia="Calibri" w:cstheme="minorHAnsi"/>
              </w:rPr>
            </w:pP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53DE6" w14:textId="59B203DB" w:rsidR="004F5587" w:rsidRPr="005F22DA" w:rsidRDefault="00E205D4" w:rsidP="008F2030">
            <w:pPr>
              <w:spacing w:after="100" w:line="240" w:lineRule="auto"/>
              <w:jc w:val="center"/>
              <w:rPr>
                <w:rFonts w:cstheme="minorHAnsi"/>
              </w:rPr>
            </w:pPr>
            <w:r w:rsidRPr="008F2030">
              <w:rPr>
                <w:rFonts w:eastAsia="Calibri" w:cstheme="minorHAnsi"/>
                <w:sz w:val="24"/>
                <w:szCs w:val="24"/>
              </w:rPr>
              <w:t>X</w:t>
            </w: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495E5" w14:textId="77777777" w:rsidR="004F5587" w:rsidRPr="005F22DA" w:rsidRDefault="004F5587" w:rsidP="008F2030">
            <w:pPr>
              <w:spacing w:after="100" w:line="240" w:lineRule="auto"/>
              <w:jc w:val="center"/>
              <w:rPr>
                <w:rFonts w:eastAsia="Calibri" w:cstheme="minorHAnsi"/>
              </w:rPr>
            </w:pPr>
          </w:p>
        </w:tc>
      </w:tr>
      <w:tr w:rsidR="004F5587" w:rsidRPr="005F22DA" w14:paraId="54BF2957"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772050D"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SO</w:t>
            </w:r>
            <w:r w:rsidRPr="005F22DA">
              <w:rPr>
                <w:rFonts w:eastAsia="Times New Roman" w:cstheme="minorHAnsi"/>
                <w:sz w:val="24"/>
                <w:vertAlign w:val="subscript"/>
              </w:rPr>
              <w:t>2</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3881FE" w14:textId="77777777" w:rsidR="004F5587" w:rsidRPr="005F22DA" w:rsidRDefault="004F5587" w:rsidP="008F2030">
            <w:pPr>
              <w:spacing w:after="100" w:line="240" w:lineRule="auto"/>
              <w:jc w:val="center"/>
              <w:rPr>
                <w:rFonts w:eastAsia="Calibri" w:cstheme="minorHAnsi"/>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EDF9E93"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X</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35B2D" w14:textId="77777777" w:rsidR="004F5587" w:rsidRPr="005F22DA" w:rsidRDefault="004F5587" w:rsidP="008F2030">
            <w:pPr>
              <w:spacing w:after="100" w:line="240" w:lineRule="auto"/>
              <w:jc w:val="center"/>
              <w:rPr>
                <w:rFonts w:eastAsia="Calibri" w:cstheme="minorHAnsi"/>
              </w:rPr>
            </w:pP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5D84DF" w14:textId="77777777" w:rsidR="004F5587" w:rsidRPr="005F22DA" w:rsidRDefault="004F5587" w:rsidP="008F2030">
            <w:pPr>
              <w:spacing w:after="100" w:line="240" w:lineRule="auto"/>
              <w:jc w:val="center"/>
              <w:rPr>
                <w:rFonts w:eastAsia="Calibri" w:cstheme="minorHAnsi"/>
              </w:rPr>
            </w:pPr>
          </w:p>
        </w:tc>
      </w:tr>
      <w:tr w:rsidR="004F5587" w:rsidRPr="005F22DA" w14:paraId="0C2B5591"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4A1CFA3"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PM</w:t>
            </w:r>
            <w:r w:rsidRPr="005F22DA">
              <w:rPr>
                <w:rFonts w:eastAsia="Times New Roman" w:cstheme="minorHAnsi"/>
                <w:sz w:val="24"/>
                <w:vertAlign w:val="subscript"/>
              </w:rPr>
              <w:t>10</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EA782AD" w14:textId="77777777" w:rsidR="004F5587" w:rsidRPr="005F22DA" w:rsidRDefault="004F5587" w:rsidP="008F2030">
            <w:pPr>
              <w:spacing w:after="100" w:line="240" w:lineRule="auto"/>
              <w:jc w:val="center"/>
              <w:rPr>
                <w:rFonts w:eastAsia="Calibri" w:cstheme="minorHAnsi"/>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B4CCDE3"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X</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83494A" w14:textId="77777777" w:rsidR="004F5587" w:rsidRPr="005F22DA" w:rsidRDefault="004F5587" w:rsidP="008F2030">
            <w:pPr>
              <w:spacing w:after="100" w:line="240" w:lineRule="auto"/>
              <w:jc w:val="center"/>
              <w:rPr>
                <w:rFonts w:eastAsia="Calibri" w:cstheme="minorHAnsi"/>
              </w:rPr>
            </w:pP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F9531" w14:textId="77777777" w:rsidR="004F5587" w:rsidRPr="005F22DA" w:rsidRDefault="004F5587" w:rsidP="008F2030">
            <w:pPr>
              <w:spacing w:after="100" w:line="240" w:lineRule="auto"/>
              <w:jc w:val="center"/>
              <w:rPr>
                <w:rFonts w:eastAsia="Calibri" w:cstheme="minorHAnsi"/>
              </w:rPr>
            </w:pPr>
          </w:p>
        </w:tc>
      </w:tr>
      <w:tr w:rsidR="004F5587" w:rsidRPr="005F22DA" w14:paraId="6E90A048"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57E4A34"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PM</w:t>
            </w:r>
            <w:r w:rsidRPr="005F22DA">
              <w:rPr>
                <w:rFonts w:eastAsia="Times New Roman" w:cstheme="minorHAnsi"/>
                <w:sz w:val="24"/>
                <w:vertAlign w:val="subscript"/>
              </w:rPr>
              <w:t>2.5</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8F1A561"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X</w:t>
            </w: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96230B6" w14:textId="77777777" w:rsidR="004F5587" w:rsidRPr="005F22DA" w:rsidRDefault="004F5587" w:rsidP="008F2030">
            <w:pPr>
              <w:spacing w:after="100" w:line="240" w:lineRule="auto"/>
              <w:jc w:val="center"/>
              <w:rPr>
                <w:rFonts w:eastAsia="Calibri" w:cstheme="minorHAnsi"/>
              </w:rPr>
            </w:pP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391FC" w14:textId="77777777" w:rsidR="004F5587" w:rsidRPr="005F22DA" w:rsidRDefault="004F5587" w:rsidP="008F2030">
            <w:pPr>
              <w:spacing w:after="100" w:line="240" w:lineRule="auto"/>
              <w:jc w:val="center"/>
              <w:rPr>
                <w:rFonts w:eastAsia="Calibri" w:cstheme="minorHAnsi"/>
              </w:rPr>
            </w:pP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4182F" w14:textId="77777777" w:rsidR="004F5587" w:rsidRPr="005F22DA" w:rsidRDefault="004F5587" w:rsidP="008F2030">
            <w:pPr>
              <w:spacing w:after="100" w:line="240" w:lineRule="auto"/>
              <w:jc w:val="center"/>
              <w:rPr>
                <w:rFonts w:eastAsia="Calibri" w:cstheme="minorHAnsi"/>
              </w:rPr>
            </w:pPr>
          </w:p>
        </w:tc>
      </w:tr>
      <w:tr w:rsidR="004F5587" w:rsidRPr="005F22DA" w14:paraId="7AD5ED32"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D61E8DC"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CO</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F1FC1" w14:textId="77777777" w:rsidR="004F5587" w:rsidRPr="005F22DA" w:rsidRDefault="004F5587" w:rsidP="008F2030">
            <w:pPr>
              <w:spacing w:after="100" w:line="240" w:lineRule="auto"/>
              <w:jc w:val="center"/>
              <w:rPr>
                <w:rFonts w:eastAsia="Calibri" w:cstheme="minorHAnsi"/>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E2152A" w14:textId="77777777" w:rsidR="004F5587" w:rsidRPr="005F22DA" w:rsidRDefault="004F5587" w:rsidP="008F2030">
            <w:pPr>
              <w:spacing w:after="100" w:line="240" w:lineRule="auto"/>
              <w:jc w:val="center"/>
              <w:rPr>
                <w:rFonts w:eastAsia="Calibri" w:cstheme="minorHAnsi"/>
              </w:rPr>
            </w:pP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52D562" w14:textId="77777777" w:rsidR="004F5587" w:rsidRPr="005F22DA" w:rsidRDefault="004F5587" w:rsidP="008F2030">
            <w:pPr>
              <w:spacing w:after="100" w:line="240" w:lineRule="auto"/>
              <w:jc w:val="center"/>
              <w:rPr>
                <w:rFonts w:eastAsia="Calibri" w:cstheme="minorHAnsi"/>
              </w:rPr>
            </w:pP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0E45F"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X</w:t>
            </w:r>
          </w:p>
        </w:tc>
      </w:tr>
    </w:tbl>
    <w:p w14:paraId="2F67B762" w14:textId="40B935FA" w:rsidR="004F5587" w:rsidRPr="005F22DA" w:rsidRDefault="004F5587" w:rsidP="00E21EDD">
      <w:pPr>
        <w:spacing w:before="240"/>
        <w:rPr>
          <w:rFonts w:eastAsia="Calibri" w:cstheme="minorHAnsi"/>
        </w:rPr>
      </w:pPr>
      <w:r w:rsidRPr="005F22DA">
        <w:rPr>
          <w:rFonts w:eastAsia="Calibri" w:cstheme="minorHAnsi"/>
        </w:rPr>
        <w:t xml:space="preserve">Each source should be modeled at a minimum of 50, 75 and 100% loads when determining if maximum impacts are below the </w:t>
      </w:r>
      <w:r>
        <w:rPr>
          <w:rFonts w:eastAsia="Calibri" w:cstheme="minorHAnsi"/>
        </w:rPr>
        <w:t>CT DEEP</w:t>
      </w:r>
      <w:r w:rsidRPr="005F22DA">
        <w:rPr>
          <w:rFonts w:eastAsia="Calibri" w:cstheme="minorHAnsi"/>
        </w:rPr>
        <w:t>’s Screening Adverse Impact Levels (AILs). Sources within these emissions ranges can demonstrate compliance with the NAAQS and PSD increments by simply demonstrating that the maximum predicted impacts (without the addition of background concentrations) are below the AILs shown in Table 4-2.</w:t>
      </w:r>
    </w:p>
    <w:p w14:paraId="38F30724" w14:textId="77777777" w:rsidR="004F5587" w:rsidRPr="005F22DA" w:rsidRDefault="004F5587" w:rsidP="004F5587">
      <w:pPr>
        <w:spacing w:after="0" w:line="240" w:lineRule="auto"/>
        <w:jc w:val="center"/>
        <w:rPr>
          <w:rFonts w:eastAsia="Times New Roman" w:cstheme="minorHAnsi"/>
          <w:b/>
          <w:sz w:val="24"/>
        </w:rPr>
      </w:pPr>
      <w:r w:rsidRPr="005F22DA">
        <w:rPr>
          <w:rFonts w:eastAsia="Times New Roman" w:cstheme="minorHAnsi"/>
          <w:b/>
          <w:sz w:val="24"/>
        </w:rPr>
        <w:t>TABLE 4-2</w:t>
      </w:r>
    </w:p>
    <w:p w14:paraId="5E65B011" w14:textId="0C836388" w:rsidR="004F5587" w:rsidRPr="005F22DA" w:rsidRDefault="004F5587" w:rsidP="004F5587">
      <w:pPr>
        <w:spacing w:after="100" w:line="240" w:lineRule="auto"/>
        <w:jc w:val="center"/>
        <w:rPr>
          <w:rFonts w:eastAsia="Times New Roman" w:cstheme="minorHAnsi"/>
          <w:sz w:val="24"/>
        </w:rPr>
      </w:pPr>
      <w:r w:rsidRPr="005F22DA">
        <w:rPr>
          <w:rFonts w:eastAsia="Times New Roman" w:cstheme="minorHAnsi"/>
          <w:b/>
          <w:sz w:val="24"/>
        </w:rPr>
        <w:t>Adverse Impact Levels (µg/m</w:t>
      </w:r>
      <w:r w:rsidRPr="005F22DA">
        <w:rPr>
          <w:rFonts w:eastAsia="Times New Roman" w:cstheme="minorHAnsi"/>
          <w:b/>
          <w:sz w:val="24"/>
          <w:vertAlign w:val="superscript"/>
        </w:rPr>
        <w:t>3</w:t>
      </w:r>
      <w:r w:rsidRPr="005F22DA">
        <w:rPr>
          <w:rFonts w:eastAsia="Times New Roman" w:cstheme="minorHAnsi"/>
          <w:b/>
          <w:sz w:val="24"/>
        </w:rPr>
        <w:t>)</w:t>
      </w:r>
      <w:r w:rsidR="008F2030">
        <w:rPr>
          <w:rFonts w:eastAsia="Times New Roman" w:cstheme="minorHAnsi"/>
          <w:b/>
          <w:sz w:val="24"/>
        </w:rPr>
        <w:t xml:space="preserve"> </w:t>
      </w:r>
      <w:r w:rsidR="008F2030" w:rsidRPr="008F2030">
        <w:rPr>
          <w:rFonts w:eastAsia="Times New Roman" w:cstheme="minorHAnsi"/>
          <w:bCs/>
          <w:sz w:val="20"/>
          <w:szCs w:val="20"/>
          <w:vertAlign w:val="superscript"/>
        </w:rPr>
        <w:t>(</w:t>
      </w:r>
      <w:r w:rsidRPr="008F2030">
        <w:rPr>
          <w:rFonts w:eastAsia="Times New Roman" w:cstheme="minorHAnsi"/>
          <w:sz w:val="20"/>
          <w:szCs w:val="20"/>
          <w:vertAlign w:val="superscript"/>
        </w:rPr>
        <w:t>1</w:t>
      </w:r>
      <w:r w:rsidR="008F2030" w:rsidRPr="008F2030">
        <w:rPr>
          <w:rFonts w:eastAsia="Times New Roman" w:cstheme="minorHAnsi"/>
          <w:sz w:val="20"/>
          <w:szCs w:val="20"/>
          <w:vertAlign w:val="superscript"/>
        </w:rPr>
        <w:t>)</w:t>
      </w:r>
    </w:p>
    <w:tbl>
      <w:tblPr>
        <w:tblW w:w="0" w:type="auto"/>
        <w:tblInd w:w="1170" w:type="dxa"/>
        <w:tblCellMar>
          <w:left w:w="10" w:type="dxa"/>
          <w:right w:w="10" w:type="dxa"/>
        </w:tblCellMar>
        <w:tblLook w:val="04A0" w:firstRow="1" w:lastRow="0" w:firstColumn="1" w:lastColumn="0" w:noHBand="0" w:noVBand="1"/>
      </w:tblPr>
      <w:tblGrid>
        <w:gridCol w:w="1701"/>
        <w:gridCol w:w="1522"/>
        <w:gridCol w:w="1523"/>
        <w:gridCol w:w="1522"/>
        <w:gridCol w:w="1434"/>
      </w:tblGrid>
      <w:tr w:rsidR="004F5587" w:rsidRPr="005F22DA" w14:paraId="63F2BAFB"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E205AA8"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Pollutant</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A42E11C"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Annual average</w:t>
            </w: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2C2AF3D"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24-hour average</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1C9763F"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8-hour average</w:t>
            </w: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8CA4CD7"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1-hour average</w:t>
            </w:r>
          </w:p>
        </w:tc>
      </w:tr>
      <w:tr w:rsidR="004F5587" w:rsidRPr="005F22DA" w14:paraId="6C41F9D8"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1FC1815"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NO</w:t>
            </w:r>
            <w:r w:rsidRPr="005F22DA">
              <w:rPr>
                <w:rFonts w:eastAsia="Times New Roman" w:cstheme="minorHAnsi"/>
                <w:sz w:val="24"/>
                <w:vertAlign w:val="subscript"/>
              </w:rPr>
              <w:t>2</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F34C2DB"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12.5</w:t>
            </w: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434AF" w14:textId="77777777" w:rsidR="004F5587" w:rsidRPr="005F22DA" w:rsidRDefault="004F5587" w:rsidP="008F2030">
            <w:pPr>
              <w:spacing w:after="100" w:line="240" w:lineRule="auto"/>
              <w:jc w:val="center"/>
              <w:rPr>
                <w:rFonts w:eastAsia="Calibri" w:cstheme="minorHAnsi"/>
              </w:rPr>
            </w:pP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5F16B" w14:textId="77777777" w:rsidR="004F5587" w:rsidRPr="005F22DA" w:rsidRDefault="004F5587" w:rsidP="008F2030">
            <w:pPr>
              <w:spacing w:after="100" w:line="240" w:lineRule="auto"/>
              <w:jc w:val="center"/>
              <w:rPr>
                <w:rFonts w:eastAsia="Calibri" w:cstheme="minorHAnsi"/>
              </w:rPr>
            </w:pP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0B7986"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24</w:t>
            </w:r>
          </w:p>
        </w:tc>
      </w:tr>
      <w:tr w:rsidR="004F5587" w:rsidRPr="005F22DA" w14:paraId="0C68F869"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A1AD086"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SO</w:t>
            </w:r>
            <w:r w:rsidRPr="005F22DA">
              <w:rPr>
                <w:rFonts w:eastAsia="Times New Roman" w:cstheme="minorHAnsi"/>
                <w:sz w:val="24"/>
                <w:vertAlign w:val="subscript"/>
              </w:rPr>
              <w:t>2</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1BE84AA" w14:textId="77777777" w:rsidR="004F5587" w:rsidRPr="005F22DA" w:rsidRDefault="004F5587" w:rsidP="008F2030">
            <w:pPr>
              <w:spacing w:after="100" w:line="240" w:lineRule="auto"/>
              <w:jc w:val="center"/>
              <w:rPr>
                <w:rFonts w:eastAsia="Calibri" w:cstheme="minorHAnsi"/>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4F43B61" w14:textId="77777777" w:rsidR="004F5587" w:rsidRPr="005F22DA" w:rsidRDefault="004F5587" w:rsidP="008F2030">
            <w:pPr>
              <w:spacing w:after="100" w:line="240" w:lineRule="auto"/>
              <w:jc w:val="center"/>
              <w:rPr>
                <w:rFonts w:eastAsia="Calibri" w:cstheme="minorHAnsi"/>
              </w:rPr>
            </w:pP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6FF55" w14:textId="77777777" w:rsidR="004F5587" w:rsidRPr="005F22DA" w:rsidRDefault="004F5587" w:rsidP="008F2030">
            <w:pPr>
              <w:spacing w:after="100" w:line="240" w:lineRule="auto"/>
              <w:jc w:val="center"/>
              <w:rPr>
                <w:rFonts w:eastAsia="Calibri" w:cstheme="minorHAnsi"/>
              </w:rPr>
            </w:pP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CE4CE7"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25</w:t>
            </w:r>
          </w:p>
        </w:tc>
      </w:tr>
      <w:tr w:rsidR="004F5587" w:rsidRPr="005F22DA" w14:paraId="0F9E07B5"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20E9A5B"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PM</w:t>
            </w:r>
            <w:r w:rsidRPr="005F22DA">
              <w:rPr>
                <w:rFonts w:eastAsia="Times New Roman" w:cstheme="minorHAnsi"/>
                <w:sz w:val="24"/>
                <w:vertAlign w:val="subscript"/>
              </w:rPr>
              <w:t>10</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5445019" w14:textId="77777777" w:rsidR="004F5587" w:rsidRPr="005F22DA" w:rsidRDefault="004F5587" w:rsidP="008F2030">
            <w:pPr>
              <w:spacing w:after="100" w:line="240" w:lineRule="auto"/>
              <w:jc w:val="center"/>
              <w:rPr>
                <w:rFonts w:eastAsia="Calibri" w:cstheme="minorHAnsi"/>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8C1D461" w14:textId="63F2C128" w:rsidR="004F5587" w:rsidRPr="005F22DA" w:rsidRDefault="003D79A0" w:rsidP="008F2030">
            <w:pPr>
              <w:spacing w:after="100" w:line="240" w:lineRule="auto"/>
              <w:jc w:val="center"/>
              <w:rPr>
                <w:rFonts w:cstheme="minorHAnsi"/>
              </w:rPr>
            </w:pPr>
            <w:r>
              <w:rPr>
                <w:rFonts w:eastAsia="Times New Roman" w:cstheme="minorHAnsi"/>
                <w:sz w:val="24"/>
              </w:rPr>
              <w:t>15</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D6C79" w14:textId="77777777" w:rsidR="004F5587" w:rsidRPr="005F22DA" w:rsidRDefault="004F5587" w:rsidP="008F2030">
            <w:pPr>
              <w:spacing w:after="100" w:line="240" w:lineRule="auto"/>
              <w:jc w:val="center"/>
              <w:rPr>
                <w:rFonts w:eastAsia="Calibri" w:cstheme="minorHAnsi"/>
              </w:rPr>
            </w:pP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37329F" w14:textId="77777777" w:rsidR="004F5587" w:rsidRPr="005F22DA" w:rsidRDefault="004F5587" w:rsidP="008F2030">
            <w:pPr>
              <w:spacing w:after="100" w:line="240" w:lineRule="auto"/>
              <w:jc w:val="center"/>
              <w:rPr>
                <w:rFonts w:eastAsia="Calibri" w:cstheme="minorHAnsi"/>
              </w:rPr>
            </w:pPr>
          </w:p>
        </w:tc>
      </w:tr>
      <w:tr w:rsidR="004F5587" w:rsidRPr="005F22DA" w14:paraId="1EDC5C5B"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C9A6DAA"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PM</w:t>
            </w:r>
            <w:r w:rsidRPr="005F22DA">
              <w:rPr>
                <w:rFonts w:eastAsia="Times New Roman" w:cstheme="minorHAnsi"/>
                <w:sz w:val="24"/>
                <w:vertAlign w:val="subscript"/>
              </w:rPr>
              <w:t>2.5</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B6DF478" w14:textId="709213C0" w:rsidR="004F5587" w:rsidRPr="005F22DA" w:rsidRDefault="007034D2" w:rsidP="008F2030">
            <w:pPr>
              <w:spacing w:after="100" w:line="240" w:lineRule="auto"/>
              <w:jc w:val="center"/>
              <w:rPr>
                <w:rFonts w:cstheme="minorHAnsi"/>
              </w:rPr>
            </w:pPr>
            <w:r>
              <w:rPr>
                <w:rFonts w:eastAsia="Times New Roman" w:cstheme="minorHAnsi"/>
                <w:sz w:val="24"/>
              </w:rPr>
              <w:t>2.0</w:t>
            </w: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4484DAD" w14:textId="04D771AF" w:rsidR="004F5587" w:rsidRPr="005F22DA" w:rsidRDefault="004F5587" w:rsidP="008F2030">
            <w:pPr>
              <w:spacing w:after="100" w:line="240" w:lineRule="auto"/>
              <w:jc w:val="center"/>
              <w:rPr>
                <w:rFonts w:cstheme="minorHAnsi"/>
              </w:rPr>
            </w:pPr>
            <w:r w:rsidRPr="005F22DA">
              <w:rPr>
                <w:rFonts w:eastAsia="Times New Roman" w:cstheme="minorHAnsi"/>
                <w:sz w:val="24"/>
              </w:rPr>
              <w:t>4.</w:t>
            </w:r>
            <w:r w:rsidR="007034D2">
              <w:rPr>
                <w:rFonts w:eastAsia="Times New Roman" w:cstheme="minorHAnsi"/>
                <w:sz w:val="24"/>
              </w:rPr>
              <w:t>5</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8B486" w14:textId="77777777" w:rsidR="004F5587" w:rsidRPr="005F22DA" w:rsidRDefault="004F5587" w:rsidP="008F2030">
            <w:pPr>
              <w:spacing w:after="100" w:line="240" w:lineRule="auto"/>
              <w:jc w:val="center"/>
              <w:rPr>
                <w:rFonts w:eastAsia="Calibri" w:cstheme="minorHAnsi"/>
              </w:rPr>
            </w:pP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247E0" w14:textId="77777777" w:rsidR="004F5587" w:rsidRPr="005F22DA" w:rsidRDefault="004F5587" w:rsidP="008F2030">
            <w:pPr>
              <w:spacing w:after="100" w:line="240" w:lineRule="auto"/>
              <w:jc w:val="center"/>
              <w:rPr>
                <w:rFonts w:eastAsia="Calibri" w:cstheme="minorHAnsi"/>
              </w:rPr>
            </w:pPr>
          </w:p>
        </w:tc>
      </w:tr>
      <w:tr w:rsidR="004F5587" w:rsidRPr="005F22DA" w14:paraId="407C7C20" w14:textId="77777777" w:rsidTr="004F5587">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6CFCBD4"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CO</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B4367" w14:textId="77777777" w:rsidR="004F5587" w:rsidRPr="005F22DA" w:rsidRDefault="004F5587" w:rsidP="008F2030">
            <w:pPr>
              <w:spacing w:after="100" w:line="240" w:lineRule="auto"/>
              <w:jc w:val="center"/>
              <w:rPr>
                <w:rFonts w:eastAsia="Calibri" w:cstheme="minorHAnsi"/>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5B9E2" w14:textId="77777777" w:rsidR="004F5587" w:rsidRPr="005F22DA" w:rsidRDefault="004F5587" w:rsidP="008F2030">
            <w:pPr>
              <w:spacing w:after="100" w:line="240" w:lineRule="auto"/>
              <w:jc w:val="center"/>
              <w:rPr>
                <w:rFonts w:eastAsia="Calibri" w:cstheme="minorHAnsi"/>
              </w:rPr>
            </w:pPr>
          </w:p>
        </w:tc>
        <w:tc>
          <w:tcPr>
            <w:tcW w:w="1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418E97F" w14:textId="77777777" w:rsidR="004F5587" w:rsidRPr="005F22DA" w:rsidRDefault="004F5587" w:rsidP="008F2030">
            <w:pPr>
              <w:spacing w:after="100" w:line="240" w:lineRule="auto"/>
              <w:jc w:val="center"/>
              <w:rPr>
                <w:rFonts w:cstheme="minorHAnsi"/>
              </w:rPr>
            </w:pPr>
            <w:r w:rsidRPr="005F22DA">
              <w:rPr>
                <w:rFonts w:eastAsia="Times New Roman" w:cstheme="minorHAnsi"/>
                <w:sz w:val="24"/>
              </w:rPr>
              <w:t>1,250</w:t>
            </w:r>
          </w:p>
        </w:tc>
        <w:tc>
          <w:tcPr>
            <w:tcW w:w="14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2712B" w14:textId="77777777" w:rsidR="004F5587" w:rsidRPr="005F22DA" w:rsidRDefault="004F5587" w:rsidP="008F2030">
            <w:pPr>
              <w:spacing w:after="100" w:line="240" w:lineRule="auto"/>
              <w:jc w:val="center"/>
              <w:rPr>
                <w:rFonts w:eastAsia="Calibri" w:cstheme="minorHAnsi"/>
              </w:rPr>
            </w:pPr>
          </w:p>
        </w:tc>
      </w:tr>
    </w:tbl>
    <w:p w14:paraId="14B879F0" w14:textId="3D31D442" w:rsidR="007034D2" w:rsidRPr="00E21EDD" w:rsidRDefault="004F5587" w:rsidP="00E21EDD">
      <w:pPr>
        <w:tabs>
          <w:tab w:val="left" w:pos="900"/>
        </w:tabs>
        <w:spacing w:before="40" w:after="40" w:line="240" w:lineRule="auto"/>
        <w:ind w:left="900"/>
        <w:jc w:val="left"/>
        <w:rPr>
          <w:rFonts w:eastAsia="Times New Roman" w:cstheme="minorHAnsi"/>
          <w:color w:val="000000"/>
          <w:position w:val="10"/>
          <w:sz w:val="20"/>
        </w:rPr>
      </w:pPr>
      <w:r w:rsidRPr="00BB547A">
        <w:rPr>
          <w:rFonts w:eastAsia="Times New Roman" w:cstheme="minorHAnsi"/>
          <w:color w:val="000000"/>
          <w:position w:val="10"/>
          <w:sz w:val="20"/>
          <w:vertAlign w:val="superscript"/>
        </w:rPr>
        <w:t>1</w:t>
      </w:r>
      <w:r w:rsidR="00BB547A">
        <w:rPr>
          <w:rFonts w:eastAsia="Times New Roman" w:cstheme="minorHAnsi"/>
          <w:color w:val="000000"/>
          <w:position w:val="10"/>
          <w:sz w:val="20"/>
        </w:rPr>
        <w:t xml:space="preserve"> </w:t>
      </w:r>
      <w:r w:rsidRPr="00BB547A">
        <w:rPr>
          <w:rFonts w:eastAsia="Times New Roman" w:cstheme="minorHAnsi"/>
          <w:color w:val="000000"/>
          <w:position w:val="10"/>
          <w:sz w:val="20"/>
        </w:rPr>
        <w:t>CT</w:t>
      </w:r>
      <w:r>
        <w:rPr>
          <w:rFonts w:eastAsia="Times New Roman" w:cstheme="minorHAnsi"/>
          <w:color w:val="000000"/>
          <w:position w:val="10"/>
          <w:sz w:val="20"/>
        </w:rPr>
        <w:t xml:space="preserve"> DEEP</w:t>
      </w:r>
      <w:r w:rsidRPr="005F22DA">
        <w:rPr>
          <w:rFonts w:eastAsia="Times New Roman" w:cstheme="minorHAnsi"/>
          <w:color w:val="000000"/>
          <w:position w:val="10"/>
          <w:sz w:val="20"/>
        </w:rPr>
        <w:t>’s Screening Adverse Impacts Levels were originally derived from CTDEP’s 1979, 1991, and 1996 Stationary Source Stack Height Guideline, based on</w:t>
      </w:r>
      <w:r w:rsidR="009D6CAF">
        <w:rPr>
          <w:rFonts w:eastAsia="Times New Roman" w:cstheme="minorHAnsi"/>
          <w:color w:val="000000"/>
          <w:position w:val="10"/>
          <w:sz w:val="20"/>
        </w:rPr>
        <w:t xml:space="preserve"> half the PSD Increments, and </w:t>
      </w:r>
      <w:r w:rsidRPr="005F22DA">
        <w:rPr>
          <w:rFonts w:eastAsia="Times New Roman" w:cstheme="minorHAnsi"/>
          <w:color w:val="000000"/>
          <w:position w:val="10"/>
          <w:sz w:val="20"/>
        </w:rPr>
        <w:t>12.5% of the NAAQS</w:t>
      </w:r>
      <w:r w:rsidR="009D6CAF">
        <w:rPr>
          <w:rFonts w:eastAsia="Times New Roman" w:cstheme="minorHAnsi"/>
          <w:color w:val="000000"/>
          <w:position w:val="10"/>
          <w:sz w:val="20"/>
        </w:rPr>
        <w:t xml:space="preserve"> for 8-hour CO, 1-hour NO</w:t>
      </w:r>
      <w:r w:rsidR="009D6CAF" w:rsidRPr="009D6CAF">
        <w:rPr>
          <w:rFonts w:eastAsia="Times New Roman" w:cstheme="minorHAnsi"/>
          <w:color w:val="000000"/>
          <w:position w:val="10"/>
          <w:sz w:val="20"/>
          <w:vertAlign w:val="subscript"/>
        </w:rPr>
        <w:t>2</w:t>
      </w:r>
      <w:r w:rsidR="009D6CAF">
        <w:rPr>
          <w:rFonts w:eastAsia="Times New Roman" w:cstheme="minorHAnsi"/>
          <w:color w:val="000000"/>
          <w:position w:val="10"/>
          <w:sz w:val="20"/>
        </w:rPr>
        <w:t xml:space="preserve"> and SO</w:t>
      </w:r>
      <w:r w:rsidR="009D6CAF" w:rsidRPr="009D6CAF">
        <w:rPr>
          <w:rFonts w:eastAsia="Times New Roman" w:cstheme="minorHAnsi"/>
          <w:color w:val="000000"/>
          <w:position w:val="10"/>
          <w:sz w:val="20"/>
          <w:vertAlign w:val="subscript"/>
        </w:rPr>
        <w:t>2</w:t>
      </w:r>
      <w:r w:rsidR="009D6CAF">
        <w:rPr>
          <w:rFonts w:eastAsia="Times New Roman" w:cstheme="minorHAnsi"/>
          <w:color w:val="000000"/>
          <w:position w:val="10"/>
          <w:sz w:val="20"/>
        </w:rPr>
        <w:t>, respectively.</w:t>
      </w:r>
    </w:p>
    <w:p w14:paraId="70AC1379" w14:textId="6EE66DEE" w:rsidR="00265B68" w:rsidRDefault="00265B68" w:rsidP="008319A6">
      <w:r>
        <w:t>If a source cannot demonstrate compliance with the AILS, either reduce emissions below modeling thresholds or perform refined modeling to demonstrate compliance with the NAAQS and PSD increments</w:t>
      </w:r>
    </w:p>
    <w:p w14:paraId="2A1C6E9B" w14:textId="7662DA26" w:rsidR="004F5587" w:rsidRDefault="004F5587" w:rsidP="004849BD">
      <w:pPr>
        <w:pStyle w:val="Heading3"/>
        <w:rPr>
          <w:rFonts w:eastAsia="Tw Cen MT"/>
        </w:rPr>
      </w:pPr>
      <w:bookmarkStart w:id="25" w:name="_Toc147226880"/>
      <w:r>
        <w:rPr>
          <w:rFonts w:eastAsia="Tw Cen MT"/>
        </w:rPr>
        <w:t>Screening Modeling Inputs</w:t>
      </w:r>
      <w:bookmarkEnd w:id="25"/>
    </w:p>
    <w:p w14:paraId="1FCBEE94" w14:textId="683C6534" w:rsidR="004F5587" w:rsidRDefault="004F5587" w:rsidP="004F5587">
      <w:pPr>
        <w:rPr>
          <w:rFonts w:ascii="Calibri" w:eastAsia="Calibri" w:hAnsi="Calibri" w:cs="Calibri"/>
        </w:rPr>
      </w:pPr>
      <w:r>
        <w:rPr>
          <w:rFonts w:ascii="Calibri" w:eastAsia="Calibri" w:hAnsi="Calibri" w:cs="Calibri"/>
        </w:rPr>
        <w:t>NAAQS, PSD increments and SILs cover a variety of averaging periods depending on the air pollutant of concern. General input requirements can be found in the AERSCREEN user’s guide. Additional screening modeling guidance is discussed in the remainder of this section</w:t>
      </w:r>
      <w:r w:rsidR="005A2FFF">
        <w:rPr>
          <w:rFonts w:ascii="Calibri" w:eastAsia="Calibri" w:hAnsi="Calibri" w:cs="Calibri"/>
        </w:rPr>
        <w:t xml:space="preserve">. </w:t>
      </w:r>
    </w:p>
    <w:p w14:paraId="6D8C5511" w14:textId="77777777" w:rsidR="004F5587" w:rsidRDefault="004F5587" w:rsidP="004F5587">
      <w:pPr>
        <w:rPr>
          <w:rFonts w:ascii="Calibri" w:eastAsia="Calibri" w:hAnsi="Calibri" w:cs="Calibri"/>
        </w:rPr>
      </w:pPr>
      <w:r>
        <w:rPr>
          <w:rFonts w:ascii="Calibri" w:eastAsia="Calibri" w:hAnsi="Calibri" w:cs="Calibri"/>
          <w:b/>
        </w:rPr>
        <w:t>Emissions</w:t>
      </w:r>
    </w:p>
    <w:p w14:paraId="3BA85AF2" w14:textId="7B6A98AD" w:rsidR="004F5587" w:rsidRDefault="004F5587" w:rsidP="004F5587">
      <w:pPr>
        <w:rPr>
          <w:rFonts w:ascii="Calibri" w:eastAsia="Calibri" w:hAnsi="Calibri" w:cs="Calibri"/>
        </w:rPr>
      </w:pPr>
      <w:r>
        <w:rPr>
          <w:rFonts w:ascii="Calibri" w:eastAsia="Calibri" w:hAnsi="Calibri" w:cs="Calibri"/>
        </w:rPr>
        <w:lastRenderedPageBreak/>
        <w:t xml:space="preserve">A source should be modeled (at a minimum) at its 50, 75 and 100% proposed or modified maximum allowable hourly and annual emission rates with stack parameters corresponding to the modeled load rates </w:t>
      </w:r>
      <w:r w:rsidR="005A2FFF">
        <w:rPr>
          <w:rFonts w:ascii="Calibri" w:eastAsia="Calibri" w:hAnsi="Calibri" w:cs="Calibri"/>
        </w:rPr>
        <w:t>to</w:t>
      </w:r>
      <w:r>
        <w:rPr>
          <w:rFonts w:ascii="Calibri" w:eastAsia="Calibri" w:hAnsi="Calibri" w:cs="Calibri"/>
        </w:rPr>
        <w:t xml:space="preserve"> determine the maximum short-term screening impacts. Annual and daily emissions may be scaled as a surrogate for allowable hourly emissions to show compliance with short term standards for minor sources that will have federal and or state enforceable permit emission limits.</w:t>
      </w:r>
      <w:r w:rsidR="00F6243B">
        <w:rPr>
          <w:rFonts w:ascii="Calibri" w:eastAsia="Calibri" w:hAnsi="Calibri" w:cs="Calibri"/>
        </w:rPr>
        <w:t xml:space="preserve"> </w:t>
      </w:r>
      <w:r>
        <w:rPr>
          <w:rFonts w:ascii="Calibri" w:eastAsia="Calibri" w:hAnsi="Calibri" w:cs="Calibri"/>
        </w:rPr>
        <w:t>However, consultation with CT DEEP modeling staff is recommended prior to undertaking such minor source screening modeling using annual or daily emissions as a surrogate for maximum allowable hourly emissions.</w:t>
      </w:r>
    </w:p>
    <w:p w14:paraId="44B5D3CD" w14:textId="77777777" w:rsidR="004F5587" w:rsidRDefault="004F5587" w:rsidP="004F5587">
      <w:pPr>
        <w:rPr>
          <w:rFonts w:ascii="Calibri" w:eastAsia="Calibri" w:hAnsi="Calibri" w:cs="Calibri"/>
        </w:rPr>
      </w:pPr>
      <w:r>
        <w:rPr>
          <w:rFonts w:ascii="Calibri" w:eastAsia="Calibri" w:hAnsi="Calibri" w:cs="Calibri"/>
          <w:b/>
        </w:rPr>
        <w:t>Stack Parameters</w:t>
      </w:r>
    </w:p>
    <w:p w14:paraId="0E8B29CE" w14:textId="77777777" w:rsidR="004F5587" w:rsidRDefault="004F5587" w:rsidP="004F5587">
      <w:pPr>
        <w:rPr>
          <w:rFonts w:ascii="Calibri" w:eastAsia="Calibri" w:hAnsi="Calibri" w:cs="Calibri"/>
        </w:rPr>
      </w:pPr>
      <w:r>
        <w:rPr>
          <w:rFonts w:ascii="Calibri" w:eastAsia="Calibri" w:hAnsi="Calibri" w:cs="Calibri"/>
        </w:rPr>
        <w:t>The following inputs parameters must be used in AERSCREEN:</w:t>
      </w:r>
    </w:p>
    <w:p w14:paraId="0BCF7E82" w14:textId="004FD39C" w:rsidR="004F5587" w:rsidRDefault="005C0B68" w:rsidP="00F6243B">
      <w:pPr>
        <w:numPr>
          <w:ilvl w:val="0"/>
          <w:numId w:val="5"/>
        </w:numPr>
        <w:spacing w:after="0"/>
        <w:ind w:left="720" w:hanging="360"/>
        <w:rPr>
          <w:rFonts w:ascii="Calibri" w:eastAsia="Calibri" w:hAnsi="Calibri" w:cs="Calibri"/>
        </w:rPr>
      </w:pPr>
      <w:r>
        <w:rPr>
          <w:rFonts w:ascii="Calibri" w:eastAsia="Calibri" w:hAnsi="Calibri" w:cs="Calibri"/>
        </w:rPr>
        <w:t>S</w:t>
      </w:r>
      <w:r w:rsidR="004F5587">
        <w:rPr>
          <w:rFonts w:ascii="Calibri" w:eastAsia="Calibri" w:hAnsi="Calibri" w:cs="Calibri"/>
        </w:rPr>
        <w:t>tack location coordinates</w:t>
      </w:r>
      <w:r>
        <w:rPr>
          <w:rFonts w:ascii="Calibri" w:eastAsia="Calibri" w:hAnsi="Calibri" w:cs="Calibri"/>
        </w:rPr>
        <w:t>;</w:t>
      </w:r>
    </w:p>
    <w:p w14:paraId="3234FD52" w14:textId="6B23C34A" w:rsidR="004F5587" w:rsidRDefault="005C0B68" w:rsidP="00F6243B">
      <w:pPr>
        <w:numPr>
          <w:ilvl w:val="0"/>
          <w:numId w:val="5"/>
        </w:numPr>
        <w:spacing w:after="0"/>
        <w:ind w:left="720" w:hanging="360"/>
        <w:rPr>
          <w:rFonts w:ascii="Calibri" w:eastAsia="Calibri" w:hAnsi="Calibri" w:cs="Calibri"/>
        </w:rPr>
      </w:pPr>
      <w:r>
        <w:rPr>
          <w:rFonts w:ascii="Calibri" w:eastAsia="Calibri" w:hAnsi="Calibri" w:cs="Calibri"/>
        </w:rPr>
        <w:t>P</w:t>
      </w:r>
      <w:r w:rsidR="004F5587">
        <w:rPr>
          <w:rFonts w:ascii="Calibri" w:eastAsia="Calibri" w:hAnsi="Calibri" w:cs="Calibri"/>
        </w:rPr>
        <w:t>ollutant specific proposed/modified maximum allowable hourly emission rate</w:t>
      </w:r>
      <w:r>
        <w:rPr>
          <w:rFonts w:ascii="Calibri" w:eastAsia="Calibri" w:hAnsi="Calibri" w:cs="Calibri"/>
        </w:rPr>
        <w:t>;</w:t>
      </w:r>
    </w:p>
    <w:p w14:paraId="35E70031" w14:textId="05680835" w:rsidR="004F5587" w:rsidRDefault="005C0B68" w:rsidP="00F6243B">
      <w:pPr>
        <w:numPr>
          <w:ilvl w:val="0"/>
          <w:numId w:val="5"/>
        </w:numPr>
        <w:spacing w:after="0"/>
        <w:ind w:left="720" w:hanging="360"/>
        <w:rPr>
          <w:rFonts w:ascii="Calibri" w:eastAsia="Calibri" w:hAnsi="Calibri" w:cs="Calibri"/>
        </w:rPr>
      </w:pPr>
      <w:r>
        <w:rPr>
          <w:rFonts w:ascii="Calibri" w:eastAsia="Calibri" w:hAnsi="Calibri" w:cs="Calibri"/>
        </w:rPr>
        <w:t>S</w:t>
      </w:r>
      <w:r w:rsidR="004F5587">
        <w:rPr>
          <w:rFonts w:ascii="Calibri" w:eastAsia="Calibri" w:hAnsi="Calibri" w:cs="Calibri"/>
        </w:rPr>
        <w:t>tack base elevation (height of stack base above mean sea level)</w:t>
      </w:r>
      <w:r>
        <w:rPr>
          <w:rFonts w:ascii="Calibri" w:eastAsia="Calibri" w:hAnsi="Calibri" w:cs="Calibri"/>
        </w:rPr>
        <w:t>;</w:t>
      </w:r>
    </w:p>
    <w:p w14:paraId="79FF23A0" w14:textId="06AAD2B4" w:rsidR="004F5587" w:rsidRDefault="005C0B68" w:rsidP="00F6243B">
      <w:pPr>
        <w:numPr>
          <w:ilvl w:val="0"/>
          <w:numId w:val="5"/>
        </w:numPr>
        <w:spacing w:after="0"/>
        <w:ind w:left="720" w:hanging="360"/>
        <w:rPr>
          <w:rFonts w:ascii="Calibri" w:eastAsia="Calibri" w:hAnsi="Calibri" w:cs="Calibri"/>
        </w:rPr>
      </w:pPr>
      <w:r>
        <w:rPr>
          <w:rFonts w:ascii="Calibri" w:eastAsia="Calibri" w:hAnsi="Calibri" w:cs="Calibri"/>
        </w:rPr>
        <w:t>S</w:t>
      </w:r>
      <w:r w:rsidR="004F5587">
        <w:rPr>
          <w:rFonts w:ascii="Calibri" w:eastAsia="Calibri" w:hAnsi="Calibri" w:cs="Calibri"/>
        </w:rPr>
        <w:t>tack height - height of stack-top above stack base</w:t>
      </w:r>
      <w:r>
        <w:rPr>
          <w:rFonts w:ascii="Calibri" w:eastAsia="Calibri" w:hAnsi="Calibri" w:cs="Calibri"/>
        </w:rPr>
        <w:t>;</w:t>
      </w:r>
    </w:p>
    <w:p w14:paraId="4C06AA6F" w14:textId="64A45BAA" w:rsidR="004F5587" w:rsidRDefault="005C0B68" w:rsidP="00F6243B">
      <w:pPr>
        <w:numPr>
          <w:ilvl w:val="0"/>
          <w:numId w:val="5"/>
        </w:numPr>
        <w:spacing w:after="0"/>
        <w:ind w:left="720" w:hanging="360"/>
        <w:rPr>
          <w:rFonts w:ascii="Calibri" w:eastAsia="Calibri" w:hAnsi="Calibri" w:cs="Calibri"/>
        </w:rPr>
      </w:pPr>
      <w:r>
        <w:rPr>
          <w:rFonts w:ascii="Calibri" w:eastAsia="Calibri" w:hAnsi="Calibri" w:cs="Calibri"/>
        </w:rPr>
        <w:t>S</w:t>
      </w:r>
      <w:r w:rsidR="004F5587">
        <w:rPr>
          <w:rFonts w:ascii="Calibri" w:eastAsia="Calibri" w:hAnsi="Calibri" w:cs="Calibri"/>
        </w:rPr>
        <w:t>tack top exit temperature of effluent exiting the stack</w:t>
      </w:r>
      <w:r>
        <w:rPr>
          <w:rFonts w:ascii="Calibri" w:eastAsia="Calibri" w:hAnsi="Calibri" w:cs="Calibri"/>
        </w:rPr>
        <w:t>;</w:t>
      </w:r>
    </w:p>
    <w:p w14:paraId="36C54129" w14:textId="6BA781B7" w:rsidR="004F5587" w:rsidRDefault="005C0B68" w:rsidP="00F6243B">
      <w:pPr>
        <w:numPr>
          <w:ilvl w:val="0"/>
          <w:numId w:val="5"/>
        </w:numPr>
        <w:spacing w:after="0"/>
        <w:ind w:left="720" w:hanging="360"/>
        <w:rPr>
          <w:rFonts w:ascii="Calibri" w:eastAsia="Calibri" w:hAnsi="Calibri" w:cs="Calibri"/>
        </w:rPr>
      </w:pPr>
      <w:r>
        <w:rPr>
          <w:rFonts w:ascii="Calibri" w:eastAsia="Calibri" w:hAnsi="Calibri" w:cs="Calibri"/>
        </w:rPr>
        <w:t>S</w:t>
      </w:r>
      <w:r w:rsidR="004F5587">
        <w:rPr>
          <w:rFonts w:ascii="Calibri" w:eastAsia="Calibri" w:hAnsi="Calibri" w:cs="Calibri"/>
        </w:rPr>
        <w:t>tack gas velocity of effluent exiting the stack</w:t>
      </w:r>
      <w:r>
        <w:rPr>
          <w:rFonts w:ascii="Calibri" w:eastAsia="Calibri" w:hAnsi="Calibri" w:cs="Calibri"/>
        </w:rPr>
        <w:t>;</w:t>
      </w:r>
    </w:p>
    <w:p w14:paraId="48619DC2" w14:textId="3D3959A3" w:rsidR="004F5587" w:rsidRDefault="005C0B68" w:rsidP="00F6243B">
      <w:pPr>
        <w:numPr>
          <w:ilvl w:val="0"/>
          <w:numId w:val="5"/>
        </w:numPr>
        <w:spacing w:after="0"/>
        <w:ind w:left="720" w:hanging="360"/>
        <w:rPr>
          <w:rFonts w:ascii="Calibri" w:eastAsia="Calibri" w:hAnsi="Calibri" w:cs="Calibri"/>
        </w:rPr>
      </w:pPr>
      <w:r>
        <w:rPr>
          <w:rFonts w:ascii="Calibri" w:eastAsia="Calibri" w:hAnsi="Calibri" w:cs="Calibri"/>
        </w:rPr>
        <w:t>S</w:t>
      </w:r>
      <w:r w:rsidR="004F5587">
        <w:rPr>
          <w:rFonts w:ascii="Calibri" w:eastAsia="Calibri" w:hAnsi="Calibri" w:cs="Calibri"/>
        </w:rPr>
        <w:t>tack inside diameter at top of stack</w:t>
      </w:r>
      <w:r>
        <w:rPr>
          <w:rFonts w:ascii="Calibri" w:eastAsia="Calibri" w:hAnsi="Calibri" w:cs="Calibri"/>
        </w:rPr>
        <w:t>;</w:t>
      </w:r>
    </w:p>
    <w:p w14:paraId="63EDE97A" w14:textId="4E97E580" w:rsidR="004F5587" w:rsidRDefault="005C0B68" w:rsidP="00F6243B">
      <w:pPr>
        <w:numPr>
          <w:ilvl w:val="0"/>
          <w:numId w:val="5"/>
        </w:numPr>
        <w:spacing w:after="0"/>
        <w:ind w:left="720" w:hanging="360"/>
        <w:rPr>
          <w:rFonts w:ascii="Calibri" w:eastAsia="Calibri" w:hAnsi="Calibri" w:cs="Calibri"/>
        </w:rPr>
      </w:pPr>
      <w:r>
        <w:rPr>
          <w:rFonts w:ascii="Calibri" w:eastAsia="Calibri" w:hAnsi="Calibri" w:cs="Calibri"/>
        </w:rPr>
        <w:t>W</w:t>
      </w:r>
      <w:r w:rsidR="004F5587">
        <w:rPr>
          <w:rFonts w:ascii="Calibri" w:eastAsia="Calibri" w:hAnsi="Calibri" w:cs="Calibri"/>
        </w:rPr>
        <w:t>orst case building dimensions</w:t>
      </w:r>
      <w:r>
        <w:rPr>
          <w:rFonts w:ascii="Calibri" w:eastAsia="Calibri" w:hAnsi="Calibri" w:cs="Calibri"/>
        </w:rPr>
        <w:t>;</w:t>
      </w:r>
    </w:p>
    <w:p w14:paraId="3922CA88" w14:textId="344C4255" w:rsidR="004F5587" w:rsidRDefault="005C0B68" w:rsidP="00F6243B">
      <w:pPr>
        <w:numPr>
          <w:ilvl w:val="0"/>
          <w:numId w:val="5"/>
        </w:numPr>
        <w:spacing w:after="0"/>
        <w:ind w:left="720" w:hanging="360"/>
        <w:rPr>
          <w:rFonts w:ascii="Calibri" w:eastAsia="Calibri" w:hAnsi="Calibri" w:cs="Calibri"/>
        </w:rPr>
      </w:pPr>
      <w:r>
        <w:rPr>
          <w:rFonts w:ascii="Calibri" w:eastAsia="Calibri" w:hAnsi="Calibri" w:cs="Calibri"/>
        </w:rPr>
        <w:t>U</w:t>
      </w:r>
      <w:r w:rsidR="004F5587">
        <w:rPr>
          <w:rFonts w:ascii="Calibri" w:eastAsia="Calibri" w:hAnsi="Calibri" w:cs="Calibri"/>
        </w:rPr>
        <w:t>rban or rural option, and</w:t>
      </w:r>
      <w:r>
        <w:rPr>
          <w:rFonts w:ascii="Calibri" w:eastAsia="Calibri" w:hAnsi="Calibri" w:cs="Calibri"/>
        </w:rPr>
        <w:t>;</w:t>
      </w:r>
    </w:p>
    <w:p w14:paraId="4B863BE2" w14:textId="75981223" w:rsidR="00F6243B" w:rsidRPr="00F6243B" w:rsidRDefault="005C0B68" w:rsidP="00F6243B">
      <w:pPr>
        <w:numPr>
          <w:ilvl w:val="0"/>
          <w:numId w:val="5"/>
        </w:numPr>
        <w:ind w:left="720" w:hanging="360"/>
        <w:rPr>
          <w:rFonts w:ascii="Calibri" w:eastAsia="Calibri" w:hAnsi="Calibri" w:cs="Calibri"/>
          <w:b/>
        </w:rPr>
      </w:pPr>
      <w:r>
        <w:rPr>
          <w:rFonts w:ascii="Calibri" w:eastAsia="Calibri" w:hAnsi="Calibri" w:cs="Calibri"/>
        </w:rPr>
        <w:t>M</w:t>
      </w:r>
      <w:r w:rsidR="004F5587">
        <w:rPr>
          <w:rFonts w:ascii="Calibri" w:eastAsia="Calibri" w:hAnsi="Calibri" w:cs="Calibri"/>
        </w:rPr>
        <w:t>inimum distance to “ambient air</w:t>
      </w:r>
      <w:r w:rsidR="005A2FFF">
        <w:rPr>
          <w:rFonts w:ascii="Calibri" w:eastAsia="Calibri" w:hAnsi="Calibri" w:cs="Calibri"/>
        </w:rPr>
        <w:t>.”</w:t>
      </w:r>
    </w:p>
    <w:p w14:paraId="2623CE26" w14:textId="77777777" w:rsidR="004F5587" w:rsidRDefault="004F5587" w:rsidP="004F5587">
      <w:pPr>
        <w:rPr>
          <w:rFonts w:ascii="Calibri" w:eastAsia="Calibri" w:hAnsi="Calibri" w:cs="Calibri"/>
          <w:b/>
        </w:rPr>
      </w:pPr>
      <w:r>
        <w:rPr>
          <w:rFonts w:ascii="Calibri" w:eastAsia="Calibri" w:hAnsi="Calibri" w:cs="Calibri"/>
          <w:b/>
        </w:rPr>
        <w:t>Building Downwash/Cavity Considerations</w:t>
      </w:r>
    </w:p>
    <w:p w14:paraId="46A84086" w14:textId="584D86BE" w:rsidR="004F5587" w:rsidRDefault="004F5587" w:rsidP="004F5587">
      <w:pPr>
        <w:rPr>
          <w:rFonts w:ascii="Calibri" w:eastAsia="Calibri" w:hAnsi="Calibri" w:cs="Calibri"/>
        </w:rPr>
      </w:pPr>
      <w:r>
        <w:rPr>
          <w:rFonts w:ascii="Calibri" w:eastAsia="Calibri" w:hAnsi="Calibri" w:cs="Calibri"/>
        </w:rPr>
        <w:t xml:space="preserve">The presence of structures in the vicinity of a stack can influence the behavior of the plume emitted from that stack. </w:t>
      </w:r>
      <w:r w:rsidR="005A2FFF">
        <w:rPr>
          <w:rFonts w:ascii="Calibri" w:eastAsia="Calibri" w:hAnsi="Calibri" w:cs="Calibri"/>
        </w:rPr>
        <w:t>To</w:t>
      </w:r>
      <w:r>
        <w:rPr>
          <w:rFonts w:ascii="Calibri" w:eastAsia="Calibri" w:hAnsi="Calibri" w:cs="Calibri"/>
        </w:rPr>
        <w:t xml:space="preserve"> determine the extent to which local structures </w:t>
      </w:r>
      <w:r w:rsidR="00C24410">
        <w:rPr>
          <w:rFonts w:ascii="Calibri" w:eastAsia="Calibri" w:hAnsi="Calibri" w:cs="Calibri"/>
        </w:rPr>
        <w:t>affect</w:t>
      </w:r>
      <w:r>
        <w:rPr>
          <w:rFonts w:ascii="Calibri" w:eastAsia="Calibri" w:hAnsi="Calibri" w:cs="Calibri"/>
        </w:rPr>
        <w:t xml:space="preserve"> plume dispersion, a GEP stack height analysis must be performed. EPA’s “Guideline for the Determination of GEP Stack Height” (EPA, 1985) is the recommended procedure to assess whether emissions from a stack will be influenced by the turbulent wake zones created by nearby buildings or terrain. If a stack height is less than its formula GEP height, then the stack </w:t>
      </w:r>
      <w:r w:rsidR="005A2FFF">
        <w:rPr>
          <w:rFonts w:ascii="Calibri" w:eastAsia="Calibri" w:hAnsi="Calibri" w:cs="Calibri"/>
        </w:rPr>
        <w:t>is</w:t>
      </w:r>
      <w:r>
        <w:rPr>
          <w:rFonts w:ascii="Calibri" w:eastAsia="Calibri" w:hAnsi="Calibri" w:cs="Calibri"/>
        </w:rPr>
        <w:t xml:space="preserve"> subject to building downwash. There can be some building downwash even for stacks above formula GEP height. According to Appendix W section 7.2.2.1: “Since the definition of GEP stack height defines excessive concentrations as a maximum ground-level concentration due in whole or in part to downwash of at least 40 percent in excess of the maximum concentration without downwash, the potential air quality impacts associated with cavity and wake effects should also be considered for stacks that equal or exceed the EPA formula height for GEP.”</w:t>
      </w:r>
    </w:p>
    <w:p w14:paraId="3FC041C7" w14:textId="29DD8548" w:rsidR="004F5587" w:rsidRDefault="004F5587" w:rsidP="004F5587">
      <w:pPr>
        <w:rPr>
          <w:rFonts w:ascii="Calibri" w:eastAsia="Calibri" w:hAnsi="Calibri" w:cs="Calibri"/>
        </w:rPr>
      </w:pPr>
      <w:r>
        <w:rPr>
          <w:rFonts w:ascii="Calibri" w:eastAsia="Calibri" w:hAnsi="Calibri" w:cs="Calibri"/>
        </w:rPr>
        <w:t xml:space="preserve">The building height, the maximum horizontal dimension, and minimum horizontal dimension of all nearby buildings on or near the premise should be used in the AERSCREEN model. In some instances, it may be necessary to run the model multiple times for the same source (stack) </w:t>
      </w:r>
      <w:r w:rsidR="005A2FFF">
        <w:rPr>
          <w:rFonts w:ascii="Calibri" w:eastAsia="Calibri" w:hAnsi="Calibri" w:cs="Calibri"/>
        </w:rPr>
        <w:t>to</w:t>
      </w:r>
      <w:r>
        <w:rPr>
          <w:rFonts w:ascii="Calibri" w:eastAsia="Calibri" w:hAnsi="Calibri" w:cs="Calibri"/>
        </w:rPr>
        <w:t xml:space="preserve"> assess impacts from multiple structures on or off the premise. Building dimensions can be input to AERSCREEN individually in the interactive input stream of the model or EPA’s Building Profile Input Program for PRIME (BPIPPRIM) can be run to assist the user in complex building situations.</w:t>
      </w:r>
    </w:p>
    <w:p w14:paraId="4DA834C0" w14:textId="3BA8B767" w:rsidR="004F5587" w:rsidRDefault="004F5587" w:rsidP="004F5587">
      <w:pPr>
        <w:rPr>
          <w:rFonts w:ascii="Calibri" w:eastAsia="Calibri" w:hAnsi="Calibri" w:cs="Calibri"/>
        </w:rPr>
      </w:pPr>
      <w:r>
        <w:rPr>
          <w:rFonts w:ascii="Calibri" w:eastAsia="Calibri" w:hAnsi="Calibri" w:cs="Calibri"/>
        </w:rPr>
        <w:t xml:space="preserve">When documenting a GEP stack height analysis, a scaled plot plan of the facility that shows the location of each structure and stack, an aerial photograph, or a Google Earth/Map overhead snapshot view showing the facility layout must be included. The facility layout should also include: a north arrow, an accurate scale ruler, all structure heights, and horizontal dimensions, the facility </w:t>
      </w:r>
      <w:r w:rsidR="005A2FFF">
        <w:rPr>
          <w:rFonts w:ascii="Calibri" w:eastAsia="Calibri" w:hAnsi="Calibri" w:cs="Calibri"/>
        </w:rPr>
        <w:t>boundaries,</w:t>
      </w:r>
      <w:r>
        <w:rPr>
          <w:rFonts w:ascii="Calibri" w:eastAsia="Calibri" w:hAnsi="Calibri" w:cs="Calibri"/>
        </w:rPr>
        <w:t xml:space="preserve"> and any fenced areas in/around the facility. Great care must be taken with photo-copied plot plans, or Google Earth/Maps to ensure that the scale is accurate and correct across the entire plot plan.</w:t>
      </w:r>
    </w:p>
    <w:p w14:paraId="5290B293" w14:textId="77777777" w:rsidR="00E21EDD" w:rsidRDefault="00E21EDD" w:rsidP="004F5587">
      <w:pPr>
        <w:rPr>
          <w:rFonts w:ascii="Calibri" w:eastAsia="Calibri" w:hAnsi="Calibri" w:cs="Calibri"/>
        </w:rPr>
      </w:pPr>
    </w:p>
    <w:p w14:paraId="48FC9233" w14:textId="77777777" w:rsidR="004F5587" w:rsidRDefault="004F5587" w:rsidP="004F5587">
      <w:pPr>
        <w:rPr>
          <w:rFonts w:ascii="Calibri" w:eastAsia="Calibri" w:hAnsi="Calibri" w:cs="Calibri"/>
        </w:rPr>
      </w:pPr>
      <w:r>
        <w:rPr>
          <w:rFonts w:ascii="Calibri" w:eastAsia="Calibri" w:hAnsi="Calibri" w:cs="Calibri"/>
          <w:b/>
        </w:rPr>
        <w:lastRenderedPageBreak/>
        <w:t>Screening Receptors</w:t>
      </w:r>
    </w:p>
    <w:p w14:paraId="1C819050" w14:textId="1852C5A9" w:rsidR="004F5587" w:rsidRDefault="004F5587" w:rsidP="004F5587">
      <w:pPr>
        <w:rPr>
          <w:rFonts w:ascii="Calibri" w:eastAsia="Calibri" w:hAnsi="Calibri" w:cs="Calibri"/>
        </w:rPr>
      </w:pPr>
      <w:r>
        <w:rPr>
          <w:rFonts w:ascii="Calibri" w:eastAsia="Calibri" w:hAnsi="Calibri" w:cs="Calibri"/>
        </w:rPr>
        <w:t xml:space="preserve">Screening receptors should be selected based on detailed horizontal and vertical resolution of the terrain surrounding the source being modeled. When running AERSCREEN applicants must download terrain data in National Elevation Dataset (NED) in GeoTIFF format from the United States Geological Survey (USGS, 2002) for input to the model. The reference datum for NED is usually NAD83 and therefore the user must be extremely careful not to mix coordinate systems such as inputting the stack coordinates in NAD27 and generating receptors in NAD83. Note that AERSCREEN has default receptor spacing of 25m out to a user specified downwind distance (i.e., probe distance). The probe distance input to the model must be set to a distance that captures the maximum impact of the source being modeled. The recommended probe distance should be no less than 5km up to 10km. </w:t>
      </w:r>
      <w:r w:rsidR="005A2FFF">
        <w:rPr>
          <w:rFonts w:ascii="Calibri" w:eastAsia="Calibri" w:hAnsi="Calibri" w:cs="Calibri"/>
        </w:rPr>
        <w:t>If</w:t>
      </w:r>
      <w:r>
        <w:rPr>
          <w:rFonts w:ascii="Calibri" w:eastAsia="Calibri" w:hAnsi="Calibri" w:cs="Calibri"/>
        </w:rPr>
        <w:t xml:space="preserve"> screening modeling results show that concentrations are not decreasing at the outer extent of the receptor network at 10km, then the grid must be extended further until concentrations begin to decrease. Since AERSCREEN </w:t>
      </w:r>
      <w:r w:rsidR="005A2FFF">
        <w:rPr>
          <w:rFonts w:ascii="Calibri" w:eastAsia="Calibri" w:hAnsi="Calibri" w:cs="Calibri"/>
        </w:rPr>
        <w:t>can</w:t>
      </w:r>
      <w:r>
        <w:rPr>
          <w:rFonts w:ascii="Calibri" w:eastAsia="Calibri" w:hAnsi="Calibri" w:cs="Calibri"/>
        </w:rPr>
        <w:t xml:space="preserve"> determine if the stack effluent will be re-circulated into the part of the building wake known as the cavity zone, additional receptors must be placed inside the cavity zone, where the public has access defined as “ambient air</w:t>
      </w:r>
      <w:r w:rsidR="005A2FFF">
        <w:rPr>
          <w:rFonts w:ascii="Calibri" w:eastAsia="Calibri" w:hAnsi="Calibri" w:cs="Calibri"/>
        </w:rPr>
        <w:t>.”</w:t>
      </w:r>
      <w:r>
        <w:rPr>
          <w:rFonts w:ascii="Calibri" w:eastAsia="Calibri" w:hAnsi="Calibri" w:cs="Calibri"/>
        </w:rPr>
        <w:t xml:space="preserve"> This approach to developing a receptor network requires that the user accurately </w:t>
      </w:r>
      <w:r w:rsidR="00C24410">
        <w:rPr>
          <w:rFonts w:ascii="Calibri" w:eastAsia="Calibri" w:hAnsi="Calibri" w:cs="Calibri"/>
        </w:rPr>
        <w:t>represents</w:t>
      </w:r>
      <w:r>
        <w:rPr>
          <w:rFonts w:ascii="Calibri" w:eastAsia="Calibri" w:hAnsi="Calibri" w:cs="Calibri"/>
        </w:rPr>
        <w:t xml:space="preserve"> the location of the source and receptor network origin.</w:t>
      </w:r>
    </w:p>
    <w:p w14:paraId="318A021D" w14:textId="77777777" w:rsidR="004F5587" w:rsidRDefault="004F5587" w:rsidP="004F5587">
      <w:pPr>
        <w:rPr>
          <w:rFonts w:ascii="Calibri" w:eastAsia="Calibri" w:hAnsi="Calibri" w:cs="Calibri"/>
          <w:b/>
        </w:rPr>
      </w:pPr>
      <w:r>
        <w:rPr>
          <w:rFonts w:ascii="Calibri" w:eastAsia="Calibri" w:hAnsi="Calibri" w:cs="Calibri"/>
          <w:b/>
        </w:rPr>
        <w:t>Screening Meteorological Data</w:t>
      </w:r>
    </w:p>
    <w:p w14:paraId="167FDD17" w14:textId="5035D237" w:rsidR="004F5587" w:rsidRDefault="004F5587" w:rsidP="004F5587">
      <w:pPr>
        <w:rPr>
          <w:rFonts w:ascii="Calibri" w:eastAsia="Calibri" w:hAnsi="Calibri" w:cs="Calibri"/>
        </w:rPr>
      </w:pPr>
      <w:r>
        <w:rPr>
          <w:rFonts w:ascii="Calibri" w:eastAsia="Calibri" w:hAnsi="Calibri" w:cs="Calibri"/>
        </w:rPr>
        <w:t xml:space="preserve">Meteorological data is generated via inputs to the AERSCREEN model which in turn executes the MAKEMET program (a tool which generates a set of screening modeling met data based on user input data). It is recommended that the user specify the default values for minimum/maximum ambient temperatures, minimum wind speed, and anemometer height. In addition, the user should direct AERSCREEN to specify the default surface characteristics based on either the AERMET seasonal tables (which requires the user to specify a single dominant land use type in the area surrounding, the source being modeled, and average moisture type), or </w:t>
      </w:r>
      <w:r w:rsidR="00C24410">
        <w:rPr>
          <w:rFonts w:ascii="Calibri" w:eastAsia="Calibri" w:hAnsi="Calibri" w:cs="Calibri"/>
        </w:rPr>
        <w:t>site-specific</w:t>
      </w:r>
      <w:r>
        <w:rPr>
          <w:rFonts w:ascii="Calibri" w:eastAsia="Calibri" w:hAnsi="Calibri" w:cs="Calibri"/>
        </w:rPr>
        <w:t xml:space="preserve"> surface characteristics generated by AERSURFACE.</w:t>
      </w:r>
    </w:p>
    <w:p w14:paraId="42518AEE" w14:textId="77777777" w:rsidR="004F5587" w:rsidRDefault="004F5587" w:rsidP="00357E0C">
      <w:pPr>
        <w:pStyle w:val="Heading3"/>
        <w:rPr>
          <w:rFonts w:eastAsia="Tw Cen MT"/>
        </w:rPr>
      </w:pPr>
      <w:bookmarkStart w:id="26" w:name="_Toc147226881"/>
      <w:r>
        <w:rPr>
          <w:rFonts w:eastAsia="Tw Cen MT"/>
        </w:rPr>
        <w:t>Screening Modeling Results</w:t>
      </w:r>
      <w:bookmarkEnd w:id="26"/>
    </w:p>
    <w:p w14:paraId="4D4BA28E" w14:textId="4BC61DE4" w:rsidR="004F5587" w:rsidRDefault="004F5587" w:rsidP="004F5587">
      <w:pPr>
        <w:rPr>
          <w:rFonts w:ascii="Calibri" w:eastAsia="Calibri" w:hAnsi="Calibri" w:cs="Calibri"/>
        </w:rPr>
      </w:pPr>
      <w:r>
        <w:rPr>
          <w:rFonts w:ascii="Calibri" w:eastAsia="Calibri" w:hAnsi="Calibri" w:cs="Calibri"/>
        </w:rPr>
        <w:t>NAAQS, PSD increments and SILs cover a variety of averaging periods depending on the air pollutant in question. Therefore, EPA developed conversion factors to adjust screening modeling results to get the appropriate averaging time depending on the pollutant being modeled. In 2011, EPA revised and hard coded the screening conversion factors in AERSCREEN to produce 1-hour screening concentration values to get the appropriate averaging time depending on the pollutant being modeled shown Table 4-3</w:t>
      </w:r>
      <w:r w:rsidR="005A2FFF">
        <w:rPr>
          <w:rFonts w:ascii="Calibri" w:eastAsia="Calibri" w:hAnsi="Calibri" w:cs="Calibri"/>
        </w:rPr>
        <w:t xml:space="preserve">. </w:t>
      </w:r>
    </w:p>
    <w:p w14:paraId="69A7F01C" w14:textId="754B512D" w:rsidR="004F5587" w:rsidRPr="00D140C7" w:rsidRDefault="004F5587" w:rsidP="00BA5B09">
      <w:pPr>
        <w:spacing w:after="0"/>
        <w:jc w:val="center"/>
        <w:rPr>
          <w:rFonts w:eastAsia="Calibri" w:cstheme="minorHAnsi"/>
          <w:b/>
          <w:bCs/>
        </w:rPr>
      </w:pPr>
      <w:r w:rsidRPr="00D140C7">
        <w:rPr>
          <w:rFonts w:eastAsia="Calibri" w:cstheme="minorHAnsi"/>
          <w:b/>
          <w:bCs/>
        </w:rPr>
        <w:t>TABLE 4-3</w:t>
      </w:r>
    </w:p>
    <w:p w14:paraId="6AB349CC" w14:textId="77777777" w:rsidR="004F5587" w:rsidRPr="00665839" w:rsidRDefault="004F5587" w:rsidP="004F5587">
      <w:pPr>
        <w:spacing w:after="0" w:line="240" w:lineRule="auto"/>
        <w:jc w:val="center"/>
        <w:rPr>
          <w:rFonts w:eastAsia="Times New Roman" w:cstheme="minorHAnsi"/>
          <w:b/>
          <w:color w:val="000000"/>
          <w:sz w:val="24"/>
        </w:rPr>
      </w:pPr>
      <w:r w:rsidRPr="00665839">
        <w:rPr>
          <w:rFonts w:eastAsia="Times New Roman" w:cstheme="minorHAnsi"/>
          <w:b/>
          <w:color w:val="000000"/>
          <w:sz w:val="24"/>
        </w:rPr>
        <w:t>Screening Conversion Factors</w:t>
      </w:r>
    </w:p>
    <w:tbl>
      <w:tblPr>
        <w:tblW w:w="0" w:type="auto"/>
        <w:jc w:val="center"/>
        <w:tblCellMar>
          <w:left w:w="10" w:type="dxa"/>
          <w:right w:w="10" w:type="dxa"/>
        </w:tblCellMar>
        <w:tblLook w:val="04A0" w:firstRow="1" w:lastRow="0" w:firstColumn="1" w:lastColumn="0" w:noHBand="0" w:noVBand="1"/>
      </w:tblPr>
      <w:tblGrid>
        <w:gridCol w:w="2936"/>
        <w:gridCol w:w="1876"/>
      </w:tblGrid>
      <w:tr w:rsidR="004F5587" w:rsidRPr="00665839" w14:paraId="6BE2650A" w14:textId="77777777" w:rsidTr="00803347">
        <w:trPr>
          <w:jc w:val="center"/>
        </w:trPr>
        <w:tc>
          <w:tcPr>
            <w:tcW w:w="2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B22F8F6" w14:textId="77777777" w:rsidR="004F5587" w:rsidRPr="00665839" w:rsidRDefault="004F5587" w:rsidP="004F5587">
            <w:pPr>
              <w:spacing w:after="0" w:line="240" w:lineRule="auto"/>
              <w:jc w:val="center"/>
              <w:rPr>
                <w:rFonts w:cstheme="minorHAnsi"/>
              </w:rPr>
            </w:pPr>
            <w:r w:rsidRPr="00665839">
              <w:rPr>
                <w:rFonts w:eastAsia="Times New Roman" w:cstheme="minorHAnsi"/>
                <w:b/>
                <w:color w:val="000000"/>
                <w:sz w:val="24"/>
              </w:rPr>
              <w:t>1-Hour Conversion Factor</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7B5FE1D" w14:textId="77777777" w:rsidR="004F5587" w:rsidRPr="00665839" w:rsidRDefault="004F5587" w:rsidP="004F5587">
            <w:pPr>
              <w:spacing w:after="0" w:line="240" w:lineRule="auto"/>
              <w:jc w:val="center"/>
              <w:rPr>
                <w:rFonts w:cstheme="minorHAnsi"/>
              </w:rPr>
            </w:pPr>
            <w:r w:rsidRPr="00665839">
              <w:rPr>
                <w:rFonts w:eastAsia="Times New Roman" w:cstheme="minorHAnsi"/>
                <w:b/>
                <w:color w:val="000000"/>
                <w:sz w:val="24"/>
              </w:rPr>
              <w:t>Averaging Time</w:t>
            </w:r>
          </w:p>
        </w:tc>
      </w:tr>
      <w:tr w:rsidR="004F5587" w:rsidRPr="00665839" w14:paraId="43DBC129" w14:textId="77777777" w:rsidTr="00803347">
        <w:trPr>
          <w:cantSplit/>
          <w:jc w:val="center"/>
        </w:trPr>
        <w:tc>
          <w:tcPr>
            <w:tcW w:w="2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74B2DE9" w14:textId="77777777" w:rsidR="004F5587" w:rsidRPr="00665839" w:rsidRDefault="004F5587" w:rsidP="004F5587">
            <w:pPr>
              <w:spacing w:after="0" w:line="240" w:lineRule="auto"/>
              <w:jc w:val="center"/>
              <w:rPr>
                <w:rFonts w:cstheme="minorHAnsi"/>
              </w:rPr>
            </w:pPr>
            <w:r w:rsidRPr="00665839">
              <w:rPr>
                <w:rFonts w:eastAsia="Times New Roman" w:cstheme="minorHAnsi"/>
                <w:color w:val="000000"/>
                <w:sz w:val="24"/>
              </w:rPr>
              <w:t>1.0</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A2D3875" w14:textId="77777777" w:rsidR="004F5587" w:rsidRPr="00665839" w:rsidRDefault="004F5587" w:rsidP="004F5587">
            <w:pPr>
              <w:spacing w:after="0" w:line="240" w:lineRule="auto"/>
              <w:jc w:val="center"/>
              <w:rPr>
                <w:rFonts w:cstheme="minorHAnsi"/>
              </w:rPr>
            </w:pPr>
            <w:r w:rsidRPr="00665839">
              <w:rPr>
                <w:rFonts w:eastAsia="Times New Roman" w:cstheme="minorHAnsi"/>
                <w:color w:val="000000"/>
                <w:sz w:val="24"/>
              </w:rPr>
              <w:t>3-hour</w:t>
            </w:r>
          </w:p>
        </w:tc>
      </w:tr>
      <w:tr w:rsidR="004F5587" w:rsidRPr="00665839" w14:paraId="35B521C6" w14:textId="77777777" w:rsidTr="00803347">
        <w:trPr>
          <w:cantSplit/>
          <w:jc w:val="center"/>
        </w:trPr>
        <w:tc>
          <w:tcPr>
            <w:tcW w:w="2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8E27DF" w14:textId="77777777" w:rsidR="004F5587" w:rsidRPr="00665839" w:rsidRDefault="004F5587" w:rsidP="004F5587">
            <w:pPr>
              <w:spacing w:after="0" w:line="240" w:lineRule="auto"/>
              <w:jc w:val="center"/>
              <w:rPr>
                <w:rFonts w:cstheme="minorHAnsi"/>
              </w:rPr>
            </w:pPr>
            <w:r w:rsidRPr="00665839">
              <w:rPr>
                <w:rFonts w:eastAsia="Times New Roman" w:cstheme="minorHAnsi"/>
                <w:color w:val="000000"/>
                <w:sz w:val="24"/>
              </w:rPr>
              <w:t>0.9</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89C7805" w14:textId="77777777" w:rsidR="004F5587" w:rsidRPr="00665839" w:rsidRDefault="004F5587" w:rsidP="004F5587">
            <w:pPr>
              <w:spacing w:after="0" w:line="240" w:lineRule="auto"/>
              <w:jc w:val="center"/>
              <w:rPr>
                <w:rFonts w:cstheme="minorHAnsi"/>
              </w:rPr>
            </w:pPr>
            <w:r w:rsidRPr="00665839">
              <w:rPr>
                <w:rFonts w:eastAsia="Times New Roman" w:cstheme="minorHAnsi"/>
                <w:color w:val="000000"/>
                <w:sz w:val="24"/>
              </w:rPr>
              <w:t>8-hour</w:t>
            </w:r>
          </w:p>
        </w:tc>
      </w:tr>
      <w:tr w:rsidR="004F5587" w:rsidRPr="00665839" w14:paraId="03C808E6" w14:textId="77777777" w:rsidTr="00803347">
        <w:trPr>
          <w:cantSplit/>
          <w:jc w:val="center"/>
        </w:trPr>
        <w:tc>
          <w:tcPr>
            <w:tcW w:w="2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0DD6720" w14:textId="77777777" w:rsidR="004F5587" w:rsidRPr="00665839" w:rsidRDefault="004F5587" w:rsidP="004F5587">
            <w:pPr>
              <w:spacing w:after="0" w:line="240" w:lineRule="auto"/>
              <w:jc w:val="center"/>
              <w:rPr>
                <w:rFonts w:cstheme="minorHAnsi"/>
              </w:rPr>
            </w:pPr>
            <w:r w:rsidRPr="00665839">
              <w:rPr>
                <w:rFonts w:eastAsia="Times New Roman" w:cstheme="minorHAnsi"/>
                <w:color w:val="000000"/>
                <w:sz w:val="24"/>
              </w:rPr>
              <w:t>0.6</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8C9E0F6" w14:textId="77777777" w:rsidR="004F5587" w:rsidRPr="00665839" w:rsidRDefault="004F5587" w:rsidP="004F5587">
            <w:pPr>
              <w:spacing w:after="0" w:line="240" w:lineRule="auto"/>
              <w:jc w:val="center"/>
              <w:rPr>
                <w:rFonts w:cstheme="minorHAnsi"/>
              </w:rPr>
            </w:pPr>
            <w:r w:rsidRPr="00665839">
              <w:rPr>
                <w:rFonts w:eastAsia="Times New Roman" w:cstheme="minorHAnsi"/>
                <w:color w:val="000000"/>
                <w:sz w:val="24"/>
              </w:rPr>
              <w:t>24-hour</w:t>
            </w:r>
          </w:p>
        </w:tc>
      </w:tr>
      <w:tr w:rsidR="004F5587" w:rsidRPr="00665839" w14:paraId="4A0B8A2E" w14:textId="77777777" w:rsidTr="00803347">
        <w:trPr>
          <w:cantSplit/>
          <w:jc w:val="center"/>
        </w:trPr>
        <w:tc>
          <w:tcPr>
            <w:tcW w:w="2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C0A2218" w14:textId="77777777" w:rsidR="004F5587" w:rsidRPr="00665839" w:rsidRDefault="004F5587" w:rsidP="004F5587">
            <w:pPr>
              <w:spacing w:after="0" w:line="240" w:lineRule="auto"/>
              <w:jc w:val="center"/>
              <w:rPr>
                <w:rFonts w:cstheme="minorHAnsi"/>
              </w:rPr>
            </w:pPr>
            <w:r w:rsidRPr="00665839">
              <w:rPr>
                <w:rFonts w:eastAsia="Times New Roman" w:cstheme="minorHAnsi"/>
                <w:color w:val="000000"/>
                <w:sz w:val="24"/>
              </w:rPr>
              <w:t>0.1</w:t>
            </w:r>
          </w:p>
        </w:tc>
        <w:tc>
          <w:tcPr>
            <w:tcW w:w="1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BCAB196" w14:textId="77777777" w:rsidR="004F5587" w:rsidRPr="00665839" w:rsidRDefault="004F5587" w:rsidP="004F5587">
            <w:pPr>
              <w:spacing w:after="0" w:line="240" w:lineRule="auto"/>
              <w:jc w:val="center"/>
              <w:rPr>
                <w:rFonts w:cstheme="minorHAnsi"/>
              </w:rPr>
            </w:pPr>
            <w:r w:rsidRPr="00665839">
              <w:rPr>
                <w:rFonts w:eastAsia="Times New Roman" w:cstheme="minorHAnsi"/>
                <w:color w:val="000000"/>
                <w:sz w:val="24"/>
              </w:rPr>
              <w:t xml:space="preserve">Annual </w:t>
            </w:r>
          </w:p>
        </w:tc>
      </w:tr>
    </w:tbl>
    <w:p w14:paraId="7B7F2965" w14:textId="77777777" w:rsidR="004F5587" w:rsidRDefault="004F5587" w:rsidP="000451AC">
      <w:pPr>
        <w:spacing w:before="240"/>
        <w:rPr>
          <w:rFonts w:ascii="Calibri" w:eastAsia="Calibri" w:hAnsi="Calibri" w:cs="Calibri"/>
        </w:rPr>
      </w:pPr>
      <w:r>
        <w:rPr>
          <w:rFonts w:ascii="Calibri" w:eastAsia="Calibri" w:hAnsi="Calibri" w:cs="Calibri"/>
        </w:rPr>
        <w:t>AERSCREEN calculates impacts from single sources only. Therefore, if two or more sources are being permitted or modified on the same premise, conduct screening modeling for each source separately, add each sources’ impact, and then compare the total impacts to Table 4-2. If the impacts are less than the values shown in Table 4-2, then compliance with the NAAQS and PSD increments is demonstrated and refined modeling is not required.</w:t>
      </w:r>
    </w:p>
    <w:p w14:paraId="5863FB9B" w14:textId="77777777" w:rsidR="004F5587" w:rsidRDefault="004F5587" w:rsidP="008319A6">
      <w:pPr>
        <w:pStyle w:val="Heading2"/>
        <w:rPr>
          <w:rFonts w:eastAsia="Tw Cen MT"/>
        </w:rPr>
      </w:pPr>
      <w:bookmarkStart w:id="27" w:name="_Toc147226882"/>
      <w:r>
        <w:rPr>
          <w:rFonts w:eastAsia="Tw Cen MT"/>
        </w:rPr>
        <w:lastRenderedPageBreak/>
        <w:t>Refined Modeling Procedures</w:t>
      </w:r>
      <w:bookmarkEnd w:id="27"/>
    </w:p>
    <w:p w14:paraId="0EB84327" w14:textId="77777777" w:rsidR="004F5587" w:rsidRDefault="004F5587" w:rsidP="004F5587">
      <w:pPr>
        <w:rPr>
          <w:rFonts w:ascii="Calibri" w:eastAsia="Calibri" w:hAnsi="Calibri" w:cs="Calibri"/>
        </w:rPr>
      </w:pPr>
      <w:r>
        <w:rPr>
          <w:rFonts w:ascii="Calibri" w:eastAsia="Calibri" w:hAnsi="Calibri" w:cs="Calibri"/>
        </w:rPr>
        <w:t>Refined modeling is required for all sources whose allowable annual emissions are above the screening modeling emission ranges listed in Table 4-1. Refined modeling is also required for sources that cannot demonstrate compliance with the AILs listed in Table 4-2 in a screening analysis.</w:t>
      </w:r>
    </w:p>
    <w:p w14:paraId="4DF4DA7A" w14:textId="77777777" w:rsidR="004F5587" w:rsidRDefault="004F5587" w:rsidP="00357E0C">
      <w:pPr>
        <w:pStyle w:val="Heading3"/>
        <w:rPr>
          <w:rFonts w:eastAsia="Tw Cen MT"/>
        </w:rPr>
      </w:pPr>
      <w:bookmarkStart w:id="28" w:name="_Toc147226883"/>
      <w:r>
        <w:rPr>
          <w:rFonts w:eastAsia="Tw Cen MT"/>
        </w:rPr>
        <w:t>AERMOD Modeling System Programs</w:t>
      </w:r>
      <w:bookmarkEnd w:id="28"/>
    </w:p>
    <w:p w14:paraId="456E53B6" w14:textId="726C5B28" w:rsidR="004F5587" w:rsidRDefault="004F5587" w:rsidP="004F5587">
      <w:pPr>
        <w:rPr>
          <w:rFonts w:ascii="Calibri" w:eastAsia="Calibri" w:hAnsi="Calibri" w:cs="Calibri"/>
        </w:rPr>
      </w:pPr>
      <w:r>
        <w:rPr>
          <w:rFonts w:ascii="Calibri" w:eastAsia="Calibri" w:hAnsi="Calibri" w:cs="Calibri"/>
        </w:rPr>
        <w:t xml:space="preserve">AERMOD is an all-terrain steady-state dispersion model for determining ambient impacts within 50 km of a stationary source. AERMOD is based on Gaussian and planetary boundary layer concepts, and is designed for flat, simple, intermediate, and complex terrain applications. Therefore, applicants must use AERMOD if refined modeling is required </w:t>
      </w:r>
      <w:r w:rsidR="005A2FFF">
        <w:rPr>
          <w:rFonts w:ascii="Calibri" w:eastAsia="Calibri" w:hAnsi="Calibri" w:cs="Calibri"/>
        </w:rPr>
        <w:t>to</w:t>
      </w:r>
      <w:r>
        <w:rPr>
          <w:rFonts w:ascii="Calibri" w:eastAsia="Calibri" w:hAnsi="Calibri" w:cs="Calibri"/>
        </w:rPr>
        <w:t xml:space="preserve"> obtain a new or modified air permit in Connecticut. The AERMOD modeling system, including preprocessors, users’ guides, and associated guidance documents are available for download on </w:t>
      </w:r>
      <w:r w:rsidRPr="00665839">
        <w:t xml:space="preserve">EPA’s </w:t>
      </w:r>
      <w:hyperlink r:id="rId17" w:history="1">
        <w:r w:rsidRPr="00665839">
          <w:rPr>
            <w:rStyle w:val="Hyperlink"/>
          </w:rPr>
          <w:t>SCRAM</w:t>
        </w:r>
      </w:hyperlink>
      <w:r w:rsidRPr="00665839">
        <w:t xml:space="preserve"> website</w:t>
      </w:r>
      <w:r>
        <w:rPr>
          <w:rFonts w:ascii="Calibri" w:eastAsia="Calibri" w:hAnsi="Calibri" w:cs="Calibri"/>
        </w:rPr>
        <w:t>. The AERMOD modeling system includes the use of the following programs:</w:t>
      </w:r>
    </w:p>
    <w:p w14:paraId="348E3B58" w14:textId="77777777" w:rsidR="004F5587" w:rsidRDefault="004F5587" w:rsidP="002F73E8">
      <w:pPr>
        <w:numPr>
          <w:ilvl w:val="0"/>
          <w:numId w:val="6"/>
        </w:numPr>
        <w:spacing w:after="0"/>
        <w:ind w:left="720" w:hanging="360"/>
        <w:rPr>
          <w:rFonts w:ascii="Calibri" w:eastAsia="Calibri" w:hAnsi="Calibri" w:cs="Calibri"/>
          <w:color w:val="000000"/>
        </w:rPr>
      </w:pPr>
      <w:r>
        <w:rPr>
          <w:rFonts w:ascii="Calibri" w:eastAsia="Calibri" w:hAnsi="Calibri" w:cs="Calibri"/>
          <w:b/>
          <w:color w:val="000000"/>
        </w:rPr>
        <w:t>AERMOD</w:t>
      </w:r>
      <w:r>
        <w:rPr>
          <w:rFonts w:ascii="Calibri" w:eastAsia="Calibri" w:hAnsi="Calibri" w:cs="Calibri"/>
          <w:color w:val="000000"/>
        </w:rPr>
        <w:t xml:space="preserve"> – EPA’s preferred regulatory dispersion model requires that various user-selected parameters, as well as incorporates the input data created in BPIPPRIM, AERMAP and AERMET,</w:t>
      </w:r>
    </w:p>
    <w:p w14:paraId="4F876AB8" w14:textId="77777777" w:rsidR="004F5587" w:rsidRDefault="004F5587" w:rsidP="002F73E8">
      <w:pPr>
        <w:numPr>
          <w:ilvl w:val="0"/>
          <w:numId w:val="6"/>
        </w:numPr>
        <w:spacing w:after="0"/>
        <w:ind w:left="720" w:hanging="360"/>
        <w:rPr>
          <w:rFonts w:ascii="Calibri" w:eastAsia="Calibri" w:hAnsi="Calibri" w:cs="Calibri"/>
          <w:color w:val="000000"/>
        </w:rPr>
      </w:pPr>
      <w:r>
        <w:rPr>
          <w:rFonts w:ascii="Calibri" w:eastAsia="Calibri" w:hAnsi="Calibri" w:cs="Calibri"/>
          <w:b/>
          <w:color w:val="000000"/>
        </w:rPr>
        <w:t>AERMAP</w:t>
      </w:r>
      <w:r>
        <w:rPr>
          <w:rFonts w:ascii="Calibri" w:eastAsia="Calibri" w:hAnsi="Calibri" w:cs="Calibri"/>
          <w:color w:val="000000"/>
        </w:rPr>
        <w:t xml:space="preserve"> - terrain pre-processor for AERMOD,</w:t>
      </w:r>
    </w:p>
    <w:p w14:paraId="19160730" w14:textId="77777777" w:rsidR="004F5587" w:rsidRDefault="004F5587" w:rsidP="002F73E8">
      <w:pPr>
        <w:numPr>
          <w:ilvl w:val="0"/>
          <w:numId w:val="6"/>
        </w:numPr>
        <w:spacing w:after="0"/>
        <w:ind w:left="720" w:hanging="360"/>
        <w:rPr>
          <w:rFonts w:ascii="Calibri" w:eastAsia="Calibri" w:hAnsi="Calibri" w:cs="Calibri"/>
          <w:color w:val="000000"/>
        </w:rPr>
      </w:pPr>
      <w:r>
        <w:rPr>
          <w:rFonts w:ascii="Calibri" w:eastAsia="Calibri" w:hAnsi="Calibri" w:cs="Calibri"/>
          <w:b/>
          <w:color w:val="000000"/>
        </w:rPr>
        <w:t>AERMET</w:t>
      </w:r>
      <w:r>
        <w:rPr>
          <w:rFonts w:ascii="Calibri" w:eastAsia="Calibri" w:hAnsi="Calibri" w:cs="Calibri"/>
          <w:color w:val="000000"/>
        </w:rPr>
        <w:t xml:space="preserve"> - meteorological pre-processor for AERMOD, </w:t>
      </w:r>
    </w:p>
    <w:p w14:paraId="7D1E76F4" w14:textId="77777777" w:rsidR="004F5587" w:rsidRDefault="004F5587" w:rsidP="002F73E8">
      <w:pPr>
        <w:numPr>
          <w:ilvl w:val="0"/>
          <w:numId w:val="6"/>
        </w:numPr>
        <w:spacing w:after="0"/>
        <w:ind w:left="720" w:hanging="360"/>
        <w:rPr>
          <w:rFonts w:ascii="Calibri" w:eastAsia="Calibri" w:hAnsi="Calibri" w:cs="Calibri"/>
          <w:color w:val="000000"/>
        </w:rPr>
      </w:pPr>
      <w:r>
        <w:rPr>
          <w:rFonts w:ascii="Calibri" w:eastAsia="Calibri" w:hAnsi="Calibri" w:cs="Calibri"/>
          <w:b/>
          <w:color w:val="000000"/>
        </w:rPr>
        <w:t xml:space="preserve">AERMINUTE </w:t>
      </w:r>
      <w:r>
        <w:rPr>
          <w:rFonts w:ascii="Calibri" w:eastAsia="Calibri" w:hAnsi="Calibri" w:cs="Calibri"/>
          <w:color w:val="000000"/>
        </w:rPr>
        <w:t>- a program that uses 1-minute and 5-minute archived wind data to calculate hourly missing wind speed and direction for input to AERMET,</w:t>
      </w:r>
    </w:p>
    <w:p w14:paraId="14C66987" w14:textId="77777777" w:rsidR="004F5587" w:rsidRDefault="004F5587" w:rsidP="002F73E8">
      <w:pPr>
        <w:numPr>
          <w:ilvl w:val="0"/>
          <w:numId w:val="6"/>
        </w:numPr>
        <w:spacing w:after="0"/>
        <w:ind w:left="720" w:hanging="360"/>
        <w:rPr>
          <w:rFonts w:ascii="Calibri" w:eastAsia="Calibri" w:hAnsi="Calibri" w:cs="Calibri"/>
          <w:color w:val="000000"/>
        </w:rPr>
      </w:pPr>
      <w:r>
        <w:rPr>
          <w:rFonts w:ascii="Calibri" w:eastAsia="Calibri" w:hAnsi="Calibri" w:cs="Calibri"/>
          <w:b/>
          <w:color w:val="000000"/>
        </w:rPr>
        <w:t>AERSURFACE</w:t>
      </w:r>
      <w:r>
        <w:rPr>
          <w:rFonts w:ascii="Calibri" w:eastAsia="Calibri" w:hAnsi="Calibri" w:cs="Calibri"/>
          <w:color w:val="000000"/>
        </w:rPr>
        <w:t xml:space="preserve"> - utility program designed to calculate estimates of surface characteristics based on most recent Land Cover information for input to AERMET, and</w:t>
      </w:r>
    </w:p>
    <w:p w14:paraId="1ACB0F53" w14:textId="08BDBAD6" w:rsidR="004F5587" w:rsidRDefault="004F5587" w:rsidP="002F73E8">
      <w:pPr>
        <w:numPr>
          <w:ilvl w:val="0"/>
          <w:numId w:val="6"/>
        </w:numPr>
        <w:ind w:left="720" w:hanging="360"/>
        <w:rPr>
          <w:rFonts w:ascii="Calibri" w:eastAsia="Calibri" w:hAnsi="Calibri" w:cs="Calibri"/>
          <w:color w:val="000000"/>
        </w:rPr>
      </w:pPr>
      <w:r>
        <w:rPr>
          <w:rFonts w:ascii="Calibri" w:eastAsia="Calibri" w:hAnsi="Calibri" w:cs="Calibri"/>
          <w:b/>
        </w:rPr>
        <w:t>BPIPPRIM</w:t>
      </w:r>
      <w:r>
        <w:rPr>
          <w:rFonts w:ascii="Calibri" w:eastAsia="Calibri" w:hAnsi="Calibri" w:cs="Calibri"/>
        </w:rPr>
        <w:t xml:space="preserve"> - multi-building dimensions program incorporating the GEP technical procedures for PRIME downwash applications</w:t>
      </w:r>
      <w:r>
        <w:rPr>
          <w:rFonts w:ascii="Calibri" w:eastAsia="Calibri" w:hAnsi="Calibri" w:cs="Calibri"/>
          <w:color w:val="000000"/>
        </w:rPr>
        <w:t>.</w:t>
      </w:r>
    </w:p>
    <w:p w14:paraId="7B17AE3A" w14:textId="77777777" w:rsidR="004F5587" w:rsidRDefault="004F5587" w:rsidP="00357E0C">
      <w:pPr>
        <w:pStyle w:val="Heading3"/>
        <w:rPr>
          <w:rFonts w:eastAsia="Tw Cen MT"/>
        </w:rPr>
      </w:pPr>
      <w:bookmarkStart w:id="29" w:name="_Toc147226884"/>
      <w:r>
        <w:rPr>
          <w:rFonts w:eastAsia="Tw Cen MT"/>
        </w:rPr>
        <w:t>AERMOD Input Requirements</w:t>
      </w:r>
      <w:bookmarkEnd w:id="29"/>
    </w:p>
    <w:p w14:paraId="5683E76C" w14:textId="77777777" w:rsidR="004F5587" w:rsidRDefault="004F5587" w:rsidP="004F5587">
      <w:pPr>
        <w:rPr>
          <w:rFonts w:ascii="Calibri" w:eastAsia="Calibri" w:hAnsi="Calibri" w:cs="Calibri"/>
        </w:rPr>
      </w:pPr>
      <w:r>
        <w:rPr>
          <w:rFonts w:ascii="Calibri" w:eastAsia="Calibri" w:hAnsi="Calibri" w:cs="Calibri"/>
          <w:b/>
        </w:rPr>
        <w:t>AERMOD Control Options</w:t>
      </w:r>
    </w:p>
    <w:p w14:paraId="1D51F9EC" w14:textId="5B9D6139" w:rsidR="004F5587" w:rsidRDefault="004F5587" w:rsidP="004F5587">
      <w:pPr>
        <w:rPr>
          <w:rFonts w:ascii="Calibri" w:eastAsia="Calibri" w:hAnsi="Calibri" w:cs="Calibri"/>
        </w:rPr>
      </w:pPr>
      <w:r>
        <w:rPr>
          <w:rFonts w:ascii="Calibri" w:eastAsia="Calibri" w:hAnsi="Calibri" w:cs="Calibri"/>
        </w:rPr>
        <w:t>Control options contain the keywords that effectively execute AERMOD to calculate maximum impacts based on such options as urban/rural dispersion, type of pollutant, averaging times, and terrain height</w:t>
      </w:r>
      <w:r w:rsidR="005A2FFF">
        <w:rPr>
          <w:rFonts w:ascii="Calibri" w:eastAsia="Calibri" w:hAnsi="Calibri" w:cs="Calibri"/>
        </w:rPr>
        <w:t xml:space="preserve">. </w:t>
      </w:r>
      <w:r>
        <w:rPr>
          <w:rFonts w:ascii="Calibri" w:eastAsia="Calibri" w:hAnsi="Calibri" w:cs="Calibri"/>
        </w:rPr>
        <w:t xml:space="preserve">The following AERMOD default regulatory control options are required </w:t>
      </w:r>
      <w:r w:rsidR="005A2FFF">
        <w:rPr>
          <w:rFonts w:ascii="Calibri" w:eastAsia="Calibri" w:hAnsi="Calibri" w:cs="Calibri"/>
        </w:rPr>
        <w:t>to</w:t>
      </w:r>
      <w:r>
        <w:rPr>
          <w:rFonts w:ascii="Calibri" w:eastAsia="Calibri" w:hAnsi="Calibri" w:cs="Calibri"/>
        </w:rPr>
        <w:t xml:space="preserve"> demonstrate compliance with both the NAAQS and PSD increments:</w:t>
      </w:r>
    </w:p>
    <w:p w14:paraId="6CED847C" w14:textId="46E758F0" w:rsidR="004F5587" w:rsidRPr="008F2030" w:rsidRDefault="000451AC" w:rsidP="008F2030">
      <w:pPr>
        <w:pStyle w:val="ListParagraph"/>
        <w:numPr>
          <w:ilvl w:val="0"/>
          <w:numId w:val="34"/>
        </w:numPr>
        <w:spacing w:after="0"/>
        <w:rPr>
          <w:rFonts w:ascii="Calibri" w:eastAsia="Calibri" w:hAnsi="Calibri" w:cs="Calibri"/>
        </w:rPr>
      </w:pPr>
      <w:r w:rsidRPr="008F2030">
        <w:rPr>
          <w:rFonts w:ascii="Calibri" w:eastAsia="Calibri" w:hAnsi="Calibri" w:cs="Calibri"/>
        </w:rPr>
        <w:t>U</w:t>
      </w:r>
      <w:r w:rsidR="004F5587" w:rsidRPr="008F2030">
        <w:rPr>
          <w:rFonts w:ascii="Calibri" w:eastAsia="Calibri" w:hAnsi="Calibri" w:cs="Calibri"/>
        </w:rPr>
        <w:t xml:space="preserve">se elevated terrain </w:t>
      </w:r>
      <w:proofErr w:type="gramStart"/>
      <w:r w:rsidR="004F5587" w:rsidRPr="008F2030">
        <w:rPr>
          <w:rFonts w:ascii="Calibri" w:eastAsia="Calibri" w:hAnsi="Calibri" w:cs="Calibri"/>
        </w:rPr>
        <w:t>algorithms</w:t>
      </w:r>
      <w:r w:rsidRPr="008F2030">
        <w:rPr>
          <w:rFonts w:ascii="Calibri" w:eastAsia="Calibri" w:hAnsi="Calibri" w:cs="Calibri"/>
        </w:rPr>
        <w:t>;</w:t>
      </w:r>
      <w:proofErr w:type="gramEnd"/>
    </w:p>
    <w:p w14:paraId="6F007A43" w14:textId="5B23DAF0" w:rsidR="004F5587" w:rsidRPr="008F2030" w:rsidRDefault="000451AC" w:rsidP="008F2030">
      <w:pPr>
        <w:pStyle w:val="ListParagraph"/>
        <w:numPr>
          <w:ilvl w:val="0"/>
          <w:numId w:val="34"/>
        </w:numPr>
        <w:spacing w:after="0"/>
        <w:rPr>
          <w:rFonts w:ascii="Calibri" w:eastAsia="Calibri" w:hAnsi="Calibri" w:cs="Calibri"/>
        </w:rPr>
      </w:pPr>
      <w:r w:rsidRPr="008F2030">
        <w:rPr>
          <w:rFonts w:ascii="Calibri" w:eastAsia="Calibri" w:hAnsi="Calibri" w:cs="Calibri"/>
        </w:rPr>
        <w:t>S</w:t>
      </w:r>
      <w:r w:rsidR="004F5587" w:rsidRPr="008F2030">
        <w:rPr>
          <w:rFonts w:ascii="Calibri" w:eastAsia="Calibri" w:hAnsi="Calibri" w:cs="Calibri"/>
        </w:rPr>
        <w:t>tack-tip downwash (except for building downwash cases</w:t>
      </w:r>
      <w:proofErr w:type="gramStart"/>
      <w:r w:rsidR="004F5587" w:rsidRPr="008F2030">
        <w:rPr>
          <w:rFonts w:ascii="Calibri" w:eastAsia="Calibri" w:hAnsi="Calibri" w:cs="Calibri"/>
        </w:rPr>
        <w:t>)</w:t>
      </w:r>
      <w:r w:rsidRPr="008F2030">
        <w:rPr>
          <w:rFonts w:ascii="Calibri" w:eastAsia="Calibri" w:hAnsi="Calibri" w:cs="Calibri"/>
        </w:rPr>
        <w:t>;</w:t>
      </w:r>
      <w:proofErr w:type="gramEnd"/>
    </w:p>
    <w:p w14:paraId="005F47DE" w14:textId="688EADB6" w:rsidR="004F5587" w:rsidRPr="008F2030" w:rsidRDefault="000451AC" w:rsidP="008F2030">
      <w:pPr>
        <w:pStyle w:val="ListParagraph"/>
        <w:numPr>
          <w:ilvl w:val="0"/>
          <w:numId w:val="34"/>
        </w:numPr>
        <w:spacing w:after="0"/>
        <w:rPr>
          <w:rFonts w:ascii="Calibri" w:eastAsia="Calibri" w:hAnsi="Calibri" w:cs="Calibri"/>
        </w:rPr>
      </w:pPr>
      <w:r w:rsidRPr="008F2030">
        <w:rPr>
          <w:rFonts w:ascii="Calibri" w:eastAsia="Calibri" w:hAnsi="Calibri" w:cs="Calibri"/>
        </w:rPr>
        <w:t>C</w:t>
      </w:r>
      <w:r w:rsidR="004F5587" w:rsidRPr="008F2030">
        <w:rPr>
          <w:rFonts w:ascii="Calibri" w:eastAsia="Calibri" w:hAnsi="Calibri" w:cs="Calibri"/>
        </w:rPr>
        <w:t xml:space="preserve">alm and missing meteorological data processing </w:t>
      </w:r>
      <w:proofErr w:type="gramStart"/>
      <w:r w:rsidR="004F5587" w:rsidRPr="008F2030">
        <w:rPr>
          <w:rFonts w:ascii="Calibri" w:eastAsia="Calibri" w:hAnsi="Calibri" w:cs="Calibri"/>
        </w:rPr>
        <w:t>routines</w:t>
      </w:r>
      <w:r w:rsidRPr="008F2030">
        <w:rPr>
          <w:rFonts w:ascii="Calibri" w:eastAsia="Calibri" w:hAnsi="Calibri" w:cs="Calibri"/>
        </w:rPr>
        <w:t>;</w:t>
      </w:r>
      <w:proofErr w:type="gramEnd"/>
    </w:p>
    <w:p w14:paraId="6254B5EF" w14:textId="7278EE7F" w:rsidR="004F5587" w:rsidRPr="008F2030" w:rsidRDefault="000451AC" w:rsidP="008F2030">
      <w:pPr>
        <w:pStyle w:val="ListParagraph"/>
        <w:numPr>
          <w:ilvl w:val="0"/>
          <w:numId w:val="34"/>
        </w:numPr>
        <w:spacing w:after="0"/>
        <w:rPr>
          <w:rFonts w:ascii="Calibri" w:eastAsia="Calibri" w:hAnsi="Calibri" w:cs="Calibri"/>
        </w:rPr>
      </w:pPr>
      <w:r w:rsidRPr="008F2030">
        <w:rPr>
          <w:rFonts w:ascii="Calibri" w:eastAsia="Calibri" w:hAnsi="Calibri" w:cs="Calibri"/>
        </w:rPr>
        <w:t>U</w:t>
      </w:r>
      <w:r w:rsidR="004F5587" w:rsidRPr="008F2030">
        <w:rPr>
          <w:rFonts w:ascii="Calibri" w:eastAsia="Calibri" w:hAnsi="Calibri" w:cs="Calibri"/>
        </w:rPr>
        <w:t>se of a 4-hour half-life for exponential decay of SO</w:t>
      </w:r>
      <w:r w:rsidR="004F5587" w:rsidRPr="008F2030">
        <w:rPr>
          <w:rFonts w:ascii="Calibri" w:eastAsia="Calibri" w:hAnsi="Calibri" w:cs="Calibri"/>
          <w:vertAlign w:val="subscript"/>
        </w:rPr>
        <w:t>2</w:t>
      </w:r>
      <w:r w:rsidR="004F5587" w:rsidRPr="008F2030">
        <w:rPr>
          <w:rFonts w:ascii="Calibri" w:eastAsia="Calibri" w:hAnsi="Calibri" w:cs="Calibri"/>
        </w:rPr>
        <w:t xml:space="preserve"> (for urban sources only</w:t>
      </w:r>
      <w:proofErr w:type="gramStart"/>
      <w:r w:rsidR="004F5587" w:rsidRPr="008F2030">
        <w:rPr>
          <w:rFonts w:ascii="Calibri" w:eastAsia="Calibri" w:hAnsi="Calibri" w:cs="Calibri"/>
        </w:rPr>
        <w:t>)</w:t>
      </w:r>
      <w:r w:rsidRPr="008F2030">
        <w:rPr>
          <w:rFonts w:ascii="Calibri" w:eastAsia="Calibri" w:hAnsi="Calibri" w:cs="Calibri"/>
        </w:rPr>
        <w:t>;</w:t>
      </w:r>
      <w:proofErr w:type="gramEnd"/>
    </w:p>
    <w:p w14:paraId="66D48B0F" w14:textId="16FD6CC3" w:rsidR="004F5587" w:rsidRPr="008F2030" w:rsidRDefault="000451AC" w:rsidP="008F2030">
      <w:pPr>
        <w:pStyle w:val="ListParagraph"/>
        <w:numPr>
          <w:ilvl w:val="0"/>
          <w:numId w:val="34"/>
        </w:numPr>
        <w:spacing w:after="0"/>
        <w:rPr>
          <w:rFonts w:ascii="Calibri" w:eastAsia="Calibri" w:hAnsi="Calibri" w:cs="Calibri"/>
        </w:rPr>
      </w:pPr>
      <w:r w:rsidRPr="008F2030">
        <w:rPr>
          <w:rFonts w:ascii="Calibri" w:eastAsia="Calibri" w:hAnsi="Calibri" w:cs="Calibri"/>
        </w:rPr>
        <w:t>V</w:t>
      </w:r>
      <w:r w:rsidR="004F5587" w:rsidRPr="008F2030">
        <w:rPr>
          <w:rFonts w:ascii="Calibri" w:eastAsia="Calibri" w:hAnsi="Calibri" w:cs="Calibri"/>
        </w:rPr>
        <w:t xml:space="preserve">ertical potential temperature </w:t>
      </w:r>
      <w:proofErr w:type="gramStart"/>
      <w:r w:rsidR="004F5587" w:rsidRPr="008F2030">
        <w:rPr>
          <w:rFonts w:ascii="Calibri" w:eastAsia="Calibri" w:hAnsi="Calibri" w:cs="Calibri"/>
        </w:rPr>
        <w:t>gradients</w:t>
      </w:r>
      <w:r w:rsidRPr="008F2030">
        <w:rPr>
          <w:rFonts w:ascii="Calibri" w:eastAsia="Calibri" w:hAnsi="Calibri" w:cs="Calibri"/>
        </w:rPr>
        <w:t>;</w:t>
      </w:r>
      <w:proofErr w:type="gramEnd"/>
    </w:p>
    <w:p w14:paraId="02E7A2A2" w14:textId="4CFF9B0B" w:rsidR="004F5587" w:rsidRPr="008F2030" w:rsidRDefault="004F5587" w:rsidP="008F2030">
      <w:pPr>
        <w:pStyle w:val="ListParagraph"/>
        <w:numPr>
          <w:ilvl w:val="0"/>
          <w:numId w:val="34"/>
        </w:numPr>
        <w:spacing w:after="0"/>
        <w:rPr>
          <w:rFonts w:ascii="Calibri" w:eastAsia="Calibri" w:hAnsi="Calibri" w:cs="Calibri"/>
        </w:rPr>
      </w:pPr>
      <w:r w:rsidRPr="008F2030">
        <w:rPr>
          <w:rFonts w:ascii="Calibri" w:eastAsia="Calibri" w:hAnsi="Calibri" w:cs="Calibri"/>
        </w:rPr>
        <w:t>ARM2 for 1-Hour and Annual NO</w:t>
      </w:r>
      <w:r w:rsidRPr="008F2030">
        <w:rPr>
          <w:rFonts w:ascii="Calibri" w:eastAsia="Calibri" w:hAnsi="Calibri" w:cs="Calibri"/>
          <w:vertAlign w:val="subscript"/>
        </w:rPr>
        <w:t>2</w:t>
      </w:r>
      <w:r w:rsidRPr="008F2030">
        <w:rPr>
          <w:rFonts w:ascii="Calibri" w:eastAsia="Calibri" w:hAnsi="Calibri" w:cs="Calibri"/>
        </w:rPr>
        <w:t xml:space="preserve"> modeling</w:t>
      </w:r>
      <w:r w:rsidR="000451AC" w:rsidRPr="008F2030">
        <w:rPr>
          <w:rFonts w:ascii="Calibri" w:eastAsia="Calibri" w:hAnsi="Calibri" w:cs="Calibri"/>
        </w:rPr>
        <w:t xml:space="preserve">; </w:t>
      </w:r>
      <w:r w:rsidRPr="008F2030">
        <w:rPr>
          <w:rFonts w:ascii="Calibri" w:eastAsia="Calibri" w:hAnsi="Calibri" w:cs="Calibri"/>
        </w:rPr>
        <w:t>and</w:t>
      </w:r>
    </w:p>
    <w:p w14:paraId="0B56CEB6" w14:textId="77777777" w:rsidR="004F5587" w:rsidRPr="008F2030" w:rsidRDefault="004F5587" w:rsidP="008F2030">
      <w:pPr>
        <w:pStyle w:val="ListParagraph"/>
        <w:numPr>
          <w:ilvl w:val="0"/>
          <w:numId w:val="34"/>
        </w:numPr>
        <w:rPr>
          <w:rFonts w:ascii="Calibri" w:eastAsia="Calibri" w:hAnsi="Calibri" w:cs="Calibri"/>
        </w:rPr>
      </w:pPr>
      <w:r w:rsidRPr="008F2030">
        <w:rPr>
          <w:rFonts w:ascii="Calibri" w:eastAsia="Calibri" w:hAnsi="Calibri" w:cs="Calibri"/>
        </w:rPr>
        <w:t>Urban/rural dispersion coefficients</w:t>
      </w:r>
    </w:p>
    <w:p w14:paraId="1C44D5E4" w14:textId="1B25D291" w:rsidR="004F5587" w:rsidRDefault="004F5587" w:rsidP="004F5587">
      <w:pPr>
        <w:rPr>
          <w:rFonts w:ascii="Calibri" w:eastAsia="Calibri" w:hAnsi="Calibri" w:cs="Calibri"/>
        </w:rPr>
      </w:pPr>
      <w:r>
        <w:rPr>
          <w:rFonts w:ascii="Calibri" w:eastAsia="Calibri" w:hAnsi="Calibri" w:cs="Calibri"/>
        </w:rPr>
        <w:t>Section 5.1 of the AERMOD Implementation Guide, and Section 7.2.1.1 of EPA’s latest Guideline on Air Quality Models in Appendix W, should be followed to determine urban/rural dispersion coefficients based on land use</w:t>
      </w:r>
      <w:r w:rsidR="00B94405">
        <w:rPr>
          <w:rFonts w:ascii="Calibri" w:eastAsia="Calibri" w:hAnsi="Calibri" w:cs="Calibri"/>
        </w:rPr>
        <w:t xml:space="preserve">, total population of the urban modeling domain, </w:t>
      </w:r>
      <w:r>
        <w:rPr>
          <w:rFonts w:ascii="Calibri" w:eastAsia="Calibri" w:hAnsi="Calibri" w:cs="Calibri"/>
        </w:rPr>
        <w:t>and or population density within 3</w:t>
      </w:r>
      <w:r w:rsidR="008F2030">
        <w:rPr>
          <w:rFonts w:ascii="Calibri" w:eastAsia="Calibri" w:hAnsi="Calibri" w:cs="Calibri"/>
        </w:rPr>
        <w:t xml:space="preserve"> </w:t>
      </w:r>
      <w:r>
        <w:rPr>
          <w:rFonts w:ascii="Calibri" w:eastAsia="Calibri" w:hAnsi="Calibri" w:cs="Calibri"/>
        </w:rPr>
        <w:t xml:space="preserve">km around the subject source. The preferred method to determine urban/rural dispersion coefficients is based on total population across the </w:t>
      </w:r>
      <w:r w:rsidR="00B94405">
        <w:rPr>
          <w:rFonts w:ascii="Calibri" w:eastAsia="Calibri" w:hAnsi="Calibri" w:cs="Calibri"/>
        </w:rPr>
        <w:t xml:space="preserve">urban </w:t>
      </w:r>
      <w:r>
        <w:rPr>
          <w:rFonts w:ascii="Calibri" w:eastAsia="Calibri" w:hAnsi="Calibri" w:cs="Calibri"/>
        </w:rPr>
        <w:t xml:space="preserve">modeling domain along Connecticut’s coastline due to </w:t>
      </w:r>
      <w:r w:rsidR="005A2FFF">
        <w:rPr>
          <w:rFonts w:ascii="Calibri" w:eastAsia="Calibri" w:hAnsi="Calibri" w:cs="Calibri"/>
        </w:rPr>
        <w:t>proximity</w:t>
      </w:r>
      <w:r>
        <w:rPr>
          <w:rFonts w:ascii="Calibri" w:eastAsia="Calibri" w:hAnsi="Calibri" w:cs="Calibri"/>
        </w:rPr>
        <w:t xml:space="preserve"> to Long Island Sound.</w:t>
      </w:r>
    </w:p>
    <w:p w14:paraId="18B7C080" w14:textId="5C60B109" w:rsidR="00E21EDD" w:rsidRDefault="00E21EDD" w:rsidP="004F5587">
      <w:pPr>
        <w:rPr>
          <w:rFonts w:ascii="Calibri" w:eastAsia="Calibri" w:hAnsi="Calibri" w:cs="Calibri"/>
        </w:rPr>
      </w:pPr>
    </w:p>
    <w:p w14:paraId="17CE5806" w14:textId="77777777" w:rsidR="004F5587" w:rsidRDefault="004F5587" w:rsidP="004F5587">
      <w:pPr>
        <w:rPr>
          <w:rFonts w:ascii="Calibri" w:eastAsia="Calibri" w:hAnsi="Calibri" w:cs="Calibri"/>
        </w:rPr>
      </w:pPr>
      <w:r>
        <w:rPr>
          <w:rFonts w:ascii="Calibri" w:eastAsia="Calibri" w:hAnsi="Calibri" w:cs="Calibri"/>
          <w:b/>
        </w:rPr>
        <w:t>Source Emissions</w:t>
      </w:r>
    </w:p>
    <w:p w14:paraId="62139E5B" w14:textId="5284FC09" w:rsidR="004F5587" w:rsidRDefault="00B94405" w:rsidP="004F5587">
      <w:pPr>
        <w:rPr>
          <w:rFonts w:ascii="Calibri" w:eastAsia="Calibri" w:hAnsi="Calibri" w:cs="Calibri"/>
        </w:rPr>
      </w:pPr>
      <w:r>
        <w:rPr>
          <w:rFonts w:ascii="Calibri" w:eastAsia="Calibri" w:hAnsi="Calibri" w:cs="Calibri"/>
        </w:rPr>
        <w:t>S</w:t>
      </w:r>
      <w:r w:rsidR="004F5587">
        <w:rPr>
          <w:rFonts w:ascii="Calibri" w:eastAsia="Calibri" w:hAnsi="Calibri" w:cs="Calibri"/>
        </w:rPr>
        <w:t xml:space="preserve">ources should input the proposed and or permitted maximum allowable hourly emission rates for compliance with the applicable NAAQS and PSD increments </w:t>
      </w:r>
      <w:r>
        <w:rPr>
          <w:rFonts w:ascii="Calibri" w:eastAsia="Calibri" w:hAnsi="Calibri" w:cs="Calibri"/>
        </w:rPr>
        <w:t xml:space="preserve">short term standards, </w:t>
      </w:r>
      <w:r w:rsidR="004F5587">
        <w:rPr>
          <w:rFonts w:ascii="Calibri" w:eastAsia="Calibri" w:hAnsi="Calibri" w:cs="Calibri"/>
        </w:rPr>
        <w:t xml:space="preserve">with averaging times of less than a year. The maximum allowable annual emission rates may be used to show compliance </w:t>
      </w:r>
      <w:r w:rsidR="00C24410">
        <w:rPr>
          <w:rFonts w:ascii="Calibri" w:eastAsia="Calibri" w:hAnsi="Calibri" w:cs="Calibri"/>
        </w:rPr>
        <w:t>with</w:t>
      </w:r>
      <w:r w:rsidR="004F5587">
        <w:rPr>
          <w:rFonts w:ascii="Calibri" w:eastAsia="Calibri" w:hAnsi="Calibri" w:cs="Calibri"/>
        </w:rPr>
        <w:t xml:space="preserve"> annual average based standards.</w:t>
      </w:r>
    </w:p>
    <w:p w14:paraId="25AEE5C9" w14:textId="77777777" w:rsidR="004F5587" w:rsidRDefault="004F5587" w:rsidP="004F5587">
      <w:pPr>
        <w:rPr>
          <w:rFonts w:ascii="Calibri" w:eastAsia="Calibri" w:hAnsi="Calibri" w:cs="Calibri"/>
        </w:rPr>
      </w:pPr>
      <w:r>
        <w:rPr>
          <w:rFonts w:ascii="Calibri" w:eastAsia="Calibri" w:hAnsi="Calibri" w:cs="Calibri"/>
          <w:b/>
        </w:rPr>
        <w:t>Source Parameters</w:t>
      </w:r>
    </w:p>
    <w:p w14:paraId="41B20E36" w14:textId="77777777" w:rsidR="004F5587" w:rsidRDefault="004F5587" w:rsidP="004F5587">
      <w:pPr>
        <w:rPr>
          <w:rFonts w:ascii="Calibri" w:eastAsia="Calibri" w:hAnsi="Calibri" w:cs="Calibri"/>
        </w:rPr>
      </w:pPr>
      <w:r>
        <w:rPr>
          <w:rFonts w:ascii="Calibri" w:eastAsia="Calibri" w:hAnsi="Calibri" w:cs="Calibri"/>
        </w:rPr>
        <w:t>The following input source location and parameters are required to be modeled in AERMOD:</w:t>
      </w:r>
    </w:p>
    <w:p w14:paraId="66D7FE50" w14:textId="00EF22DE" w:rsidR="004F5587" w:rsidRPr="008F2030" w:rsidRDefault="000451AC" w:rsidP="008F2030">
      <w:pPr>
        <w:pStyle w:val="ListParagraph"/>
        <w:numPr>
          <w:ilvl w:val="0"/>
          <w:numId w:val="35"/>
        </w:numPr>
        <w:spacing w:after="0"/>
        <w:rPr>
          <w:rFonts w:ascii="Calibri" w:eastAsia="Calibri" w:hAnsi="Calibri" w:cs="Calibri"/>
        </w:rPr>
      </w:pPr>
      <w:r w:rsidRPr="008F2030">
        <w:rPr>
          <w:rFonts w:ascii="Calibri" w:eastAsia="Calibri" w:hAnsi="Calibri" w:cs="Calibri"/>
        </w:rPr>
        <w:t>S</w:t>
      </w:r>
      <w:r w:rsidR="004F5587" w:rsidRPr="008F2030">
        <w:rPr>
          <w:rFonts w:ascii="Calibri" w:eastAsia="Calibri" w:hAnsi="Calibri" w:cs="Calibri"/>
        </w:rPr>
        <w:t>tack location - X coordinate (UTM-X grid in meters), Y coordinate (UTM-Y grid in meters),</w:t>
      </w:r>
    </w:p>
    <w:p w14:paraId="074434F5" w14:textId="70E6C486" w:rsidR="004F5587" w:rsidRPr="008F2030" w:rsidRDefault="000451AC" w:rsidP="008F2030">
      <w:pPr>
        <w:pStyle w:val="ListParagraph"/>
        <w:numPr>
          <w:ilvl w:val="0"/>
          <w:numId w:val="35"/>
        </w:numPr>
        <w:spacing w:after="0"/>
        <w:rPr>
          <w:rFonts w:ascii="Calibri" w:eastAsia="Calibri" w:hAnsi="Calibri" w:cs="Calibri"/>
        </w:rPr>
      </w:pPr>
      <w:r w:rsidRPr="008F2030">
        <w:rPr>
          <w:rFonts w:ascii="Calibri" w:eastAsia="Calibri" w:hAnsi="Calibri" w:cs="Calibri"/>
        </w:rPr>
        <w:t>S</w:t>
      </w:r>
      <w:r w:rsidR="004F5587" w:rsidRPr="008F2030">
        <w:rPr>
          <w:rFonts w:ascii="Calibri" w:eastAsia="Calibri" w:hAnsi="Calibri" w:cs="Calibri"/>
        </w:rPr>
        <w:t>tack base elevation - height (m) of stack base above mean sea level,</w:t>
      </w:r>
    </w:p>
    <w:p w14:paraId="5EB05213" w14:textId="1C90B490" w:rsidR="004F5587" w:rsidRPr="008F2030" w:rsidRDefault="000451AC" w:rsidP="008F2030">
      <w:pPr>
        <w:pStyle w:val="ListParagraph"/>
        <w:numPr>
          <w:ilvl w:val="0"/>
          <w:numId w:val="35"/>
        </w:numPr>
        <w:spacing w:after="0"/>
        <w:rPr>
          <w:rFonts w:ascii="Calibri" w:eastAsia="Calibri" w:hAnsi="Calibri" w:cs="Calibri"/>
        </w:rPr>
      </w:pPr>
      <w:r w:rsidRPr="008F2030">
        <w:rPr>
          <w:rFonts w:ascii="Calibri" w:eastAsia="Calibri" w:hAnsi="Calibri" w:cs="Calibri"/>
        </w:rPr>
        <w:t>P</w:t>
      </w:r>
      <w:r w:rsidR="004F5587" w:rsidRPr="008F2030">
        <w:rPr>
          <w:rFonts w:ascii="Calibri" w:eastAsia="Calibri" w:hAnsi="Calibri" w:cs="Calibri"/>
        </w:rPr>
        <w:t>ollutant emission rate (g/s),</w:t>
      </w:r>
    </w:p>
    <w:p w14:paraId="2D499026" w14:textId="1BC414E5" w:rsidR="004F5587" w:rsidRPr="008F2030" w:rsidRDefault="000451AC" w:rsidP="008F2030">
      <w:pPr>
        <w:pStyle w:val="ListParagraph"/>
        <w:numPr>
          <w:ilvl w:val="0"/>
          <w:numId w:val="35"/>
        </w:numPr>
        <w:spacing w:after="0"/>
        <w:rPr>
          <w:rFonts w:ascii="Calibri" w:eastAsia="Calibri" w:hAnsi="Calibri" w:cs="Calibri"/>
        </w:rPr>
      </w:pPr>
      <w:r w:rsidRPr="008F2030">
        <w:rPr>
          <w:rFonts w:ascii="Calibri" w:eastAsia="Calibri" w:hAnsi="Calibri" w:cs="Calibri"/>
        </w:rPr>
        <w:t>S</w:t>
      </w:r>
      <w:r w:rsidR="004F5587" w:rsidRPr="008F2030">
        <w:rPr>
          <w:rFonts w:ascii="Calibri" w:eastAsia="Calibri" w:hAnsi="Calibri" w:cs="Calibri"/>
        </w:rPr>
        <w:t xml:space="preserve">tack height - height of stack-top above stack base (m), </w:t>
      </w:r>
    </w:p>
    <w:p w14:paraId="7A2BD532" w14:textId="71AD183D" w:rsidR="004F5587" w:rsidRPr="008F2030" w:rsidRDefault="000451AC" w:rsidP="008F2030">
      <w:pPr>
        <w:pStyle w:val="ListParagraph"/>
        <w:numPr>
          <w:ilvl w:val="0"/>
          <w:numId w:val="35"/>
        </w:numPr>
        <w:spacing w:after="0"/>
        <w:rPr>
          <w:rFonts w:ascii="Calibri" w:eastAsia="Calibri" w:hAnsi="Calibri" w:cs="Calibri"/>
        </w:rPr>
      </w:pPr>
      <w:r w:rsidRPr="008F2030">
        <w:rPr>
          <w:rFonts w:ascii="Calibri" w:eastAsia="Calibri" w:hAnsi="Calibri" w:cs="Calibri"/>
        </w:rPr>
        <w:t>S</w:t>
      </w:r>
      <w:r w:rsidR="004F5587" w:rsidRPr="008F2030">
        <w:rPr>
          <w:rFonts w:ascii="Calibri" w:eastAsia="Calibri" w:hAnsi="Calibri" w:cs="Calibri"/>
        </w:rPr>
        <w:t xml:space="preserve">tack top exit temperature - temperature (K) of effluent exiting the stack, </w:t>
      </w:r>
    </w:p>
    <w:p w14:paraId="7E9EE5BB" w14:textId="2D630173" w:rsidR="004F5587" w:rsidRPr="008F2030" w:rsidRDefault="000451AC" w:rsidP="008F2030">
      <w:pPr>
        <w:pStyle w:val="ListParagraph"/>
        <w:numPr>
          <w:ilvl w:val="0"/>
          <w:numId w:val="35"/>
        </w:numPr>
        <w:spacing w:after="0"/>
        <w:rPr>
          <w:rFonts w:ascii="Calibri" w:eastAsia="Calibri" w:hAnsi="Calibri" w:cs="Calibri"/>
        </w:rPr>
      </w:pPr>
      <w:r w:rsidRPr="008F2030">
        <w:rPr>
          <w:rFonts w:ascii="Calibri" w:eastAsia="Calibri" w:hAnsi="Calibri" w:cs="Calibri"/>
        </w:rPr>
        <w:t>S</w:t>
      </w:r>
      <w:r w:rsidR="004F5587" w:rsidRPr="008F2030">
        <w:rPr>
          <w:rFonts w:ascii="Calibri" w:eastAsia="Calibri" w:hAnsi="Calibri" w:cs="Calibri"/>
        </w:rPr>
        <w:t>tack gas velocity - (m/s) of effluent exiting the stack, and</w:t>
      </w:r>
    </w:p>
    <w:p w14:paraId="30E03FD4" w14:textId="64025C14" w:rsidR="004F5587" w:rsidRPr="008F2030" w:rsidRDefault="000451AC" w:rsidP="008F2030">
      <w:pPr>
        <w:pStyle w:val="ListParagraph"/>
        <w:numPr>
          <w:ilvl w:val="0"/>
          <w:numId w:val="35"/>
        </w:numPr>
        <w:rPr>
          <w:rFonts w:ascii="Calibri" w:eastAsia="Calibri" w:hAnsi="Calibri" w:cs="Calibri"/>
        </w:rPr>
      </w:pPr>
      <w:r w:rsidRPr="008F2030">
        <w:rPr>
          <w:rFonts w:ascii="Calibri" w:eastAsia="Calibri" w:hAnsi="Calibri" w:cs="Calibri"/>
        </w:rPr>
        <w:t>S</w:t>
      </w:r>
      <w:r w:rsidR="004F5587" w:rsidRPr="008F2030">
        <w:rPr>
          <w:rFonts w:ascii="Calibri" w:eastAsia="Calibri" w:hAnsi="Calibri" w:cs="Calibri"/>
        </w:rPr>
        <w:t>tack diameter - at the inside top of stack (m).</w:t>
      </w:r>
    </w:p>
    <w:p w14:paraId="25FD7C76" w14:textId="77777777" w:rsidR="004F5587" w:rsidRDefault="004F5587" w:rsidP="004F5587">
      <w:pPr>
        <w:rPr>
          <w:rFonts w:ascii="Calibri" w:eastAsia="Calibri" w:hAnsi="Calibri" w:cs="Calibri"/>
          <w:b/>
        </w:rPr>
      </w:pPr>
      <w:r>
        <w:rPr>
          <w:rFonts w:ascii="Calibri" w:eastAsia="Calibri" w:hAnsi="Calibri" w:cs="Calibri"/>
          <w:b/>
        </w:rPr>
        <w:t>BPIPPRIM – Building Downwash</w:t>
      </w:r>
    </w:p>
    <w:p w14:paraId="089C898C" w14:textId="4D98EC27" w:rsidR="004F5587" w:rsidRDefault="004F5587" w:rsidP="004F5587">
      <w:pPr>
        <w:rPr>
          <w:rFonts w:ascii="Calibri" w:eastAsia="Calibri" w:hAnsi="Calibri" w:cs="Calibri"/>
        </w:rPr>
      </w:pPr>
      <w:r>
        <w:rPr>
          <w:rFonts w:ascii="Calibri" w:eastAsia="Calibri" w:hAnsi="Calibri" w:cs="Calibri"/>
        </w:rPr>
        <w:t>CT DEEP recommends procedures described in the EPA’s “</w:t>
      </w:r>
      <w:hyperlink r:id="rId18" w:history="1">
        <w:r w:rsidRPr="00FC3D7C">
          <w:rPr>
            <w:rStyle w:val="Hyperlink"/>
          </w:rPr>
          <w:t>Guideline for Determination of Good Engineering Practice Stack Height</w:t>
        </w:r>
      </w:hyperlink>
      <w:r w:rsidRPr="00FC3D7C">
        <w:t xml:space="preserve">” </w:t>
      </w:r>
      <w:r>
        <w:rPr>
          <w:rFonts w:ascii="Calibri" w:eastAsia="Calibri" w:hAnsi="Calibri" w:cs="Calibri"/>
        </w:rPr>
        <w:t>(EPA, 1985) for GEP stack height calculations. To address building downwash, a GEP stack height analysis should be performed on each source to be modeled at the applicant’s premise. The lesser of actual or GEP stack height should be used for modeling each source. The latest version of EPA’s Building Profile Input Program for PRIME (BPIPPRIM) must be used to generate wind-direction-specific building dimensions for calculating downwash impacts in AERMOD from each source subject to building downwash.</w:t>
      </w:r>
    </w:p>
    <w:p w14:paraId="785568B1" w14:textId="77777777" w:rsidR="004F5587" w:rsidRDefault="004F5587" w:rsidP="004F5587">
      <w:pPr>
        <w:rPr>
          <w:rFonts w:ascii="Calibri" w:eastAsia="Calibri" w:hAnsi="Calibri" w:cs="Calibri"/>
          <w:b/>
        </w:rPr>
      </w:pPr>
      <w:r>
        <w:rPr>
          <w:rFonts w:ascii="Calibri" w:eastAsia="Calibri" w:hAnsi="Calibri" w:cs="Calibri"/>
          <w:b/>
        </w:rPr>
        <w:t>AERMAP – Receptor Data</w:t>
      </w:r>
    </w:p>
    <w:p w14:paraId="7F9E4E46" w14:textId="77777777" w:rsidR="004F5587" w:rsidRDefault="004F5587" w:rsidP="004F5587">
      <w:pPr>
        <w:rPr>
          <w:rFonts w:ascii="Calibri" w:eastAsia="Calibri" w:hAnsi="Calibri" w:cs="Calibri"/>
        </w:rPr>
      </w:pPr>
      <w:r>
        <w:rPr>
          <w:rFonts w:ascii="Calibri" w:eastAsia="Calibri" w:hAnsi="Calibri" w:cs="Calibri"/>
        </w:rPr>
        <w:t>AERMAP is the terrain pre-processor that creates an elevation and height scale (the terrain height and location that has the greatest influence on dispersion) for each “ambient air” receptor, except where the atmosphere over land owned or controlled by the stationary source where the owner or operator of the source employs “measures, which may include physical barriers, that are effective in deterring or precluding access to the land by the general public” across the modeling domain. AERMAP automatically selects the closest node elevation in each quadrant with respect to the receptor or source and then weights that elevation with respect to the distance from the receptor or source. The closer the node elevation, the more weight it is given. Conversely, further distances are weighted less.</w:t>
      </w:r>
    </w:p>
    <w:p w14:paraId="772DDCEC" w14:textId="05828B8C" w:rsidR="004F5587" w:rsidRDefault="004F5587" w:rsidP="004F5587">
      <w:pPr>
        <w:rPr>
          <w:rFonts w:ascii="Calibri" w:eastAsia="Calibri" w:hAnsi="Calibri" w:cs="Calibri"/>
        </w:rPr>
      </w:pPr>
      <w:r>
        <w:rPr>
          <w:rFonts w:ascii="Calibri" w:eastAsia="Calibri" w:hAnsi="Calibri" w:cs="Calibri"/>
        </w:rPr>
        <w:t>The latest version of AERMAP is designed to process National Elevation Dataset (NED) data, which is available on the U.S. Geological Survey (USGS) website. Applicants should use at least 1 arc second (</w:t>
      </w:r>
      <w:proofErr w:type="gramStart"/>
      <w:r>
        <w:rPr>
          <w:rFonts w:ascii="Calibri" w:eastAsia="Calibri" w:hAnsi="Calibri" w:cs="Calibri"/>
        </w:rPr>
        <w:t>30</w:t>
      </w:r>
      <w:r w:rsidR="008F2030">
        <w:rPr>
          <w:rFonts w:ascii="Calibri" w:eastAsia="Calibri" w:hAnsi="Calibri" w:cs="Calibri"/>
        </w:rPr>
        <w:t xml:space="preserve"> </w:t>
      </w:r>
      <w:r>
        <w:rPr>
          <w:rFonts w:ascii="Calibri" w:eastAsia="Calibri" w:hAnsi="Calibri" w:cs="Calibri"/>
        </w:rPr>
        <w:t>meter</w:t>
      </w:r>
      <w:proofErr w:type="gramEnd"/>
      <w:r>
        <w:rPr>
          <w:rFonts w:ascii="Calibri" w:eastAsia="Calibri" w:hAnsi="Calibri" w:cs="Calibri"/>
        </w:rPr>
        <w:t xml:space="preserve"> resolution), preferably 1/3 arc second (10 meter) resolution NED data to develop a Cartesian </w:t>
      </w:r>
      <w:r w:rsidR="00C24410">
        <w:rPr>
          <w:rFonts w:ascii="Calibri" w:eastAsia="Calibri" w:hAnsi="Calibri" w:cs="Calibri"/>
        </w:rPr>
        <w:t>type of</w:t>
      </w:r>
      <w:r>
        <w:rPr>
          <w:rFonts w:ascii="Calibri" w:eastAsia="Calibri" w:hAnsi="Calibri" w:cs="Calibri"/>
        </w:rPr>
        <w:t xml:space="preserve"> receptor grid to determine all near and far field receptor elevations. The goal of designing a receptor network is to convincingly capture the area of maximum </w:t>
      </w:r>
      <w:r w:rsidR="00C24410">
        <w:rPr>
          <w:rFonts w:ascii="Calibri" w:eastAsia="Calibri" w:hAnsi="Calibri" w:cs="Calibri"/>
        </w:rPr>
        <w:t>impact</w:t>
      </w:r>
      <w:r>
        <w:rPr>
          <w:rFonts w:ascii="Calibri" w:eastAsia="Calibri" w:hAnsi="Calibri" w:cs="Calibri"/>
        </w:rPr>
        <w:t xml:space="preserve">. As an initial starting point, construct a Cartesian receptor grid centered on the source with 50m receptor spacing out to </w:t>
      </w:r>
      <w:r w:rsidR="005A2FFF">
        <w:rPr>
          <w:rFonts w:ascii="Calibri" w:eastAsia="Calibri" w:hAnsi="Calibri" w:cs="Calibri"/>
        </w:rPr>
        <w:t>2</w:t>
      </w:r>
      <w:r w:rsidR="00F6243B">
        <w:rPr>
          <w:rFonts w:ascii="Calibri" w:eastAsia="Calibri" w:hAnsi="Calibri" w:cs="Calibri"/>
        </w:rPr>
        <w:t xml:space="preserve"> </w:t>
      </w:r>
      <w:r>
        <w:rPr>
          <w:rFonts w:ascii="Calibri" w:eastAsia="Calibri" w:hAnsi="Calibri" w:cs="Calibri"/>
        </w:rPr>
        <w:t>km. For a distance from the source of 2</w:t>
      </w:r>
      <w:r w:rsidR="00F6243B">
        <w:rPr>
          <w:rFonts w:ascii="Calibri" w:eastAsia="Calibri" w:hAnsi="Calibri" w:cs="Calibri"/>
        </w:rPr>
        <w:t xml:space="preserve"> </w:t>
      </w:r>
      <w:r>
        <w:rPr>
          <w:rFonts w:ascii="Calibri" w:eastAsia="Calibri" w:hAnsi="Calibri" w:cs="Calibri"/>
        </w:rPr>
        <w:t>km to 5</w:t>
      </w:r>
      <w:r w:rsidR="00F6243B">
        <w:rPr>
          <w:rFonts w:ascii="Calibri" w:eastAsia="Calibri" w:hAnsi="Calibri" w:cs="Calibri"/>
        </w:rPr>
        <w:t xml:space="preserve"> </w:t>
      </w:r>
      <w:r>
        <w:rPr>
          <w:rFonts w:ascii="Calibri" w:eastAsia="Calibri" w:hAnsi="Calibri" w:cs="Calibri"/>
        </w:rPr>
        <w:t>km, place receptors with 500</w:t>
      </w:r>
      <w:r w:rsidR="00F6243B">
        <w:rPr>
          <w:rFonts w:ascii="Calibri" w:eastAsia="Calibri" w:hAnsi="Calibri" w:cs="Calibri"/>
        </w:rPr>
        <w:t xml:space="preserve"> </w:t>
      </w:r>
      <w:r>
        <w:rPr>
          <w:rFonts w:ascii="Calibri" w:eastAsia="Calibri" w:hAnsi="Calibri" w:cs="Calibri"/>
        </w:rPr>
        <w:t>m spacing, and for a distance from the source of 5km to 10km, use 1</w:t>
      </w:r>
      <w:r w:rsidR="00F6243B">
        <w:rPr>
          <w:rFonts w:ascii="Calibri" w:eastAsia="Calibri" w:hAnsi="Calibri" w:cs="Calibri"/>
        </w:rPr>
        <w:t xml:space="preserve"> </w:t>
      </w:r>
      <w:r>
        <w:rPr>
          <w:rFonts w:ascii="Calibri" w:eastAsia="Calibri" w:hAnsi="Calibri" w:cs="Calibri"/>
        </w:rPr>
        <w:t>km spacing. CT DEEP recommends a maximum receptor spacing of 25</w:t>
      </w:r>
      <w:r w:rsidR="00F6243B">
        <w:rPr>
          <w:rFonts w:ascii="Calibri" w:eastAsia="Calibri" w:hAnsi="Calibri" w:cs="Calibri"/>
        </w:rPr>
        <w:t xml:space="preserve"> </w:t>
      </w:r>
      <w:r>
        <w:rPr>
          <w:rFonts w:ascii="Calibri" w:eastAsia="Calibri" w:hAnsi="Calibri" w:cs="Calibri"/>
        </w:rPr>
        <w:t>m for calculating impacts in cavity regions of structures and within property boundaries (that have public access), or around facility property or fence-line (where public access is prohibited). If modeling results show significant impacts at 10</w:t>
      </w:r>
      <w:r w:rsidR="00F6243B">
        <w:rPr>
          <w:rFonts w:ascii="Calibri" w:eastAsia="Calibri" w:hAnsi="Calibri" w:cs="Calibri"/>
        </w:rPr>
        <w:t xml:space="preserve"> </w:t>
      </w:r>
      <w:r>
        <w:rPr>
          <w:rFonts w:ascii="Calibri" w:eastAsia="Calibri" w:hAnsi="Calibri" w:cs="Calibri"/>
        </w:rPr>
        <w:t>km, then the grid should be extended to a distance of insignificant impacts, using 2</w:t>
      </w:r>
      <w:r w:rsidR="00F6243B">
        <w:rPr>
          <w:rFonts w:ascii="Calibri" w:eastAsia="Calibri" w:hAnsi="Calibri" w:cs="Calibri"/>
        </w:rPr>
        <w:t xml:space="preserve"> </w:t>
      </w:r>
      <w:r>
        <w:rPr>
          <w:rFonts w:ascii="Calibri" w:eastAsia="Calibri" w:hAnsi="Calibri" w:cs="Calibri"/>
        </w:rPr>
        <w:t>km spacing out to 20</w:t>
      </w:r>
      <w:r w:rsidR="00F6243B">
        <w:rPr>
          <w:rFonts w:ascii="Calibri" w:eastAsia="Calibri" w:hAnsi="Calibri" w:cs="Calibri"/>
        </w:rPr>
        <w:t xml:space="preserve"> </w:t>
      </w:r>
      <w:r>
        <w:rPr>
          <w:rFonts w:ascii="Calibri" w:eastAsia="Calibri" w:hAnsi="Calibri" w:cs="Calibri"/>
        </w:rPr>
        <w:t>km and 5</w:t>
      </w:r>
      <w:r w:rsidR="00F6243B">
        <w:rPr>
          <w:rFonts w:ascii="Calibri" w:eastAsia="Calibri" w:hAnsi="Calibri" w:cs="Calibri"/>
        </w:rPr>
        <w:t xml:space="preserve"> </w:t>
      </w:r>
      <w:r>
        <w:rPr>
          <w:rFonts w:ascii="Calibri" w:eastAsia="Calibri" w:hAnsi="Calibri" w:cs="Calibri"/>
        </w:rPr>
        <w:t>km spacing beyond 20</w:t>
      </w:r>
      <w:r w:rsidR="00F6243B">
        <w:rPr>
          <w:rFonts w:ascii="Calibri" w:eastAsia="Calibri" w:hAnsi="Calibri" w:cs="Calibri"/>
        </w:rPr>
        <w:t xml:space="preserve"> </w:t>
      </w:r>
      <w:r>
        <w:rPr>
          <w:rFonts w:ascii="Calibri" w:eastAsia="Calibri" w:hAnsi="Calibri" w:cs="Calibri"/>
        </w:rPr>
        <w:t>km. Additional 1</w:t>
      </w:r>
      <w:r w:rsidR="00F6243B">
        <w:rPr>
          <w:rFonts w:ascii="Calibri" w:eastAsia="Calibri" w:hAnsi="Calibri" w:cs="Calibri"/>
        </w:rPr>
        <w:t xml:space="preserve"> </w:t>
      </w:r>
      <w:r>
        <w:rPr>
          <w:rFonts w:ascii="Calibri" w:eastAsia="Calibri" w:hAnsi="Calibri" w:cs="Calibri"/>
        </w:rPr>
        <w:t>km receptor grid(s) in 50</w:t>
      </w:r>
      <w:r w:rsidR="008F2030">
        <w:rPr>
          <w:rFonts w:ascii="Calibri" w:eastAsia="Calibri" w:hAnsi="Calibri" w:cs="Calibri"/>
        </w:rPr>
        <w:t xml:space="preserve"> </w:t>
      </w:r>
      <w:r>
        <w:rPr>
          <w:rFonts w:ascii="Calibri" w:eastAsia="Calibri" w:hAnsi="Calibri" w:cs="Calibri"/>
        </w:rPr>
        <w:t xml:space="preserve">m increment spacing should also be developed around maximum impacts beyond the inner </w:t>
      </w:r>
      <w:r>
        <w:rPr>
          <w:rFonts w:ascii="Calibri" w:eastAsia="Calibri" w:hAnsi="Calibri" w:cs="Calibri"/>
        </w:rPr>
        <w:lastRenderedPageBreak/>
        <w:t>receptor grids of 2</w:t>
      </w:r>
      <w:r w:rsidR="00F6243B">
        <w:rPr>
          <w:rFonts w:ascii="Calibri" w:eastAsia="Calibri" w:hAnsi="Calibri" w:cs="Calibri"/>
        </w:rPr>
        <w:t xml:space="preserve"> </w:t>
      </w:r>
      <w:r>
        <w:rPr>
          <w:rFonts w:ascii="Calibri" w:eastAsia="Calibri" w:hAnsi="Calibri" w:cs="Calibri"/>
        </w:rPr>
        <w:t>km to identify the point of maximum impact. Additional discrete receptors may also be required at locations designated as sensitive, such as schools and hospitals, or in environmental justice communities, which provide enhanced public participation requirements, and may require additional information about potential environmental and health impacts.</w:t>
      </w:r>
    </w:p>
    <w:p w14:paraId="35812F90" w14:textId="77777777" w:rsidR="004F5587" w:rsidRDefault="004F5587" w:rsidP="004F5587">
      <w:pPr>
        <w:rPr>
          <w:rFonts w:ascii="Calibri" w:eastAsia="Calibri" w:hAnsi="Calibri" w:cs="Calibri"/>
          <w:b/>
        </w:rPr>
      </w:pPr>
      <w:r>
        <w:rPr>
          <w:rFonts w:ascii="Calibri" w:eastAsia="Calibri" w:hAnsi="Calibri" w:cs="Calibri"/>
          <w:b/>
        </w:rPr>
        <w:t>AERMET – Meteorological Data</w:t>
      </w:r>
    </w:p>
    <w:p w14:paraId="380A7B75" w14:textId="77777777" w:rsidR="004F5587" w:rsidRDefault="004F5587" w:rsidP="004F5587">
      <w:pPr>
        <w:rPr>
          <w:rFonts w:ascii="Calibri" w:eastAsia="Calibri" w:hAnsi="Calibri" w:cs="Calibri"/>
        </w:rPr>
      </w:pPr>
      <w:r>
        <w:rPr>
          <w:rFonts w:ascii="Calibri" w:eastAsia="Calibri" w:hAnsi="Calibri" w:cs="Calibri"/>
        </w:rPr>
        <w:t xml:space="preserve">Meteorological data for refined modeling should be representative of wind flow and dispersion characteristics that affect source emissions across the modeling domain. AERMET uses meteorological measurements of several boundary layer parameters to compute </w:t>
      </w:r>
      <w:r w:rsidRPr="00DF35F8">
        <w:rPr>
          <w:rFonts w:ascii="Calibri" w:eastAsia="Calibri" w:hAnsi="Calibri" w:cs="Calibri"/>
        </w:rPr>
        <w:t>vertical profiles of wind direction, wind speed, temperature, vertical potential temperature gradient, vertical turbulence (sigma-w), and horizontal turbulence (sigma-theta), and</w:t>
      </w:r>
      <w:r>
        <w:rPr>
          <w:rFonts w:ascii="Calibri" w:eastAsia="Calibri" w:hAnsi="Calibri" w:cs="Calibri"/>
        </w:rPr>
        <w:t xml:space="preserve"> radiation measurements. One year of site-specific meteorological data is always preferred to off-site NWS data for dispersion modeling near a source (EPA’s Meteorological Monitoring Guidance, 2000). However, applicants may use the most recent five years of NWS data or three years of prognostic meteorological data to adequately characterize year-to-year meteorological variability, in lieu of one year of site–specific data. For a more detailed discussion of data representativeness considerations, see Section 3.1.1 of the AERMOD Implementation Guide, and Section 8.4 of EPA’s Appendix W of 40 CFR Part 51 Guideline on Air Quality Models.</w:t>
      </w:r>
    </w:p>
    <w:p w14:paraId="052F10AC" w14:textId="77777777" w:rsidR="004F5587" w:rsidRDefault="004F5587" w:rsidP="004F5587">
      <w:pPr>
        <w:rPr>
          <w:rFonts w:ascii="Calibri" w:eastAsia="Calibri" w:hAnsi="Calibri" w:cs="Calibri"/>
        </w:rPr>
      </w:pPr>
      <w:r>
        <w:rPr>
          <w:rFonts w:ascii="Calibri" w:eastAsia="Calibri" w:hAnsi="Calibri" w:cs="Calibri"/>
        </w:rPr>
        <w:t>AERMET is designed to accept data from any of the following sources:</w:t>
      </w:r>
    </w:p>
    <w:p w14:paraId="799F4FCD" w14:textId="77777777" w:rsidR="004F5587" w:rsidRPr="008F2030" w:rsidRDefault="004F5587" w:rsidP="008F2030">
      <w:pPr>
        <w:pStyle w:val="ListParagraph"/>
        <w:numPr>
          <w:ilvl w:val="0"/>
          <w:numId w:val="36"/>
        </w:numPr>
        <w:spacing w:after="0"/>
        <w:rPr>
          <w:rFonts w:ascii="Calibri" w:eastAsia="Calibri" w:hAnsi="Calibri" w:cs="Calibri"/>
        </w:rPr>
      </w:pPr>
      <w:r w:rsidRPr="008F2030">
        <w:rPr>
          <w:rFonts w:ascii="Calibri" w:eastAsia="Calibri" w:hAnsi="Calibri" w:cs="Calibri"/>
        </w:rPr>
        <w:t>Upper air sounding data from the NWS upper air station in Albany, NY for inland areas and Brookhaven, NY for coastal areas,</w:t>
      </w:r>
    </w:p>
    <w:p w14:paraId="6FC569F3" w14:textId="77777777" w:rsidR="004F5587" w:rsidRPr="008F2030" w:rsidRDefault="004F5587" w:rsidP="008F2030">
      <w:pPr>
        <w:pStyle w:val="ListParagraph"/>
        <w:numPr>
          <w:ilvl w:val="0"/>
          <w:numId w:val="36"/>
        </w:numPr>
        <w:spacing w:after="0"/>
        <w:rPr>
          <w:rFonts w:ascii="Calibri" w:eastAsia="Calibri" w:hAnsi="Calibri" w:cs="Calibri"/>
        </w:rPr>
      </w:pPr>
      <w:r w:rsidRPr="008F2030">
        <w:rPr>
          <w:rFonts w:ascii="Calibri" w:eastAsia="Calibri" w:hAnsi="Calibri" w:cs="Calibri"/>
        </w:rPr>
        <w:t>Hourly surface data from the most representative NWS ASOS sites,</w:t>
      </w:r>
    </w:p>
    <w:p w14:paraId="037E807F" w14:textId="77777777" w:rsidR="004F5587" w:rsidRPr="008F2030" w:rsidRDefault="004F5587" w:rsidP="008F2030">
      <w:pPr>
        <w:pStyle w:val="ListParagraph"/>
        <w:numPr>
          <w:ilvl w:val="0"/>
          <w:numId w:val="36"/>
        </w:numPr>
        <w:spacing w:after="0"/>
        <w:rPr>
          <w:rFonts w:ascii="Calibri" w:eastAsia="Calibri" w:hAnsi="Calibri" w:cs="Calibri"/>
        </w:rPr>
      </w:pPr>
      <w:r w:rsidRPr="008F2030">
        <w:rPr>
          <w:rFonts w:ascii="Calibri" w:eastAsia="Calibri" w:hAnsi="Calibri" w:cs="Calibri"/>
        </w:rPr>
        <w:t>Hourly prognostic meteorological data, and</w:t>
      </w:r>
    </w:p>
    <w:p w14:paraId="27144D4C" w14:textId="77777777" w:rsidR="004F5587" w:rsidRPr="008F2030" w:rsidRDefault="004F5587" w:rsidP="008F2030">
      <w:pPr>
        <w:pStyle w:val="ListParagraph"/>
        <w:numPr>
          <w:ilvl w:val="0"/>
          <w:numId w:val="36"/>
        </w:numPr>
        <w:rPr>
          <w:rFonts w:ascii="Calibri" w:eastAsia="Calibri" w:hAnsi="Calibri" w:cs="Calibri"/>
        </w:rPr>
      </w:pPr>
      <w:r w:rsidRPr="008F2030">
        <w:rPr>
          <w:rFonts w:ascii="Calibri" w:eastAsia="Calibri" w:hAnsi="Calibri" w:cs="Calibri"/>
        </w:rPr>
        <w:t>Hourly surface site-specific wind, temperature, turbulence, pressure, and radiation measurements (if available).</w:t>
      </w:r>
    </w:p>
    <w:p w14:paraId="50E6292F" w14:textId="77777777" w:rsidR="004F5587" w:rsidRDefault="004F5587" w:rsidP="004F5587">
      <w:pPr>
        <w:rPr>
          <w:rFonts w:ascii="Calibri" w:eastAsia="Calibri" w:hAnsi="Calibri" w:cs="Calibri"/>
        </w:rPr>
      </w:pPr>
      <w:r>
        <w:rPr>
          <w:rFonts w:ascii="Calibri" w:eastAsia="Calibri" w:hAnsi="Calibri" w:cs="Calibri"/>
        </w:rPr>
        <w:t>AERMET has the capability of accepting hourly averaged 1-minute and 5-minute NWS wind data output from the above mentioned AERMINUTE program to reduce the number of calm hours. AERMET produces a profile file that consists of single and multiple-level observations of wind speed, wind direction, temperature, site-specific turbulence data such as standard deviation of the fluctuating wind direction, and vertical wind speed. AERMET also produces an hourly surface file of boundary layer parameter estimates and surface characteristics (albedo, Bowen ratio, and surface roughness length) of the area being modeled. The user must first specify monthly (seasonal) variations of these surface characteristics for up to 12 different contiguous non-overlapping sectors. Each wind sector can have a unique Albedo (r), Bowen ratio (Bo), and Surface Roughness (Zo) value.</w:t>
      </w:r>
    </w:p>
    <w:p w14:paraId="28C6E257" w14:textId="0BC19F2E" w:rsidR="004F5587" w:rsidRDefault="004F5587" w:rsidP="004F5587">
      <w:pPr>
        <w:rPr>
          <w:rFonts w:eastAsia="Calibri"/>
        </w:rPr>
      </w:pPr>
      <w:r>
        <w:rPr>
          <w:rFonts w:eastAsia="Calibri"/>
        </w:rPr>
        <w:t xml:space="preserve">AERMET processes meteorological data in </w:t>
      </w:r>
      <w:r w:rsidR="00A24B50">
        <w:rPr>
          <w:rFonts w:eastAsia="Calibri"/>
        </w:rPr>
        <w:t xml:space="preserve">one </w:t>
      </w:r>
      <w:r>
        <w:rPr>
          <w:rFonts w:eastAsia="Calibri"/>
        </w:rPr>
        <w:t xml:space="preserve">stage: </w:t>
      </w:r>
    </w:p>
    <w:p w14:paraId="423BAFF5" w14:textId="5530B412" w:rsidR="004F5587" w:rsidRDefault="004F5587" w:rsidP="004F5587">
      <w:pPr>
        <w:ind w:left="720"/>
        <w:rPr>
          <w:rFonts w:eastAsia="Calibri"/>
        </w:rPr>
      </w:pPr>
      <w:r>
        <w:rPr>
          <w:rFonts w:eastAsia="Calibri"/>
          <w:b/>
        </w:rPr>
        <w:t>Stage 1</w:t>
      </w:r>
      <w:r>
        <w:rPr>
          <w:rFonts w:eastAsia="Calibri"/>
        </w:rPr>
        <w:t xml:space="preserve"> </w:t>
      </w:r>
      <w:r w:rsidRPr="005861C7">
        <w:rPr>
          <w:rFonts w:eastAsia="Calibri"/>
        </w:rPr>
        <w:t xml:space="preserve">extracts </w:t>
      </w:r>
      <w:r w:rsidR="00A24B50">
        <w:rPr>
          <w:rFonts w:eastAsia="Calibri"/>
        </w:rPr>
        <w:t>upper air sounding</w:t>
      </w:r>
      <w:r w:rsidR="004F4786">
        <w:rPr>
          <w:rFonts w:eastAsia="Calibri"/>
        </w:rPr>
        <w:t>,</w:t>
      </w:r>
      <w:r w:rsidR="00A24B50">
        <w:rPr>
          <w:rFonts w:eastAsia="Calibri"/>
        </w:rPr>
        <w:t xml:space="preserve"> </w:t>
      </w:r>
      <w:r w:rsidR="004F4786">
        <w:rPr>
          <w:rFonts w:eastAsia="Calibri"/>
        </w:rPr>
        <w:t xml:space="preserve">hourly and one minute </w:t>
      </w:r>
      <w:r w:rsidR="00A24B50">
        <w:rPr>
          <w:rFonts w:eastAsia="Calibri"/>
        </w:rPr>
        <w:t xml:space="preserve">surface </w:t>
      </w:r>
      <w:r w:rsidRPr="005861C7">
        <w:rPr>
          <w:rFonts w:eastAsia="Calibri"/>
        </w:rPr>
        <w:t>meteorological data from archive data files and processes the data through various quality assessment checks</w:t>
      </w:r>
      <w:r w:rsidR="00A24B50">
        <w:rPr>
          <w:rFonts w:eastAsia="Calibri"/>
        </w:rPr>
        <w:t>; reads</w:t>
      </w:r>
      <w:r w:rsidRPr="005861C7">
        <w:rPr>
          <w:rFonts w:eastAsia="Calibri"/>
        </w:rPr>
        <w:t xml:space="preserve"> the meteorological data and estimates the necessary boundary layer parameters </w:t>
      </w:r>
      <w:r w:rsidR="004F4786">
        <w:rPr>
          <w:rFonts w:eastAsia="Calibri"/>
        </w:rPr>
        <w:t xml:space="preserve">and then processes the data in </w:t>
      </w:r>
      <w:r w:rsidRPr="005861C7">
        <w:rPr>
          <w:rFonts w:eastAsia="Calibri"/>
        </w:rPr>
        <w:t>AERMOD</w:t>
      </w:r>
      <w:r w:rsidR="004F4786">
        <w:rPr>
          <w:rFonts w:eastAsia="Calibri"/>
        </w:rPr>
        <w:t>-ready format.</w:t>
      </w:r>
    </w:p>
    <w:p w14:paraId="06DA1F5A" w14:textId="77777777" w:rsidR="004F5587" w:rsidRDefault="004F5587" w:rsidP="004F5587">
      <w:pPr>
        <w:rPr>
          <w:rFonts w:ascii="Calibri" w:eastAsia="Calibri" w:hAnsi="Calibri" w:cs="Calibri"/>
        </w:rPr>
      </w:pPr>
      <w:r>
        <w:rPr>
          <w:rFonts w:ascii="Calibri" w:eastAsia="Calibri" w:hAnsi="Calibri" w:cs="Calibri"/>
          <w:b/>
        </w:rPr>
        <w:t>AERSURFACE – Surface Characteristics</w:t>
      </w:r>
    </w:p>
    <w:p w14:paraId="78F16EE6" w14:textId="77777777" w:rsidR="004F5587" w:rsidRDefault="004F5587" w:rsidP="004F5587">
      <w:pPr>
        <w:rPr>
          <w:rFonts w:ascii="Calibri" w:eastAsia="Calibri" w:hAnsi="Calibri" w:cs="Calibri"/>
        </w:rPr>
      </w:pPr>
      <w:r>
        <w:rPr>
          <w:rFonts w:ascii="Calibri" w:eastAsia="Calibri" w:hAnsi="Calibri" w:cs="Calibri"/>
        </w:rPr>
        <w:t xml:space="preserve">The AERSURFACE pre-processor tool is used to obtain realistic and reproducible surface characteristic values for input to AERMET. Surface characteristics generated for AERMET should reflect the land use characteristics where the meteorological data are collected. AERSURFACE requires the input of most recent available land cover data from the USGS </w:t>
      </w:r>
      <w:r>
        <w:rPr>
          <w:rFonts w:ascii="Calibri" w:eastAsia="Calibri" w:hAnsi="Calibri" w:cs="Calibri"/>
        </w:rPr>
        <w:lastRenderedPageBreak/>
        <w:t>National Land Cover Data archives (NLCD) to determine the land cover types for user-specified locations. The following methodologies are recommended to determine surface characteristics:</w:t>
      </w:r>
    </w:p>
    <w:p w14:paraId="61385807" w14:textId="77777777" w:rsidR="004F5587" w:rsidRPr="008F2030" w:rsidRDefault="004F5587" w:rsidP="008F2030">
      <w:pPr>
        <w:pStyle w:val="ListParagraph"/>
        <w:numPr>
          <w:ilvl w:val="0"/>
          <w:numId w:val="37"/>
        </w:numPr>
        <w:rPr>
          <w:rFonts w:ascii="Calibri" w:eastAsia="Calibri" w:hAnsi="Calibri" w:cs="Calibri"/>
        </w:rPr>
      </w:pPr>
      <w:r w:rsidRPr="008F2030">
        <w:rPr>
          <w:rFonts w:ascii="Calibri" w:eastAsia="Calibri" w:hAnsi="Calibri" w:cs="Calibri"/>
        </w:rPr>
        <w:t xml:space="preserve">Surface roughness length is determined based on an inverse-distance weighted geometric mean for a default upwind distance of 1km relative to the meteorological site and divided up by sectors to account for variations in land cover and airport versus non-airport use; however, the sector widths should be no less than </w:t>
      </w:r>
      <w:proofErr w:type="gramStart"/>
      <w:r w:rsidRPr="008F2030">
        <w:rPr>
          <w:rFonts w:ascii="Calibri" w:eastAsia="Calibri" w:hAnsi="Calibri" w:cs="Calibri"/>
        </w:rPr>
        <w:t>30°;</w:t>
      </w:r>
      <w:proofErr w:type="gramEnd"/>
    </w:p>
    <w:p w14:paraId="4995E2BA" w14:textId="772F849C" w:rsidR="004F5587" w:rsidRPr="008F2030" w:rsidRDefault="004F5587" w:rsidP="008F2030">
      <w:pPr>
        <w:pStyle w:val="ListParagraph"/>
        <w:numPr>
          <w:ilvl w:val="0"/>
          <w:numId w:val="37"/>
        </w:numPr>
        <w:rPr>
          <w:rFonts w:ascii="Calibri" w:eastAsia="Calibri" w:hAnsi="Calibri" w:cs="Calibri"/>
        </w:rPr>
      </w:pPr>
      <w:r w:rsidRPr="008F2030">
        <w:rPr>
          <w:rFonts w:ascii="Calibri" w:eastAsia="Calibri" w:hAnsi="Calibri" w:cs="Calibri"/>
        </w:rPr>
        <w:t>Bowen ratio is based on a simple un-weighted geometric mean for a representative domain, with a default of 10</w:t>
      </w:r>
      <w:r w:rsidR="00F6243B" w:rsidRPr="008F2030">
        <w:rPr>
          <w:rFonts w:ascii="Calibri" w:eastAsia="Calibri" w:hAnsi="Calibri" w:cs="Calibri"/>
        </w:rPr>
        <w:t xml:space="preserve"> </w:t>
      </w:r>
      <w:r w:rsidRPr="008F2030">
        <w:rPr>
          <w:rFonts w:ascii="Calibri" w:eastAsia="Calibri" w:hAnsi="Calibri" w:cs="Calibri"/>
        </w:rPr>
        <w:t>km by 10</w:t>
      </w:r>
      <w:r w:rsidR="00F6243B" w:rsidRPr="008F2030">
        <w:rPr>
          <w:rFonts w:ascii="Calibri" w:eastAsia="Calibri" w:hAnsi="Calibri" w:cs="Calibri"/>
        </w:rPr>
        <w:t xml:space="preserve"> </w:t>
      </w:r>
      <w:r w:rsidRPr="008F2030">
        <w:rPr>
          <w:rFonts w:ascii="Calibri" w:eastAsia="Calibri" w:hAnsi="Calibri" w:cs="Calibri"/>
        </w:rPr>
        <w:t>km region centered on the meteorological site, and</w:t>
      </w:r>
    </w:p>
    <w:p w14:paraId="1627DFC6" w14:textId="7E79D462" w:rsidR="004F5587" w:rsidRPr="008F2030" w:rsidRDefault="004F5587" w:rsidP="008F2030">
      <w:pPr>
        <w:pStyle w:val="ListParagraph"/>
        <w:numPr>
          <w:ilvl w:val="0"/>
          <w:numId w:val="37"/>
        </w:numPr>
        <w:rPr>
          <w:rFonts w:ascii="Calibri" w:eastAsia="Calibri" w:hAnsi="Calibri" w:cs="Calibri"/>
        </w:rPr>
      </w:pPr>
      <w:r w:rsidRPr="008F2030">
        <w:rPr>
          <w:rFonts w:ascii="Calibri" w:eastAsia="Calibri" w:hAnsi="Calibri" w:cs="Calibri"/>
        </w:rPr>
        <w:t>Albedo is based on a simple un-weighted arithmetic mean for the default 10</w:t>
      </w:r>
      <w:r w:rsidR="00F6243B" w:rsidRPr="008F2030">
        <w:rPr>
          <w:rFonts w:ascii="Calibri" w:eastAsia="Calibri" w:hAnsi="Calibri" w:cs="Calibri"/>
        </w:rPr>
        <w:t xml:space="preserve"> </w:t>
      </w:r>
      <w:r w:rsidRPr="008F2030">
        <w:rPr>
          <w:rFonts w:ascii="Calibri" w:eastAsia="Calibri" w:hAnsi="Calibri" w:cs="Calibri"/>
        </w:rPr>
        <w:t>km by 10</w:t>
      </w:r>
      <w:r w:rsidR="00F6243B" w:rsidRPr="008F2030">
        <w:rPr>
          <w:rFonts w:ascii="Calibri" w:eastAsia="Calibri" w:hAnsi="Calibri" w:cs="Calibri"/>
        </w:rPr>
        <w:t xml:space="preserve"> </w:t>
      </w:r>
      <w:r w:rsidRPr="008F2030">
        <w:rPr>
          <w:rFonts w:ascii="Calibri" w:eastAsia="Calibri" w:hAnsi="Calibri" w:cs="Calibri"/>
        </w:rPr>
        <w:t>km domain defined by the Bowen ratio.</w:t>
      </w:r>
    </w:p>
    <w:p w14:paraId="12C07F7B" w14:textId="77777777" w:rsidR="004F5587" w:rsidRDefault="004F5587" w:rsidP="004F5587">
      <w:pPr>
        <w:rPr>
          <w:rFonts w:ascii="Calibri" w:eastAsia="Calibri" w:hAnsi="Calibri" w:cs="Calibri"/>
        </w:rPr>
      </w:pPr>
      <w:r>
        <w:rPr>
          <w:rFonts w:ascii="Calibri" w:eastAsia="Calibri" w:hAnsi="Calibri" w:cs="Calibri"/>
        </w:rPr>
        <w:t>Applicants are also encouraged to follow Section 3.1.2 and 3.1.3 in EPA’s latest version of the AERMOD Implementation Guide to determine surface characteristics around the meteorological sensor based on the latest version of AERSURFACE.</w:t>
      </w:r>
    </w:p>
    <w:p w14:paraId="7DE74F45" w14:textId="4F82BBC7" w:rsidR="004F5587" w:rsidRDefault="004F5587" w:rsidP="004F5587">
      <w:pPr>
        <w:rPr>
          <w:rFonts w:ascii="Calibri" w:eastAsia="Calibri" w:hAnsi="Calibri" w:cs="Calibri"/>
        </w:rPr>
      </w:pPr>
      <w:r>
        <w:rPr>
          <w:rFonts w:ascii="Calibri" w:eastAsia="Calibri" w:hAnsi="Calibri" w:cs="Calibri"/>
        </w:rPr>
        <w:t>Depending on the source location, data from the following two upper air sites are required for AERMOD meteorological data processing: 1) Albany upper air sounding data for all sources located &gt;10</w:t>
      </w:r>
      <w:r w:rsidR="008F2030">
        <w:rPr>
          <w:rFonts w:ascii="Calibri" w:eastAsia="Calibri" w:hAnsi="Calibri" w:cs="Calibri"/>
        </w:rPr>
        <w:t xml:space="preserve"> </w:t>
      </w:r>
      <w:r>
        <w:rPr>
          <w:rFonts w:ascii="Calibri" w:eastAsia="Calibri" w:hAnsi="Calibri" w:cs="Calibri"/>
        </w:rPr>
        <w:t>km away from Connecticut’s shoreline; and 2) Brookhaven upper air sounding data for all sources located within 10</w:t>
      </w:r>
      <w:r w:rsidR="008F2030">
        <w:rPr>
          <w:rFonts w:ascii="Calibri" w:eastAsia="Calibri" w:hAnsi="Calibri" w:cs="Calibri"/>
        </w:rPr>
        <w:t xml:space="preserve"> </w:t>
      </w:r>
      <w:r>
        <w:rPr>
          <w:rFonts w:ascii="Calibri" w:eastAsia="Calibri" w:hAnsi="Calibri" w:cs="Calibri"/>
        </w:rPr>
        <w:t>km along Connecticut’s shoreline.</w:t>
      </w:r>
    </w:p>
    <w:p w14:paraId="3B0EA7C4" w14:textId="14BADD16" w:rsidR="004F5587" w:rsidRPr="008319A6" w:rsidRDefault="004F5587" w:rsidP="008319A6">
      <w:pPr>
        <w:rPr>
          <w:rFonts w:ascii="Calibri" w:eastAsia="Calibri" w:hAnsi="Calibri" w:cs="Calibri"/>
        </w:rPr>
      </w:pPr>
      <w:r>
        <w:rPr>
          <w:rFonts w:ascii="Calibri" w:eastAsia="Calibri" w:hAnsi="Calibri" w:cs="Calibri"/>
        </w:rPr>
        <w:t xml:space="preserve">We strongly encourage applicants to consult with CT DEEP modeling staff to discuss meteorological data requirements prior to performing refined dispersion modeling. However, for most permit modeling in Connecticut and consistent with the above discussion, CT DEEP has developed AERMOD ready preprocessed NWS ASOS/AWOS meteorological data shown in Figure 4-1 below. Applicants may download the available processed AERMOD ready meteorological data posted on the met data section of </w:t>
      </w:r>
      <w:r>
        <w:t>CT DEEP</w:t>
      </w:r>
      <w:r w:rsidRPr="005861C7">
        <w:t xml:space="preserve">’s </w:t>
      </w:r>
      <w:hyperlink r:id="rId19" w:history="1">
        <w:r w:rsidRPr="005861C7">
          <w:rPr>
            <w:rStyle w:val="Hyperlink"/>
          </w:rPr>
          <w:t>modeling web page</w:t>
        </w:r>
      </w:hyperlink>
      <w:r>
        <w:rPr>
          <w:rFonts w:ascii="Calibri" w:eastAsia="Calibri" w:hAnsi="Calibri" w:cs="Calibri"/>
        </w:rPr>
        <w:t>.</w:t>
      </w:r>
    </w:p>
    <w:p w14:paraId="6DD71EB4" w14:textId="77777777" w:rsidR="008319A6" w:rsidRDefault="008319A6">
      <w:pPr>
        <w:jc w:val="left"/>
        <w:rPr>
          <w:rFonts w:ascii="Calibri" w:eastAsia="Calibri" w:hAnsi="Calibri" w:cs="Calibri"/>
          <w:b/>
        </w:rPr>
      </w:pPr>
      <w:r>
        <w:rPr>
          <w:rFonts w:ascii="Calibri" w:eastAsia="Calibri" w:hAnsi="Calibri" w:cs="Calibri"/>
          <w:b/>
        </w:rPr>
        <w:br w:type="page"/>
      </w:r>
    </w:p>
    <w:p w14:paraId="3C46EF82" w14:textId="5FC042FF" w:rsidR="004F5587" w:rsidRDefault="004F5587" w:rsidP="004F5587">
      <w:pPr>
        <w:jc w:val="center"/>
        <w:rPr>
          <w:rFonts w:ascii="Calibri" w:eastAsia="Calibri" w:hAnsi="Calibri" w:cs="Calibri"/>
          <w:b/>
        </w:rPr>
      </w:pPr>
      <w:r>
        <w:rPr>
          <w:rFonts w:ascii="Calibri" w:eastAsia="Calibri" w:hAnsi="Calibri" w:cs="Calibri"/>
          <w:b/>
        </w:rPr>
        <w:lastRenderedPageBreak/>
        <w:t>FIGURE 4-1</w:t>
      </w:r>
    </w:p>
    <w:p w14:paraId="085F2EE3" w14:textId="77029A79" w:rsidR="004F5587" w:rsidRDefault="00B8678E" w:rsidP="004F5587">
      <w:pPr>
        <w:jc w:val="center"/>
        <w:rPr>
          <w:rFonts w:ascii="Calibri" w:eastAsia="Calibri" w:hAnsi="Calibri" w:cs="Calibri"/>
          <w:b/>
        </w:rPr>
      </w:pPr>
      <w:r>
        <w:rPr>
          <w:noProof/>
        </w:rPr>
        <w:drawing>
          <wp:inline distT="0" distB="0" distL="0" distR="0" wp14:anchorId="39ED0566" wp14:editId="172A2893">
            <wp:extent cx="5073092" cy="4076793"/>
            <wp:effectExtent l="19050" t="19050" r="133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9130" cy="4081645"/>
                    </a:xfrm>
                    <a:prstGeom prst="rect">
                      <a:avLst/>
                    </a:prstGeom>
                    <a:ln>
                      <a:solidFill>
                        <a:schemeClr val="tx1"/>
                      </a:solidFill>
                    </a:ln>
                  </pic:spPr>
                </pic:pic>
              </a:graphicData>
            </a:graphic>
          </wp:inline>
        </w:drawing>
      </w:r>
    </w:p>
    <w:p w14:paraId="46967A14" w14:textId="77777777" w:rsidR="004F5587" w:rsidRDefault="004F5587" w:rsidP="008319A6">
      <w:pPr>
        <w:pStyle w:val="Heading3"/>
        <w:rPr>
          <w:rFonts w:eastAsia="Tw Cen MT"/>
        </w:rPr>
      </w:pPr>
      <w:bookmarkStart w:id="30" w:name="_Toc147226885"/>
      <w:r>
        <w:rPr>
          <w:rFonts w:eastAsia="Tw Cen MT"/>
        </w:rPr>
        <w:t>Single Source Refined Modeling</w:t>
      </w:r>
      <w:bookmarkEnd w:id="30"/>
    </w:p>
    <w:p w14:paraId="15D63346" w14:textId="77777777" w:rsidR="004F5587" w:rsidRDefault="004F5587" w:rsidP="004F5587">
      <w:pPr>
        <w:rPr>
          <w:rFonts w:ascii="Calibri" w:eastAsia="Calibri" w:hAnsi="Calibri" w:cs="Calibri"/>
        </w:rPr>
      </w:pPr>
      <w:r>
        <w:rPr>
          <w:rFonts w:ascii="Calibri" w:eastAsia="Calibri" w:hAnsi="Calibri" w:cs="Calibri"/>
        </w:rPr>
        <w:t>The objectives of the single source refined modeling is: 1) to determine if a new or modified source may cause or significantly contribute to a violation of the NAAQS and PSD increments, and 2) if a new or modified source has model predicted significant impacts in order to determine the significant impact area (SIA) for cumulative modeling.</w:t>
      </w:r>
    </w:p>
    <w:p w14:paraId="5579CE62" w14:textId="77777777" w:rsidR="004F5587" w:rsidRDefault="004F5587" w:rsidP="004F5587">
      <w:pPr>
        <w:rPr>
          <w:rFonts w:ascii="Calibri" w:eastAsia="Calibri" w:hAnsi="Calibri" w:cs="Calibri"/>
        </w:rPr>
      </w:pPr>
      <w:r>
        <w:rPr>
          <w:rFonts w:ascii="Calibri" w:eastAsia="Calibri" w:hAnsi="Calibri" w:cs="Calibri"/>
          <w:b/>
        </w:rPr>
        <w:t>Significant Impact Area Determination</w:t>
      </w:r>
    </w:p>
    <w:p w14:paraId="3CEF6A28" w14:textId="5560E980" w:rsidR="004F5587" w:rsidRDefault="004F5587" w:rsidP="004F5587">
      <w:pPr>
        <w:rPr>
          <w:rFonts w:ascii="Calibri" w:eastAsia="Calibri" w:hAnsi="Calibri" w:cs="Calibri"/>
        </w:rPr>
      </w:pPr>
      <w:r>
        <w:rPr>
          <w:rFonts w:ascii="Calibri" w:eastAsia="Calibri" w:hAnsi="Calibri" w:cs="Calibri"/>
        </w:rPr>
        <w:t>The SIA is defined as the most distant location where air quality modeling predicts a significant ambient impact for a given pollutant, or the nominal 50 km distance, “</w:t>
      </w:r>
      <w:r>
        <w:rPr>
          <w:rFonts w:ascii="Calibri" w:eastAsia="Calibri" w:hAnsi="Calibri" w:cs="Calibri"/>
          <w:b/>
        </w:rPr>
        <w:t>whichever is less</w:t>
      </w:r>
      <w:r>
        <w:rPr>
          <w:rFonts w:ascii="Calibri" w:eastAsia="Calibri" w:hAnsi="Calibri" w:cs="Calibri"/>
        </w:rPr>
        <w:t xml:space="preserve">”. The SIA distance is </w:t>
      </w:r>
      <w:r w:rsidR="005A2FFF">
        <w:rPr>
          <w:rFonts w:ascii="Calibri" w:eastAsia="Calibri" w:hAnsi="Calibri" w:cs="Calibri"/>
        </w:rPr>
        <w:t>the</w:t>
      </w:r>
      <w:r>
        <w:rPr>
          <w:rFonts w:ascii="Calibri" w:eastAsia="Calibri" w:hAnsi="Calibri" w:cs="Calibri"/>
        </w:rPr>
        <w:t xml:space="preserve"> modeling domain (including all receptors) within the SIA that is used to determine which sources </w:t>
      </w:r>
      <w:r w:rsidR="005A2FFF">
        <w:rPr>
          <w:rFonts w:ascii="Calibri" w:eastAsia="Calibri" w:hAnsi="Calibri" w:cs="Calibri"/>
        </w:rPr>
        <w:t>are to</w:t>
      </w:r>
      <w:r>
        <w:rPr>
          <w:rFonts w:ascii="Calibri" w:eastAsia="Calibri" w:hAnsi="Calibri" w:cs="Calibri"/>
        </w:rPr>
        <w:t xml:space="preserve"> be included in a cumulative modeling analysis. If maximum impacts exceed the SIL for any pollutant and averaging time shown in Table 3-3, then a cumulative ambient impact analysis is required.</w:t>
      </w:r>
    </w:p>
    <w:p w14:paraId="47C8513B" w14:textId="77777777" w:rsidR="004F5587" w:rsidRDefault="004F5587" w:rsidP="008319A6">
      <w:pPr>
        <w:pStyle w:val="Heading2"/>
        <w:rPr>
          <w:rFonts w:eastAsia="Tw Cen MT"/>
        </w:rPr>
      </w:pPr>
      <w:bookmarkStart w:id="31" w:name="_Toc147226886"/>
      <w:r>
        <w:rPr>
          <w:rFonts w:eastAsia="Tw Cen MT"/>
        </w:rPr>
        <w:t>1-Hour NO</w:t>
      </w:r>
      <w:r>
        <w:rPr>
          <w:rFonts w:eastAsia="Tw Cen MT"/>
          <w:vertAlign w:val="subscript"/>
        </w:rPr>
        <w:t>2</w:t>
      </w:r>
      <w:r>
        <w:rPr>
          <w:rFonts w:eastAsia="Tw Cen MT"/>
        </w:rPr>
        <w:t xml:space="preserve"> NAAQS Compliance Options</w:t>
      </w:r>
      <w:bookmarkEnd w:id="31"/>
    </w:p>
    <w:p w14:paraId="6AE10FF6" w14:textId="47635982" w:rsidR="004F5587" w:rsidRDefault="004F5587" w:rsidP="004F5587">
      <w:pPr>
        <w:rPr>
          <w:rFonts w:ascii="Calibri" w:eastAsia="Calibri" w:hAnsi="Calibri" w:cs="Calibri"/>
        </w:rPr>
      </w:pPr>
      <w:r>
        <w:rPr>
          <w:rFonts w:ascii="Calibri" w:eastAsia="Calibri" w:hAnsi="Calibri" w:cs="Calibri"/>
        </w:rPr>
        <w:t>The EPA promulgated a new 1-hour NO</w:t>
      </w:r>
      <w:r>
        <w:rPr>
          <w:rFonts w:ascii="Calibri" w:eastAsia="Calibri" w:hAnsi="Calibri" w:cs="Calibri"/>
          <w:vertAlign w:val="subscript"/>
        </w:rPr>
        <w:t>2</w:t>
      </w:r>
      <w:r>
        <w:rPr>
          <w:rFonts w:ascii="Calibri" w:eastAsia="Calibri" w:hAnsi="Calibri" w:cs="Calibri"/>
        </w:rPr>
        <w:t xml:space="preserve"> NAAQS based on the 3-year average (for modeling purposes based on the 5-year average) of the 98</w:t>
      </w:r>
      <w:r>
        <w:rPr>
          <w:rFonts w:ascii="Calibri" w:eastAsia="Calibri" w:hAnsi="Calibri" w:cs="Calibri"/>
          <w:vertAlign w:val="superscript"/>
        </w:rPr>
        <w:t>th</w:t>
      </w:r>
      <w:r>
        <w:rPr>
          <w:rFonts w:ascii="Calibri" w:eastAsia="Calibri" w:hAnsi="Calibri" w:cs="Calibri"/>
        </w:rPr>
        <w:t xml:space="preserve"> percentile annual distribution of the maximum daily 1-hour concentration not to exceed 100</w:t>
      </w:r>
      <w:r w:rsidR="00F6243B">
        <w:rPr>
          <w:rFonts w:ascii="Calibri" w:eastAsia="Calibri" w:hAnsi="Calibri" w:cs="Calibri"/>
        </w:rPr>
        <w:t xml:space="preserve"> </w:t>
      </w:r>
      <w:r>
        <w:rPr>
          <w:rFonts w:ascii="Calibri" w:eastAsia="Calibri" w:hAnsi="Calibri" w:cs="Calibri"/>
        </w:rPr>
        <w:t>ppb (188</w:t>
      </w:r>
      <w:r w:rsidR="008F2030">
        <w:rPr>
          <w:rFonts w:ascii="Calibri" w:eastAsia="Calibri" w:hAnsi="Calibri" w:cs="Calibri"/>
        </w:rPr>
        <w:t xml:space="preserve"> </w:t>
      </w:r>
      <w:r>
        <w:rPr>
          <w:rFonts w:ascii="Calibri" w:eastAsia="Calibri" w:hAnsi="Calibri" w:cs="Calibri"/>
        </w:rPr>
        <w:t>µg/m</w:t>
      </w:r>
      <w:r>
        <w:rPr>
          <w:rFonts w:ascii="Calibri" w:eastAsia="Calibri" w:hAnsi="Calibri" w:cs="Calibri"/>
          <w:vertAlign w:val="superscript"/>
        </w:rPr>
        <w:t>3</w:t>
      </w:r>
      <w:r>
        <w:rPr>
          <w:rFonts w:ascii="Calibri" w:eastAsia="Calibri" w:hAnsi="Calibri" w:cs="Calibri"/>
        </w:rPr>
        <w:t>) in 2010. Due to the complex chemical transformation from sources’ NO</w:t>
      </w:r>
      <w:r>
        <w:rPr>
          <w:rFonts w:ascii="Calibri" w:eastAsia="Calibri" w:hAnsi="Calibri" w:cs="Calibri"/>
          <w:vertAlign w:val="subscript"/>
        </w:rPr>
        <w:t>x</w:t>
      </w:r>
      <w:r>
        <w:rPr>
          <w:rFonts w:ascii="Calibri" w:eastAsia="Calibri" w:hAnsi="Calibri" w:cs="Calibri"/>
        </w:rPr>
        <w:t xml:space="preserve"> emissions to form NO</w:t>
      </w:r>
      <w:r>
        <w:rPr>
          <w:rFonts w:ascii="Calibri" w:eastAsia="Calibri" w:hAnsi="Calibri" w:cs="Calibri"/>
          <w:vertAlign w:val="subscript"/>
        </w:rPr>
        <w:t>2</w:t>
      </w:r>
      <w:r>
        <w:rPr>
          <w:rFonts w:ascii="Calibri" w:eastAsia="Calibri" w:hAnsi="Calibri" w:cs="Calibri"/>
        </w:rPr>
        <w:t xml:space="preserve"> in the atmosphere, and the stringency of the 1-hour NO</w:t>
      </w:r>
      <w:r>
        <w:rPr>
          <w:rFonts w:ascii="Calibri" w:eastAsia="Calibri" w:hAnsi="Calibri" w:cs="Calibri"/>
          <w:vertAlign w:val="subscript"/>
        </w:rPr>
        <w:t>2</w:t>
      </w:r>
      <w:r>
        <w:rPr>
          <w:rFonts w:ascii="Calibri" w:eastAsia="Calibri" w:hAnsi="Calibri" w:cs="Calibri"/>
        </w:rPr>
        <w:t xml:space="preserve"> NAAQS, EPA issued several modeling guidance memorandums (EPA </w:t>
      </w:r>
      <w:hyperlink r:id="rId21" w:history="1">
        <w:r w:rsidRPr="00803347">
          <w:rPr>
            <w:rStyle w:val="Hyperlink"/>
            <w:rFonts w:ascii="Calibri" w:eastAsia="Calibri" w:hAnsi="Calibri" w:cs="Calibri"/>
          </w:rPr>
          <w:t>2011</w:t>
        </w:r>
      </w:hyperlink>
      <w:r w:rsidRPr="00803347">
        <w:rPr>
          <w:rFonts w:ascii="Calibri" w:eastAsia="Calibri" w:hAnsi="Calibri" w:cs="Calibri"/>
          <w:color w:val="000000" w:themeColor="text1"/>
        </w:rPr>
        <w:t xml:space="preserve"> and </w:t>
      </w:r>
      <w:hyperlink r:id="rId22" w:history="1">
        <w:r w:rsidRPr="00803347">
          <w:rPr>
            <w:rStyle w:val="Hyperlink"/>
            <w:rFonts w:ascii="Calibri" w:eastAsia="Calibri" w:hAnsi="Calibri" w:cs="Calibri"/>
          </w:rPr>
          <w:t>2014</w:t>
        </w:r>
      </w:hyperlink>
      <w:r w:rsidRPr="00803347">
        <w:rPr>
          <w:rFonts w:ascii="Calibri" w:eastAsia="Calibri" w:hAnsi="Calibri" w:cs="Calibri"/>
          <w:color w:val="000000" w:themeColor="text1"/>
        </w:rPr>
        <w:t xml:space="preserve">) regarding </w:t>
      </w:r>
      <w:r>
        <w:rPr>
          <w:rFonts w:ascii="Calibri" w:eastAsia="Calibri" w:hAnsi="Calibri" w:cs="Calibri"/>
        </w:rPr>
        <w:t>options for demonstrating compliance with the 1-hour NO</w:t>
      </w:r>
      <w:r>
        <w:rPr>
          <w:rFonts w:ascii="Calibri" w:eastAsia="Calibri" w:hAnsi="Calibri" w:cs="Calibri"/>
          <w:vertAlign w:val="subscript"/>
        </w:rPr>
        <w:t>2</w:t>
      </w:r>
      <w:r>
        <w:rPr>
          <w:rFonts w:ascii="Calibri" w:eastAsia="Calibri" w:hAnsi="Calibri" w:cs="Calibri"/>
        </w:rPr>
        <w:t xml:space="preserve"> NAAQS. These options include a multi-tiered screening modeling approach, certain modeling exemptions for intermittent sources, and start-up/shutdown emissions scenarios. Below is a summary of the multi-tiered screening approach and modeling exemptions to attain the </w:t>
      </w:r>
      <w:r>
        <w:rPr>
          <w:rFonts w:ascii="Calibri" w:eastAsia="Calibri" w:hAnsi="Calibri" w:cs="Calibri"/>
        </w:rPr>
        <w:lastRenderedPageBreak/>
        <w:t>NO</w:t>
      </w:r>
      <w:r>
        <w:rPr>
          <w:rFonts w:ascii="Calibri" w:eastAsia="Calibri" w:hAnsi="Calibri" w:cs="Calibri"/>
          <w:vertAlign w:val="subscript"/>
        </w:rPr>
        <w:t>2</w:t>
      </w:r>
      <w:r>
        <w:rPr>
          <w:rFonts w:ascii="Calibri" w:eastAsia="Calibri" w:hAnsi="Calibri" w:cs="Calibri"/>
        </w:rPr>
        <w:t xml:space="preserve"> NAAQS (see section 4.2.3.4 and Figure 4-1 in EPA’s Appendix W Revisions to the Guideline on Air Quality Models for a detailed discussion of the NO</w:t>
      </w:r>
      <w:r>
        <w:rPr>
          <w:rFonts w:ascii="Calibri" w:eastAsia="Calibri" w:hAnsi="Calibri" w:cs="Calibri"/>
          <w:vertAlign w:val="subscript"/>
        </w:rPr>
        <w:t>2</w:t>
      </w:r>
      <w:r>
        <w:rPr>
          <w:rFonts w:ascii="Calibri" w:eastAsia="Calibri" w:hAnsi="Calibri" w:cs="Calibri"/>
        </w:rPr>
        <w:t xml:space="preserve"> multi-tiered screening approach).</w:t>
      </w:r>
    </w:p>
    <w:p w14:paraId="572E2DCD" w14:textId="77777777" w:rsidR="004F5587" w:rsidRDefault="004F5587" w:rsidP="00357E0C">
      <w:pPr>
        <w:pStyle w:val="Heading3"/>
        <w:rPr>
          <w:rFonts w:eastAsia="Tw Cen MT"/>
        </w:rPr>
      </w:pPr>
      <w:bookmarkStart w:id="32" w:name="_Toc147226887"/>
      <w:r>
        <w:rPr>
          <w:rFonts w:eastAsia="Tw Cen MT"/>
        </w:rPr>
        <w:t>NO</w:t>
      </w:r>
      <w:r>
        <w:rPr>
          <w:rFonts w:eastAsia="Tw Cen MT"/>
          <w:vertAlign w:val="subscript"/>
        </w:rPr>
        <w:t>2</w:t>
      </w:r>
      <w:r>
        <w:rPr>
          <w:rFonts w:eastAsia="Tw Cen MT"/>
        </w:rPr>
        <w:t xml:space="preserve"> Screening Methods</w:t>
      </w:r>
      <w:bookmarkEnd w:id="32"/>
    </w:p>
    <w:p w14:paraId="219FFECC" w14:textId="77777777" w:rsidR="004F5587" w:rsidRDefault="004F5587" w:rsidP="004F5587">
      <w:pPr>
        <w:rPr>
          <w:rFonts w:ascii="Calibri" w:eastAsia="Calibri" w:hAnsi="Calibri" w:cs="Calibri"/>
        </w:rPr>
      </w:pPr>
      <w:r>
        <w:rPr>
          <w:rFonts w:ascii="Calibri" w:eastAsia="Calibri" w:hAnsi="Calibri" w:cs="Calibri"/>
        </w:rPr>
        <w:t>Tier 1 is a first tier (most conservative) “full conversion approach” of NO to NO</w:t>
      </w:r>
      <w:r>
        <w:rPr>
          <w:rFonts w:ascii="Calibri" w:eastAsia="Calibri" w:hAnsi="Calibri" w:cs="Calibri"/>
          <w:vertAlign w:val="subscript"/>
        </w:rPr>
        <w:t>2</w:t>
      </w:r>
      <w:r>
        <w:rPr>
          <w:rFonts w:ascii="Calibri" w:eastAsia="Calibri" w:hAnsi="Calibri" w:cs="Calibri"/>
        </w:rPr>
        <w:t xml:space="preserve"> without additional modeling inputs or options.</w:t>
      </w:r>
    </w:p>
    <w:p w14:paraId="11FE8C1D" w14:textId="77777777" w:rsidR="004F5587" w:rsidRDefault="004F5587" w:rsidP="004F5587">
      <w:pPr>
        <w:rPr>
          <w:rFonts w:ascii="Calibri" w:eastAsia="Calibri" w:hAnsi="Calibri" w:cs="Calibri"/>
        </w:rPr>
      </w:pPr>
      <w:r>
        <w:rPr>
          <w:rFonts w:ascii="Calibri" w:eastAsia="Calibri" w:hAnsi="Calibri" w:cs="Calibri"/>
        </w:rPr>
        <w:t>Tier 2 Ambient Ratio Method 2 (ARM2)</w:t>
      </w:r>
    </w:p>
    <w:p w14:paraId="6D51EA42" w14:textId="496D9C5A" w:rsidR="004F5587" w:rsidRDefault="004F5587" w:rsidP="004F5587">
      <w:pPr>
        <w:rPr>
          <w:rFonts w:ascii="Calibri" w:eastAsia="Calibri" w:hAnsi="Calibri" w:cs="Calibri"/>
        </w:rPr>
      </w:pPr>
      <w:r>
        <w:rPr>
          <w:rFonts w:ascii="Calibri" w:eastAsia="Calibri" w:hAnsi="Calibri" w:cs="Calibri"/>
        </w:rPr>
        <w:t>The model internally multiplies Tier 1 impacts by ARM2 using default ambient ratios, and or source-specific NO</w:t>
      </w:r>
      <w:r>
        <w:rPr>
          <w:rFonts w:ascii="Calibri" w:eastAsia="Calibri" w:hAnsi="Calibri" w:cs="Calibri"/>
          <w:vertAlign w:val="subscript"/>
        </w:rPr>
        <w:t>2</w:t>
      </w:r>
      <w:r>
        <w:rPr>
          <w:rFonts w:ascii="Calibri" w:eastAsia="Calibri" w:hAnsi="Calibri" w:cs="Calibri"/>
        </w:rPr>
        <w:t>/NO</w:t>
      </w:r>
      <w:r>
        <w:rPr>
          <w:rFonts w:ascii="Calibri" w:eastAsia="Calibri" w:hAnsi="Calibri" w:cs="Calibri"/>
          <w:vertAlign w:val="subscript"/>
        </w:rPr>
        <w:t>x</w:t>
      </w:r>
      <w:r>
        <w:rPr>
          <w:rFonts w:ascii="Calibri" w:eastAsia="Calibri" w:hAnsi="Calibri" w:cs="Calibri"/>
        </w:rPr>
        <w:t xml:space="preserve"> in stack ratio (ISR) data as a surrogate for source-specific ambient ratios. The ARM2 national default minimum and maximum ambient ratios for the primary source </w:t>
      </w:r>
      <w:r w:rsidR="00C24410">
        <w:rPr>
          <w:rFonts w:ascii="Calibri" w:eastAsia="Calibri" w:hAnsi="Calibri" w:cs="Calibri"/>
        </w:rPr>
        <w:t>are</w:t>
      </w:r>
      <w:r>
        <w:rPr>
          <w:rFonts w:ascii="Calibri" w:eastAsia="Calibri" w:hAnsi="Calibri" w:cs="Calibri"/>
        </w:rPr>
        <w:t xml:space="preserve"> 0.5 and 0.9. For cumulative modeling, all sources located within the immediate vicinity (1-3</w:t>
      </w:r>
      <w:r w:rsidR="008F2030">
        <w:rPr>
          <w:rFonts w:ascii="Calibri" w:eastAsia="Calibri" w:hAnsi="Calibri" w:cs="Calibri"/>
        </w:rPr>
        <w:t xml:space="preserve"> </w:t>
      </w:r>
      <w:r>
        <w:rPr>
          <w:rFonts w:ascii="Calibri" w:eastAsia="Calibri" w:hAnsi="Calibri" w:cs="Calibri"/>
        </w:rPr>
        <w:t>km) of the primary source being modeled is also 0.5. Preferably, source-specific NO</w:t>
      </w:r>
      <w:r>
        <w:rPr>
          <w:rFonts w:ascii="Calibri" w:eastAsia="Calibri" w:hAnsi="Calibri" w:cs="Calibri"/>
          <w:vertAlign w:val="subscript"/>
        </w:rPr>
        <w:t>2</w:t>
      </w:r>
      <w:r>
        <w:rPr>
          <w:rFonts w:ascii="Calibri" w:eastAsia="Calibri" w:hAnsi="Calibri" w:cs="Calibri"/>
        </w:rPr>
        <w:t>/NO</w:t>
      </w:r>
      <w:r>
        <w:rPr>
          <w:rFonts w:ascii="Calibri" w:eastAsia="Calibri" w:hAnsi="Calibri" w:cs="Calibri"/>
          <w:vertAlign w:val="subscript"/>
        </w:rPr>
        <w:t>x</w:t>
      </w:r>
      <w:r>
        <w:rPr>
          <w:rFonts w:ascii="Calibri" w:eastAsia="Calibri" w:hAnsi="Calibri" w:cs="Calibri"/>
        </w:rPr>
        <w:t xml:space="preserve"> ISRs may be used if all quality assurance procedures for NO</w:t>
      </w:r>
      <w:r>
        <w:rPr>
          <w:rFonts w:ascii="Calibri" w:eastAsia="Calibri" w:hAnsi="Calibri" w:cs="Calibri"/>
          <w:vertAlign w:val="subscript"/>
        </w:rPr>
        <w:t>2</w:t>
      </w:r>
      <w:r>
        <w:rPr>
          <w:rFonts w:ascii="Calibri" w:eastAsia="Calibri" w:hAnsi="Calibri" w:cs="Calibri"/>
        </w:rPr>
        <w:t>/NO</w:t>
      </w:r>
      <w:r>
        <w:rPr>
          <w:rFonts w:ascii="Calibri" w:eastAsia="Calibri" w:hAnsi="Calibri" w:cs="Calibri"/>
          <w:vertAlign w:val="subscript"/>
        </w:rPr>
        <w:t>x</w:t>
      </w:r>
      <w:r>
        <w:rPr>
          <w:rFonts w:ascii="Calibri" w:eastAsia="Calibri" w:hAnsi="Calibri" w:cs="Calibri"/>
        </w:rPr>
        <w:t xml:space="preserve"> within the typical range of measured ambient ratio values are satisfied, such as: EPA’s NO</w:t>
      </w:r>
      <w:r>
        <w:rPr>
          <w:rFonts w:ascii="Calibri" w:eastAsia="Calibri" w:hAnsi="Calibri" w:cs="Calibri"/>
          <w:vertAlign w:val="subscript"/>
        </w:rPr>
        <w:t>2</w:t>
      </w:r>
      <w:r>
        <w:rPr>
          <w:rFonts w:ascii="Calibri" w:eastAsia="Calibri" w:hAnsi="Calibri" w:cs="Calibri"/>
        </w:rPr>
        <w:t>/NO</w:t>
      </w:r>
      <w:r>
        <w:rPr>
          <w:rFonts w:ascii="Calibri" w:eastAsia="Calibri" w:hAnsi="Calibri" w:cs="Calibri"/>
          <w:vertAlign w:val="subscript"/>
        </w:rPr>
        <w:t>x</w:t>
      </w:r>
      <w:r>
        <w:rPr>
          <w:rFonts w:ascii="Calibri" w:eastAsia="Calibri" w:hAnsi="Calibri" w:cs="Calibri"/>
        </w:rPr>
        <w:t xml:space="preserve"> ISR database, manufacturer test data, and peer-reviewed literature to justify a source’s anticipated NO</w:t>
      </w:r>
      <w:r>
        <w:rPr>
          <w:rFonts w:ascii="Calibri" w:eastAsia="Calibri" w:hAnsi="Calibri" w:cs="Calibri"/>
          <w:vertAlign w:val="subscript"/>
        </w:rPr>
        <w:t>2</w:t>
      </w:r>
      <w:r>
        <w:rPr>
          <w:rFonts w:ascii="Calibri" w:eastAsia="Calibri" w:hAnsi="Calibri" w:cs="Calibri"/>
        </w:rPr>
        <w:t>/NO</w:t>
      </w:r>
      <w:r>
        <w:rPr>
          <w:rFonts w:ascii="Calibri" w:eastAsia="Calibri" w:hAnsi="Calibri" w:cs="Calibri"/>
          <w:vertAlign w:val="subscript"/>
        </w:rPr>
        <w:t>x</w:t>
      </w:r>
      <w:r>
        <w:rPr>
          <w:rFonts w:ascii="Calibri" w:eastAsia="Calibri" w:hAnsi="Calibri" w:cs="Calibri"/>
        </w:rPr>
        <w:t xml:space="preserve"> ISRs.</w:t>
      </w:r>
    </w:p>
    <w:p w14:paraId="7A94C8E1" w14:textId="77777777" w:rsidR="004F5587" w:rsidRDefault="004F5587" w:rsidP="004F5587">
      <w:pPr>
        <w:rPr>
          <w:rFonts w:ascii="Calibri" w:eastAsia="Calibri" w:hAnsi="Calibri" w:cs="Calibri"/>
        </w:rPr>
      </w:pPr>
      <w:r>
        <w:rPr>
          <w:rFonts w:ascii="Calibri" w:eastAsia="Calibri" w:hAnsi="Calibri" w:cs="Calibri"/>
        </w:rPr>
        <w:t xml:space="preserve">Tier 3 Plume Volume Molar Ratio/Ozone Limiting Method (OLM/PVMRM) </w:t>
      </w:r>
    </w:p>
    <w:p w14:paraId="38EB56F3" w14:textId="0D141785" w:rsidR="004F5587" w:rsidRDefault="004F5587" w:rsidP="004F5587">
      <w:pPr>
        <w:rPr>
          <w:rFonts w:ascii="Calibri" w:eastAsia="Calibri" w:hAnsi="Calibri" w:cs="Calibri"/>
        </w:rPr>
      </w:pPr>
      <w:r>
        <w:rPr>
          <w:rFonts w:ascii="Calibri" w:eastAsia="Calibri" w:hAnsi="Calibri" w:cs="Calibri"/>
        </w:rPr>
        <w:t>PVMRM/OLM screening methods are the most complex of the three tiers that require one additional model input: 1) default or source specific NO</w:t>
      </w:r>
      <w:r>
        <w:rPr>
          <w:rFonts w:ascii="Calibri" w:eastAsia="Calibri" w:hAnsi="Calibri" w:cs="Calibri"/>
          <w:vertAlign w:val="subscript"/>
        </w:rPr>
        <w:t>2</w:t>
      </w:r>
      <w:r>
        <w:rPr>
          <w:rFonts w:ascii="Calibri" w:eastAsia="Calibri" w:hAnsi="Calibri" w:cs="Calibri"/>
        </w:rPr>
        <w:t>/NO</w:t>
      </w:r>
      <w:r>
        <w:rPr>
          <w:rFonts w:ascii="Calibri" w:eastAsia="Calibri" w:hAnsi="Calibri" w:cs="Calibri"/>
          <w:vertAlign w:val="subscript"/>
        </w:rPr>
        <w:t>x</w:t>
      </w:r>
      <w:r>
        <w:rPr>
          <w:rFonts w:ascii="Calibri" w:eastAsia="Calibri" w:hAnsi="Calibri" w:cs="Calibri"/>
        </w:rPr>
        <w:t xml:space="preserve"> ISRs, and 2) hourly ozone background data. For sources beyond 1-3</w:t>
      </w:r>
      <w:r w:rsidR="008F2030">
        <w:rPr>
          <w:rFonts w:ascii="Calibri" w:eastAsia="Calibri" w:hAnsi="Calibri" w:cs="Calibri"/>
        </w:rPr>
        <w:t xml:space="preserve"> </w:t>
      </w:r>
      <w:r>
        <w:rPr>
          <w:rFonts w:ascii="Calibri" w:eastAsia="Calibri" w:hAnsi="Calibri" w:cs="Calibri"/>
        </w:rPr>
        <w:t>km of the subject source, the default value is 0.2. Preferably, source-specific NO</w:t>
      </w:r>
      <w:r>
        <w:rPr>
          <w:rFonts w:ascii="Calibri" w:eastAsia="Calibri" w:hAnsi="Calibri" w:cs="Calibri"/>
          <w:vertAlign w:val="subscript"/>
        </w:rPr>
        <w:t>2</w:t>
      </w:r>
      <w:r>
        <w:rPr>
          <w:rFonts w:ascii="Calibri" w:eastAsia="Calibri" w:hAnsi="Calibri" w:cs="Calibri"/>
        </w:rPr>
        <w:t>/NO</w:t>
      </w:r>
      <w:r>
        <w:rPr>
          <w:rFonts w:ascii="Calibri" w:eastAsia="Calibri" w:hAnsi="Calibri" w:cs="Calibri"/>
          <w:vertAlign w:val="subscript"/>
        </w:rPr>
        <w:t>x</w:t>
      </w:r>
      <w:r>
        <w:rPr>
          <w:rFonts w:ascii="Calibri" w:eastAsia="Calibri" w:hAnsi="Calibri" w:cs="Calibri"/>
        </w:rPr>
        <w:t xml:space="preserve"> ISRs may be used if all quality assurance procedures for NO</w:t>
      </w:r>
      <w:r>
        <w:rPr>
          <w:rFonts w:ascii="Calibri" w:eastAsia="Calibri" w:hAnsi="Calibri" w:cs="Calibri"/>
          <w:vertAlign w:val="subscript"/>
        </w:rPr>
        <w:t>2</w:t>
      </w:r>
      <w:r>
        <w:rPr>
          <w:rFonts w:ascii="Calibri" w:eastAsia="Calibri" w:hAnsi="Calibri" w:cs="Calibri"/>
        </w:rPr>
        <w:t>/NO</w:t>
      </w:r>
      <w:r>
        <w:rPr>
          <w:rFonts w:ascii="Calibri" w:eastAsia="Calibri" w:hAnsi="Calibri" w:cs="Calibri"/>
          <w:vertAlign w:val="subscript"/>
        </w:rPr>
        <w:t>x</w:t>
      </w:r>
      <w:r>
        <w:rPr>
          <w:rFonts w:ascii="Calibri" w:eastAsia="Calibri" w:hAnsi="Calibri" w:cs="Calibri"/>
        </w:rPr>
        <w:t xml:space="preserve"> within the typical range of measured ambient ratio values are satisfied, such as: EPA’s NO</w:t>
      </w:r>
      <w:r>
        <w:rPr>
          <w:rFonts w:ascii="Calibri" w:eastAsia="Calibri" w:hAnsi="Calibri" w:cs="Calibri"/>
          <w:vertAlign w:val="subscript"/>
        </w:rPr>
        <w:t>2</w:t>
      </w:r>
      <w:r>
        <w:rPr>
          <w:rFonts w:ascii="Calibri" w:eastAsia="Calibri" w:hAnsi="Calibri" w:cs="Calibri"/>
        </w:rPr>
        <w:t>/NO</w:t>
      </w:r>
      <w:r>
        <w:rPr>
          <w:rFonts w:ascii="Calibri" w:eastAsia="Calibri" w:hAnsi="Calibri" w:cs="Calibri"/>
          <w:vertAlign w:val="subscript"/>
        </w:rPr>
        <w:t>x</w:t>
      </w:r>
      <w:r>
        <w:rPr>
          <w:rFonts w:ascii="Calibri" w:eastAsia="Calibri" w:hAnsi="Calibri" w:cs="Calibri"/>
        </w:rPr>
        <w:t xml:space="preserve"> ISR database, manufacturer test data, and peer-reviewed literature to justify a source’s anticipated NO</w:t>
      </w:r>
      <w:r>
        <w:rPr>
          <w:rFonts w:ascii="Calibri" w:eastAsia="Calibri" w:hAnsi="Calibri" w:cs="Calibri"/>
          <w:vertAlign w:val="subscript"/>
        </w:rPr>
        <w:t>2</w:t>
      </w:r>
      <w:r>
        <w:rPr>
          <w:rFonts w:ascii="Calibri" w:eastAsia="Calibri" w:hAnsi="Calibri" w:cs="Calibri"/>
        </w:rPr>
        <w:t>/NO</w:t>
      </w:r>
      <w:r>
        <w:rPr>
          <w:rFonts w:ascii="Calibri" w:eastAsia="Calibri" w:hAnsi="Calibri" w:cs="Calibri"/>
          <w:vertAlign w:val="subscript"/>
        </w:rPr>
        <w:t>x</w:t>
      </w:r>
      <w:r>
        <w:rPr>
          <w:rFonts w:ascii="Calibri" w:eastAsia="Calibri" w:hAnsi="Calibri" w:cs="Calibri"/>
        </w:rPr>
        <w:t xml:space="preserve"> ISRs. For Major Source Permit Modeling, applicants must seek consultation and approval from CT DEEP modeling staff and EPA Region 1 prior to conducting a Tier 3 NO</w:t>
      </w:r>
      <w:r>
        <w:rPr>
          <w:rFonts w:ascii="Calibri" w:eastAsia="Calibri" w:hAnsi="Calibri" w:cs="Calibri"/>
          <w:vertAlign w:val="subscript"/>
        </w:rPr>
        <w:t>2</w:t>
      </w:r>
      <w:r>
        <w:rPr>
          <w:rFonts w:ascii="Calibri" w:eastAsia="Calibri" w:hAnsi="Calibri" w:cs="Calibri"/>
        </w:rPr>
        <w:t xml:space="preserve"> modeling analysis. For Minor Source Permit Modeling, applicants must seek consultation and approval from CT DEEP modeling staff prior to conducting a Tier 3 NO</w:t>
      </w:r>
      <w:r>
        <w:rPr>
          <w:rFonts w:ascii="Calibri" w:eastAsia="Calibri" w:hAnsi="Calibri" w:cs="Calibri"/>
          <w:vertAlign w:val="subscript"/>
        </w:rPr>
        <w:t>2</w:t>
      </w:r>
      <w:r>
        <w:rPr>
          <w:rFonts w:ascii="Calibri" w:eastAsia="Calibri" w:hAnsi="Calibri" w:cs="Calibri"/>
        </w:rPr>
        <w:t xml:space="preserve"> modeling analysis.</w:t>
      </w:r>
    </w:p>
    <w:p w14:paraId="377381D1" w14:textId="77777777" w:rsidR="004F5587" w:rsidRDefault="004F5587" w:rsidP="00357E0C">
      <w:pPr>
        <w:pStyle w:val="Heading3"/>
        <w:rPr>
          <w:rFonts w:eastAsia="Tw Cen MT"/>
        </w:rPr>
      </w:pPr>
      <w:bookmarkStart w:id="33" w:name="_Toc147226888"/>
      <w:r>
        <w:rPr>
          <w:rFonts w:eastAsia="Tw Cen MT"/>
        </w:rPr>
        <w:t>NO</w:t>
      </w:r>
      <w:r>
        <w:rPr>
          <w:rFonts w:eastAsia="Tw Cen MT"/>
          <w:vertAlign w:val="subscript"/>
        </w:rPr>
        <w:t>2</w:t>
      </w:r>
      <w:r>
        <w:rPr>
          <w:rFonts w:eastAsia="Tw Cen MT"/>
        </w:rPr>
        <w:t xml:space="preserve"> Modeling Exemptions for Intermittent Sources</w:t>
      </w:r>
      <w:bookmarkEnd w:id="33"/>
    </w:p>
    <w:p w14:paraId="65480B16" w14:textId="1D26C6F2" w:rsidR="004F5587" w:rsidRDefault="004F5587" w:rsidP="004F5587">
      <w:pPr>
        <w:rPr>
          <w:rFonts w:ascii="Calibri" w:eastAsia="Calibri" w:hAnsi="Calibri" w:cs="Calibri"/>
        </w:rPr>
      </w:pPr>
      <w:r>
        <w:rPr>
          <w:rFonts w:ascii="Calibri" w:eastAsia="Calibri" w:hAnsi="Calibri" w:cs="Calibri"/>
        </w:rPr>
        <w:t>EPA provides flexibility and discretion to exempt intermittent emissions from ancillary sources such as emergency generators, fire pumps, small boilers, and engines because emission scenarios are not continuous enough to contribute significantly to the annual distribution of the maximum daily 1-hour NO</w:t>
      </w:r>
      <w:r>
        <w:rPr>
          <w:rFonts w:ascii="Calibri" w:eastAsia="Calibri" w:hAnsi="Calibri" w:cs="Calibri"/>
          <w:vertAlign w:val="subscript"/>
        </w:rPr>
        <w:t>2</w:t>
      </w:r>
      <w:r>
        <w:rPr>
          <w:rFonts w:ascii="Calibri" w:eastAsia="Calibri" w:hAnsi="Calibri" w:cs="Calibri"/>
        </w:rPr>
        <w:t xml:space="preserve"> concentrations. The CT DEEP will consider an intermittent source on a case-</w:t>
      </w:r>
      <w:r w:rsidR="00C24410">
        <w:rPr>
          <w:rFonts w:ascii="Calibri" w:eastAsia="Calibri" w:hAnsi="Calibri" w:cs="Calibri"/>
        </w:rPr>
        <w:t>by-case</w:t>
      </w:r>
      <w:r>
        <w:rPr>
          <w:rFonts w:ascii="Calibri" w:eastAsia="Calibri" w:hAnsi="Calibri" w:cs="Calibri"/>
        </w:rPr>
        <w:t xml:space="preserve"> basis with permit limits of up to 500 hours per year that </w:t>
      </w:r>
      <w:r w:rsidR="00C24410">
        <w:rPr>
          <w:rFonts w:ascii="Calibri" w:eastAsia="Calibri" w:hAnsi="Calibri" w:cs="Calibri"/>
        </w:rPr>
        <w:t>could be potentially</w:t>
      </w:r>
      <w:r>
        <w:rPr>
          <w:rFonts w:ascii="Calibri" w:eastAsia="Calibri" w:hAnsi="Calibri" w:cs="Calibri"/>
        </w:rPr>
        <w:t xml:space="preserve"> exempt from 1-hour NO</w:t>
      </w:r>
      <w:r>
        <w:rPr>
          <w:rFonts w:ascii="Calibri" w:eastAsia="Calibri" w:hAnsi="Calibri" w:cs="Calibri"/>
          <w:vertAlign w:val="subscript"/>
        </w:rPr>
        <w:t>2</w:t>
      </w:r>
      <w:r>
        <w:rPr>
          <w:rFonts w:ascii="Calibri" w:eastAsia="Calibri" w:hAnsi="Calibri" w:cs="Calibri"/>
        </w:rPr>
        <w:t xml:space="preserve"> modeling (also applicable for 1-hour SO</w:t>
      </w:r>
      <w:r>
        <w:rPr>
          <w:rFonts w:ascii="Calibri" w:eastAsia="Calibri" w:hAnsi="Calibri" w:cs="Calibri"/>
          <w:vertAlign w:val="subscript"/>
        </w:rPr>
        <w:t>2</w:t>
      </w:r>
      <w:r>
        <w:rPr>
          <w:rFonts w:ascii="Calibri" w:eastAsia="Calibri" w:hAnsi="Calibri" w:cs="Calibri"/>
        </w:rPr>
        <w:t xml:space="preserve"> modeling). All other major and (minor sources on a continuous basis) will be required to perform modeling analyses to show compliance with the applicable 1-hour NO</w:t>
      </w:r>
      <w:r>
        <w:rPr>
          <w:rFonts w:ascii="Calibri" w:eastAsia="Calibri" w:hAnsi="Calibri" w:cs="Calibri"/>
          <w:vertAlign w:val="subscript"/>
        </w:rPr>
        <w:t>2</w:t>
      </w:r>
      <w:r>
        <w:rPr>
          <w:rFonts w:ascii="Calibri" w:eastAsia="Calibri" w:hAnsi="Calibri" w:cs="Calibri"/>
        </w:rPr>
        <w:t>, and SO</w:t>
      </w:r>
      <w:r>
        <w:rPr>
          <w:rFonts w:ascii="Calibri" w:eastAsia="Calibri" w:hAnsi="Calibri" w:cs="Calibri"/>
          <w:vertAlign w:val="subscript"/>
        </w:rPr>
        <w:t>2</w:t>
      </w:r>
      <w:r>
        <w:rPr>
          <w:rFonts w:ascii="Calibri" w:eastAsia="Calibri" w:hAnsi="Calibri" w:cs="Calibri"/>
        </w:rPr>
        <w:t xml:space="preserve"> NAAQS</w:t>
      </w:r>
      <w:r w:rsidR="005A2FFF">
        <w:rPr>
          <w:rFonts w:ascii="Calibri" w:eastAsia="Calibri" w:hAnsi="Calibri" w:cs="Calibri"/>
        </w:rPr>
        <w:t xml:space="preserve">. </w:t>
      </w:r>
      <w:r>
        <w:rPr>
          <w:rFonts w:ascii="Calibri" w:eastAsia="Calibri" w:hAnsi="Calibri" w:cs="Calibri"/>
        </w:rPr>
        <w:t xml:space="preserve">Applicants are strongly encouraged to consult with the CT DEEP modeling staff </w:t>
      </w:r>
      <w:r w:rsidR="005A2FFF">
        <w:rPr>
          <w:rFonts w:ascii="Calibri" w:eastAsia="Calibri" w:hAnsi="Calibri" w:cs="Calibri"/>
        </w:rPr>
        <w:t>to</w:t>
      </w:r>
      <w:r>
        <w:rPr>
          <w:rFonts w:ascii="Calibri" w:eastAsia="Calibri" w:hAnsi="Calibri" w:cs="Calibri"/>
        </w:rPr>
        <w:t xml:space="preserve"> seek clarification and approval for 1-hour modeling exemptions prior to undertaking modeling analyses.</w:t>
      </w:r>
    </w:p>
    <w:p w14:paraId="17DE34DE" w14:textId="77777777" w:rsidR="004F5587" w:rsidRDefault="004F5587" w:rsidP="00357E0C">
      <w:pPr>
        <w:pStyle w:val="Heading3"/>
        <w:rPr>
          <w:rFonts w:eastAsia="Tw Cen MT"/>
        </w:rPr>
      </w:pPr>
      <w:bookmarkStart w:id="34" w:name="_Toc147226889"/>
      <w:r>
        <w:rPr>
          <w:rFonts w:eastAsia="Tw Cen MT"/>
        </w:rPr>
        <w:t>Startup/Shutdown Scenarios</w:t>
      </w:r>
      <w:bookmarkEnd w:id="34"/>
    </w:p>
    <w:p w14:paraId="429EF560" w14:textId="686928E9" w:rsidR="004F5587" w:rsidRDefault="004F5587" w:rsidP="004F5587">
      <w:pPr>
        <w:rPr>
          <w:rFonts w:ascii="Calibri" w:eastAsia="Calibri" w:hAnsi="Calibri" w:cs="Calibri"/>
          <w:b/>
        </w:rPr>
      </w:pPr>
      <w:r>
        <w:rPr>
          <w:rFonts w:ascii="Calibri" w:eastAsia="Calibri" w:hAnsi="Calibri" w:cs="Calibri"/>
        </w:rPr>
        <w:t>All major sources and (minor sources on a continuous basis) are subject to perform a modeling analysis to show that startup/shutdown operating scenarios follow the applicable 1-hour NO</w:t>
      </w:r>
      <w:r>
        <w:rPr>
          <w:rFonts w:ascii="Calibri" w:eastAsia="Calibri" w:hAnsi="Calibri" w:cs="Calibri"/>
          <w:vertAlign w:val="subscript"/>
        </w:rPr>
        <w:t xml:space="preserve">2 </w:t>
      </w:r>
      <w:r>
        <w:rPr>
          <w:rFonts w:ascii="Calibri" w:eastAsia="Calibri" w:hAnsi="Calibri" w:cs="Calibri"/>
        </w:rPr>
        <w:t>and</w:t>
      </w:r>
      <w:r>
        <w:rPr>
          <w:rFonts w:ascii="Calibri" w:eastAsia="Calibri" w:hAnsi="Calibri" w:cs="Calibri"/>
          <w:vertAlign w:val="subscript"/>
        </w:rPr>
        <w:t xml:space="preserve"> </w:t>
      </w:r>
      <w:r>
        <w:rPr>
          <w:rFonts w:ascii="Calibri" w:eastAsia="Calibri" w:hAnsi="Calibri" w:cs="Calibri"/>
        </w:rPr>
        <w:t>SO</w:t>
      </w:r>
      <w:r>
        <w:rPr>
          <w:rFonts w:ascii="Calibri" w:eastAsia="Calibri" w:hAnsi="Calibri" w:cs="Calibri"/>
          <w:vertAlign w:val="subscript"/>
        </w:rPr>
        <w:t>2</w:t>
      </w:r>
      <w:r>
        <w:rPr>
          <w:rFonts w:ascii="Calibri" w:eastAsia="Calibri" w:hAnsi="Calibri" w:cs="Calibri"/>
        </w:rPr>
        <w:t>, NAAQS</w:t>
      </w:r>
      <w:r w:rsidR="005A2FFF">
        <w:rPr>
          <w:rFonts w:ascii="Calibri" w:eastAsia="Calibri" w:hAnsi="Calibri" w:cs="Calibri"/>
        </w:rPr>
        <w:t xml:space="preserve">. </w:t>
      </w:r>
      <w:r>
        <w:rPr>
          <w:rFonts w:ascii="Calibri" w:eastAsia="Calibri" w:hAnsi="Calibri" w:cs="Calibri"/>
        </w:rPr>
        <w:t>Only a limited number of minor sources such as emergency generators, fire pumps, aux boilers, small CHP engines, and flares may be exempt due to the infrequent number of startups and shutdowns per year. This type of source(s) limits the number of startups and shutdowns to less than or equal to 500 hours per year may be considered intermittent; and therefore, would not significantly contribute to maximum daily 1-hour NO</w:t>
      </w:r>
      <w:r>
        <w:rPr>
          <w:rFonts w:ascii="Calibri" w:eastAsia="Calibri" w:hAnsi="Calibri" w:cs="Calibri"/>
          <w:vertAlign w:val="subscript"/>
        </w:rPr>
        <w:t>2</w:t>
      </w:r>
      <w:r>
        <w:rPr>
          <w:rFonts w:ascii="Calibri" w:eastAsia="Calibri" w:hAnsi="Calibri" w:cs="Calibri"/>
        </w:rPr>
        <w:t xml:space="preserve"> and SO</w:t>
      </w:r>
      <w:r>
        <w:rPr>
          <w:rFonts w:ascii="Calibri" w:eastAsia="Calibri" w:hAnsi="Calibri" w:cs="Calibri"/>
          <w:vertAlign w:val="subscript"/>
        </w:rPr>
        <w:t>2</w:t>
      </w:r>
      <w:r>
        <w:rPr>
          <w:rFonts w:ascii="Calibri" w:eastAsia="Calibri" w:hAnsi="Calibri" w:cs="Calibri"/>
        </w:rPr>
        <w:t xml:space="preserve"> concentrations</w:t>
      </w:r>
      <w:r w:rsidR="005A2FFF">
        <w:rPr>
          <w:rFonts w:ascii="Calibri" w:eastAsia="Calibri" w:hAnsi="Calibri" w:cs="Calibri"/>
        </w:rPr>
        <w:t xml:space="preserve">. </w:t>
      </w:r>
      <w:r>
        <w:rPr>
          <w:rFonts w:ascii="Calibri" w:eastAsia="Calibri" w:hAnsi="Calibri" w:cs="Calibri"/>
        </w:rPr>
        <w:t xml:space="preserve">CT DEEP will consider such modeling exemptions only if 500 hour per year or less limitations and restrictions are included and enforced in a new or modified NSR air permit. </w:t>
      </w:r>
      <w:r>
        <w:rPr>
          <w:rFonts w:ascii="Calibri" w:eastAsia="Calibri" w:hAnsi="Calibri" w:cs="Calibri"/>
        </w:rPr>
        <w:lastRenderedPageBreak/>
        <w:t xml:space="preserve">Applicants are strongly encouraged to consult with the CT DEEP modeling staff </w:t>
      </w:r>
      <w:r w:rsidR="005A2FFF">
        <w:rPr>
          <w:rFonts w:ascii="Calibri" w:eastAsia="Calibri" w:hAnsi="Calibri" w:cs="Calibri"/>
        </w:rPr>
        <w:t>to</w:t>
      </w:r>
      <w:r>
        <w:rPr>
          <w:rFonts w:ascii="Calibri" w:eastAsia="Calibri" w:hAnsi="Calibri" w:cs="Calibri"/>
        </w:rPr>
        <w:t xml:space="preserve"> seek clarification and approval for 1-hour modeling exemptions prior to undertaking modeling analyses.</w:t>
      </w:r>
    </w:p>
    <w:p w14:paraId="67383DB6" w14:textId="77777777" w:rsidR="004F5587" w:rsidRDefault="004F5587" w:rsidP="00357E0C">
      <w:pPr>
        <w:pStyle w:val="Heading2"/>
        <w:rPr>
          <w:rFonts w:eastAsia="Tw Cen MT"/>
        </w:rPr>
      </w:pPr>
      <w:bookmarkStart w:id="35" w:name="_Toc147226890"/>
      <w:r>
        <w:rPr>
          <w:rFonts w:eastAsia="Tw Cen MT"/>
        </w:rPr>
        <w:t>Guidance for Ozone and Fine Particulate Matter Permit Modeling</w:t>
      </w:r>
      <w:bookmarkEnd w:id="35"/>
    </w:p>
    <w:p w14:paraId="73A46726" w14:textId="3FE2787D" w:rsidR="004F5587" w:rsidRDefault="004F5587" w:rsidP="004F5587">
      <w:pPr>
        <w:rPr>
          <w:rFonts w:ascii="Calibri" w:eastAsia="Calibri" w:hAnsi="Calibri" w:cs="Calibri"/>
        </w:rPr>
      </w:pPr>
      <w:r>
        <w:rPr>
          <w:rFonts w:ascii="Calibri" w:eastAsia="Calibri" w:hAnsi="Calibri" w:cs="Calibri"/>
        </w:rPr>
        <w:t>Compliance with PM</w:t>
      </w:r>
      <w:r>
        <w:rPr>
          <w:rFonts w:ascii="Calibri" w:eastAsia="Calibri" w:hAnsi="Calibri" w:cs="Calibri"/>
          <w:vertAlign w:val="subscript"/>
        </w:rPr>
        <w:t>2.5</w:t>
      </w:r>
      <w:r>
        <w:rPr>
          <w:rFonts w:ascii="Calibri" w:eastAsia="Calibri" w:hAnsi="Calibri" w:cs="Calibri"/>
        </w:rPr>
        <w:t xml:space="preserve"> NAAQS and PSD increment require modeling for both primary and secondarily formed PM</w:t>
      </w:r>
      <w:r>
        <w:rPr>
          <w:rFonts w:ascii="Calibri" w:eastAsia="Calibri" w:hAnsi="Calibri" w:cs="Calibri"/>
          <w:vertAlign w:val="subscript"/>
        </w:rPr>
        <w:t>2.5</w:t>
      </w:r>
      <w:r>
        <w:rPr>
          <w:rFonts w:ascii="Calibri" w:eastAsia="Calibri" w:hAnsi="Calibri" w:cs="Calibri"/>
        </w:rPr>
        <w:t>. AERMOD is EPA preferred dispersion air quality model for permit modeling for primary PM</w:t>
      </w:r>
      <w:r>
        <w:rPr>
          <w:rFonts w:ascii="Calibri" w:eastAsia="Calibri" w:hAnsi="Calibri" w:cs="Calibri"/>
          <w:vertAlign w:val="subscript"/>
        </w:rPr>
        <w:t>2.5</w:t>
      </w:r>
      <w:r>
        <w:rPr>
          <w:rFonts w:ascii="Calibri" w:eastAsia="Calibri" w:hAnsi="Calibri" w:cs="Calibri"/>
        </w:rPr>
        <w:t xml:space="preserve"> emissions to comply with the applicable PM</w:t>
      </w:r>
      <w:r>
        <w:rPr>
          <w:rFonts w:ascii="Calibri" w:eastAsia="Calibri" w:hAnsi="Calibri" w:cs="Calibri"/>
          <w:vertAlign w:val="subscript"/>
        </w:rPr>
        <w:t>2.5</w:t>
      </w:r>
      <w:r>
        <w:rPr>
          <w:rFonts w:ascii="Calibri" w:eastAsia="Calibri" w:hAnsi="Calibri" w:cs="Calibri"/>
        </w:rPr>
        <w:t xml:space="preserve"> NAAQS and PSD. AERMOD is a steady state Guassian Model and is not capable of modeling for secondary </w:t>
      </w:r>
      <w:r w:rsidR="00C24410">
        <w:rPr>
          <w:rFonts w:ascii="Calibri" w:eastAsia="Calibri" w:hAnsi="Calibri" w:cs="Calibri"/>
        </w:rPr>
        <w:t>precursor</w:t>
      </w:r>
      <w:r>
        <w:rPr>
          <w:rFonts w:ascii="Calibri" w:eastAsia="Calibri" w:hAnsi="Calibri" w:cs="Calibri"/>
        </w:rPr>
        <w:t xml:space="preserve"> PM</w:t>
      </w:r>
      <w:r>
        <w:rPr>
          <w:rFonts w:ascii="Calibri" w:eastAsia="Calibri" w:hAnsi="Calibri" w:cs="Calibri"/>
          <w:vertAlign w:val="subscript"/>
        </w:rPr>
        <w:t>2.5</w:t>
      </w:r>
      <w:r>
        <w:rPr>
          <w:rFonts w:ascii="Calibri" w:eastAsia="Calibri" w:hAnsi="Calibri" w:cs="Calibri"/>
        </w:rPr>
        <w:t xml:space="preserve"> emissions of NO</w:t>
      </w:r>
      <w:r>
        <w:rPr>
          <w:rFonts w:ascii="Calibri" w:eastAsia="Calibri" w:hAnsi="Calibri" w:cs="Calibri"/>
          <w:vertAlign w:val="subscript"/>
        </w:rPr>
        <w:t>x</w:t>
      </w:r>
      <w:r>
        <w:rPr>
          <w:rFonts w:ascii="Calibri" w:eastAsia="Calibri" w:hAnsi="Calibri" w:cs="Calibri"/>
        </w:rPr>
        <w:t xml:space="preserve"> and SO</w:t>
      </w:r>
      <w:r>
        <w:rPr>
          <w:rFonts w:ascii="Calibri" w:eastAsia="Calibri" w:hAnsi="Calibri" w:cs="Calibri"/>
          <w:vertAlign w:val="subscript"/>
        </w:rPr>
        <w:t>2</w:t>
      </w:r>
      <w:r>
        <w:rPr>
          <w:rFonts w:ascii="Calibri" w:eastAsia="Calibri" w:hAnsi="Calibri" w:cs="Calibri"/>
        </w:rPr>
        <w:t xml:space="preserve"> such as CAMx and CMAQ photochemical models. EPA incorporated a two-tiered approach for addressing single-source O</w:t>
      </w:r>
      <w:r>
        <w:rPr>
          <w:rFonts w:ascii="Calibri" w:eastAsia="Calibri" w:hAnsi="Calibri" w:cs="Calibri"/>
          <w:vertAlign w:val="subscript"/>
        </w:rPr>
        <w:t>3</w:t>
      </w:r>
      <w:r>
        <w:rPr>
          <w:rFonts w:ascii="Calibri" w:eastAsia="Calibri" w:hAnsi="Calibri" w:cs="Calibri"/>
        </w:rPr>
        <w:t xml:space="preserve"> and secondary PM</w:t>
      </w:r>
      <w:r>
        <w:rPr>
          <w:rFonts w:ascii="Calibri" w:eastAsia="Calibri" w:hAnsi="Calibri" w:cs="Calibri"/>
          <w:vertAlign w:val="subscript"/>
        </w:rPr>
        <w:t>2.5</w:t>
      </w:r>
      <w:r w:rsidRPr="005861C7">
        <w:rPr>
          <w:rFonts w:ascii="Calibri" w:eastAsia="Calibri" w:hAnsi="Calibri" w:cs="Calibri"/>
        </w:rPr>
        <w:t xml:space="preserve"> </w:t>
      </w:r>
      <w:r>
        <w:rPr>
          <w:rFonts w:ascii="Calibri" w:eastAsia="Calibri" w:hAnsi="Calibri" w:cs="Calibri"/>
        </w:rPr>
        <w:t xml:space="preserve">impacts in the revised Guideline on Air Quality Models (EPA, 40 CFR Part51, Appendix W 2017). Due to the intensive photochemical modeling systems, the EPA issued </w:t>
      </w:r>
      <w:hyperlink r:id="rId23" w:history="1">
        <w:r w:rsidRPr="003F07FF">
          <w:rPr>
            <w:rStyle w:val="Hyperlink"/>
            <w:rFonts w:ascii="Calibri" w:eastAsia="Calibri" w:hAnsi="Calibri" w:cs="Calibri"/>
          </w:rPr>
          <w:t>guidance</w:t>
        </w:r>
      </w:hyperlink>
      <w:r>
        <w:rPr>
          <w:rFonts w:ascii="Calibri" w:eastAsia="Calibri" w:hAnsi="Calibri" w:cs="Calibri"/>
        </w:rPr>
        <w:t xml:space="preserve"> on the development of Modeled Emission Rate for Precursors (</w:t>
      </w:r>
      <w:r w:rsidRPr="005909AD">
        <w:rPr>
          <w:rFonts w:ascii="Calibri" w:eastAsia="Calibri" w:hAnsi="Calibri" w:cs="Calibri"/>
          <w:color w:val="000000" w:themeColor="text1"/>
        </w:rPr>
        <w:t xml:space="preserve">MERPS) as a Tier 1 Demonstration Tool (reduced </w:t>
      </w:r>
      <w:r>
        <w:rPr>
          <w:rFonts w:ascii="Calibri" w:eastAsia="Calibri" w:hAnsi="Calibri" w:cs="Calibri"/>
        </w:rPr>
        <w:t xml:space="preserve">form models), entitled </w:t>
      </w:r>
      <w:r>
        <w:rPr>
          <w:rFonts w:ascii="Calibri" w:eastAsia="Calibri" w:hAnsi="Calibri" w:cs="Calibri"/>
          <w:i/>
        </w:rPr>
        <w:t>“Guidance on the Development of Modeled Emission Rates for Precursors (MERPS) as a Tier 1 Demonstration Tool for Ozone and PM</w:t>
      </w:r>
      <w:r>
        <w:rPr>
          <w:rFonts w:ascii="Calibri" w:eastAsia="Calibri" w:hAnsi="Calibri" w:cs="Calibri"/>
          <w:i/>
          <w:vertAlign w:val="subscript"/>
        </w:rPr>
        <w:t>2.5</w:t>
      </w:r>
      <w:r>
        <w:rPr>
          <w:rFonts w:ascii="Calibri" w:eastAsia="Calibri" w:hAnsi="Calibri" w:cs="Calibri"/>
          <w:i/>
        </w:rPr>
        <w:t xml:space="preserve"> under the PSD Permitting Program”</w:t>
      </w:r>
      <w:r>
        <w:rPr>
          <w:rFonts w:ascii="Calibri" w:eastAsia="Calibri" w:hAnsi="Calibri" w:cs="Calibri"/>
        </w:rPr>
        <w:t xml:space="preserve"> (EPA 2019)</w:t>
      </w:r>
      <w:r>
        <w:rPr>
          <w:rFonts w:ascii="Calibri" w:eastAsia="Calibri" w:hAnsi="Calibri" w:cs="Calibri"/>
          <w:i/>
        </w:rPr>
        <w:t>.</w:t>
      </w:r>
      <w:r>
        <w:rPr>
          <w:rFonts w:ascii="Calibri" w:eastAsia="Calibri" w:hAnsi="Calibri" w:cs="Calibri"/>
        </w:rPr>
        <w:t xml:space="preserve"> The first tier (Tier 1) utilizes existing empirical relationships between precursor emissions and impacts based on the most recent EPA’s photochemical air quality modeling results of hypothetical industrial sources with similar source emissions and atmospheric characteristics.</w:t>
      </w:r>
    </w:p>
    <w:p w14:paraId="05161C90" w14:textId="77777777" w:rsidR="004F5587" w:rsidRDefault="004F5587" w:rsidP="00D82DEE">
      <w:pPr>
        <w:pStyle w:val="Heading2"/>
        <w:rPr>
          <w:rFonts w:eastAsia="Tw Cen MT"/>
        </w:rPr>
      </w:pPr>
      <w:bookmarkStart w:id="36" w:name="_Toc147226891"/>
      <w:r>
        <w:rPr>
          <w:rFonts w:eastAsia="Tw Cen MT"/>
        </w:rPr>
        <w:t>Single Source Air Quality Assessments for Secondarily Formed Particulate Matter</w:t>
      </w:r>
      <w:bookmarkEnd w:id="36"/>
    </w:p>
    <w:p w14:paraId="3C526840" w14:textId="0841F5BD" w:rsidR="004F5587" w:rsidRDefault="004F5587" w:rsidP="004F5587">
      <w:pPr>
        <w:rPr>
          <w:rFonts w:ascii="Calibri" w:eastAsia="Calibri" w:hAnsi="Calibri" w:cs="Calibri"/>
        </w:rPr>
      </w:pPr>
      <w:r>
        <w:rPr>
          <w:rFonts w:ascii="Calibri" w:eastAsia="Calibri" w:hAnsi="Calibri" w:cs="Calibri"/>
        </w:rPr>
        <w:t>EPA incorporated a two-tiered approach for addressing single-source O</w:t>
      </w:r>
      <w:r>
        <w:rPr>
          <w:rFonts w:ascii="Calibri" w:eastAsia="Calibri" w:hAnsi="Calibri" w:cs="Calibri"/>
          <w:vertAlign w:val="subscript"/>
        </w:rPr>
        <w:t>3</w:t>
      </w:r>
      <w:r>
        <w:rPr>
          <w:rFonts w:ascii="Calibri" w:eastAsia="Calibri" w:hAnsi="Calibri" w:cs="Calibri"/>
        </w:rPr>
        <w:t xml:space="preserve"> and secondary PM</w:t>
      </w:r>
      <w:r>
        <w:rPr>
          <w:rFonts w:ascii="Calibri" w:eastAsia="Calibri" w:hAnsi="Calibri" w:cs="Calibri"/>
          <w:vertAlign w:val="subscript"/>
        </w:rPr>
        <w:t xml:space="preserve">2.5 </w:t>
      </w:r>
      <w:r>
        <w:rPr>
          <w:rFonts w:ascii="Calibri" w:eastAsia="Calibri" w:hAnsi="Calibri" w:cs="Calibri"/>
        </w:rPr>
        <w:t xml:space="preserve">impacts in the revised Guideline on Air Quality Models (EPA, 40 CFR Part51, Appendix W 2017). Due to the intensive photochemical modeling systems, the EPA issued guidance on the development of Modeled Emission Rate for Precursors (MERPS) entitled </w:t>
      </w:r>
      <w:r>
        <w:rPr>
          <w:rFonts w:ascii="Calibri" w:eastAsia="Calibri" w:hAnsi="Calibri" w:cs="Calibri"/>
          <w:i/>
        </w:rPr>
        <w:t>“Guidance on the Development of Modeled Emission Rates for Precursors (MERPS) as a Tier 1 Demonstration Tool for Ozone and PM</w:t>
      </w:r>
      <w:r>
        <w:rPr>
          <w:rFonts w:ascii="Calibri" w:eastAsia="Calibri" w:hAnsi="Calibri" w:cs="Calibri"/>
          <w:i/>
          <w:vertAlign w:val="subscript"/>
        </w:rPr>
        <w:t>2.5</w:t>
      </w:r>
      <w:r>
        <w:rPr>
          <w:rFonts w:ascii="Calibri" w:eastAsia="Calibri" w:hAnsi="Calibri" w:cs="Calibri"/>
          <w:i/>
        </w:rPr>
        <w:t xml:space="preserve"> under the PSD Permitting Program”</w:t>
      </w:r>
      <w:r>
        <w:rPr>
          <w:rFonts w:ascii="Calibri" w:eastAsia="Calibri" w:hAnsi="Calibri" w:cs="Calibri"/>
        </w:rPr>
        <w:t xml:space="preserve"> (EPA 2019)</w:t>
      </w:r>
      <w:r>
        <w:rPr>
          <w:rFonts w:ascii="Calibri" w:eastAsia="Calibri" w:hAnsi="Calibri" w:cs="Calibri"/>
          <w:i/>
        </w:rPr>
        <w:t>.</w:t>
      </w:r>
      <w:r>
        <w:rPr>
          <w:rFonts w:ascii="Calibri" w:eastAsia="Calibri" w:hAnsi="Calibri" w:cs="Calibri"/>
        </w:rPr>
        <w:t xml:space="preserve"> The first tier (Tier 1) utilizes existing empirical relationships between precursor emissions and impacts based on the most recent EPA’s photochemical air quality modeling results of hypothetical industrial sources with similar source emissions and atmospheric characteristics.</w:t>
      </w:r>
    </w:p>
    <w:p w14:paraId="407631F9" w14:textId="30D59B8E" w:rsidR="004F5587" w:rsidRPr="00545845" w:rsidRDefault="004F5587" w:rsidP="004F5587">
      <w:pPr>
        <w:rPr>
          <w:rFonts w:ascii="Calibri" w:eastAsia="Calibri" w:hAnsi="Calibri" w:cs="Calibri"/>
        </w:rPr>
      </w:pPr>
      <w:r>
        <w:rPr>
          <w:rFonts w:ascii="Calibri" w:eastAsia="Calibri" w:hAnsi="Calibri" w:cs="Calibri"/>
        </w:rPr>
        <w:t xml:space="preserve">The CT DEEP considers a Tier 1 demonstration adequate to estimate secondary impacts from new or </w:t>
      </w:r>
      <w:r w:rsidRPr="00545845">
        <w:rPr>
          <w:rFonts w:ascii="Calibri" w:eastAsia="Calibri" w:hAnsi="Calibri" w:cs="Calibri"/>
        </w:rPr>
        <w:t>modified</w:t>
      </w:r>
      <w:r>
        <w:rPr>
          <w:rFonts w:ascii="Calibri" w:eastAsia="Calibri" w:hAnsi="Calibri" w:cs="Calibri"/>
          <w:color w:val="FF0000"/>
        </w:rPr>
        <w:t xml:space="preserve"> </w:t>
      </w:r>
      <w:r>
        <w:rPr>
          <w:rFonts w:ascii="Calibri" w:eastAsia="Calibri" w:hAnsi="Calibri" w:cs="Calibri"/>
        </w:rPr>
        <w:t>existing single sources of significant SO</w:t>
      </w:r>
      <w:r>
        <w:rPr>
          <w:rFonts w:ascii="Calibri" w:eastAsia="Calibri" w:hAnsi="Calibri" w:cs="Calibri"/>
          <w:vertAlign w:val="subscript"/>
        </w:rPr>
        <w:t>2</w:t>
      </w:r>
      <w:r>
        <w:rPr>
          <w:rFonts w:ascii="Calibri" w:eastAsia="Calibri" w:hAnsi="Calibri" w:cs="Calibri"/>
        </w:rPr>
        <w:t xml:space="preserve"> and/or NO</w:t>
      </w:r>
      <w:r>
        <w:rPr>
          <w:rFonts w:ascii="Calibri" w:eastAsia="Calibri" w:hAnsi="Calibri" w:cs="Calibri"/>
          <w:vertAlign w:val="subscript"/>
        </w:rPr>
        <w:t>x</w:t>
      </w:r>
      <w:r>
        <w:rPr>
          <w:rFonts w:ascii="Calibri" w:eastAsia="Calibri" w:hAnsi="Calibri" w:cs="Calibri"/>
        </w:rPr>
        <w:t xml:space="preserve"> precursor emissions for PM</w:t>
      </w:r>
      <w:r>
        <w:rPr>
          <w:rFonts w:ascii="Calibri" w:eastAsia="Calibri" w:hAnsi="Calibri" w:cs="Calibri"/>
          <w:vertAlign w:val="subscript"/>
        </w:rPr>
        <w:t>2.5</w:t>
      </w:r>
      <w:r>
        <w:rPr>
          <w:rFonts w:ascii="Calibri" w:eastAsia="Calibri" w:hAnsi="Calibri" w:cs="Calibri"/>
        </w:rPr>
        <w:t xml:space="preserve"> formation. The </w:t>
      </w:r>
      <w:r w:rsidRPr="00545845">
        <w:rPr>
          <w:rFonts w:ascii="Calibri" w:eastAsia="Calibri" w:hAnsi="Calibri" w:cs="Calibri"/>
        </w:rPr>
        <w:t>Tier1 demonstration tool equation is based on the ratio of the Project’s emissions to EPA’s hypothetical source emissions multiplied by the hypothetical source impacts to solve for the Project’s secondary air quality impact.</w:t>
      </w:r>
    </w:p>
    <w:p w14:paraId="1167E551" w14:textId="2A37646C" w:rsidR="004F5587" w:rsidRPr="00545845" w:rsidRDefault="004F5587" w:rsidP="004F5587">
      <w:pPr>
        <w:rPr>
          <w:rFonts w:ascii="Calibri" w:eastAsia="Calibri" w:hAnsi="Calibri" w:cs="Calibri"/>
          <w:bCs/>
        </w:rPr>
      </w:pPr>
      <w:r>
        <w:rPr>
          <w:rFonts w:ascii="Calibri" w:eastAsia="Calibri" w:hAnsi="Calibri" w:cs="Calibri"/>
        </w:rPr>
        <w:t xml:space="preserve">In summary, the Tier 1 demonstration tool provides </w:t>
      </w:r>
      <w:r w:rsidR="005A2FFF">
        <w:rPr>
          <w:rFonts w:ascii="Calibri" w:eastAsia="Calibri" w:hAnsi="Calibri" w:cs="Calibri"/>
        </w:rPr>
        <w:t>a way</w:t>
      </w:r>
      <w:r>
        <w:rPr>
          <w:rFonts w:ascii="Calibri" w:eastAsia="Calibri" w:hAnsi="Calibri" w:cs="Calibri"/>
        </w:rPr>
        <w:t xml:space="preserve"> for sources to add maximum downwind secondary PM</w:t>
      </w:r>
      <w:r>
        <w:rPr>
          <w:rFonts w:ascii="Calibri" w:eastAsia="Calibri" w:hAnsi="Calibri" w:cs="Calibri"/>
          <w:vertAlign w:val="subscript"/>
        </w:rPr>
        <w:t>2.5</w:t>
      </w:r>
      <w:r>
        <w:rPr>
          <w:rFonts w:ascii="Calibri" w:eastAsia="Calibri" w:hAnsi="Calibri" w:cs="Calibri"/>
        </w:rPr>
        <w:t xml:space="preserve"> impacts to AERMOD predicted primary impacts and compare total impacts to the applicable PM</w:t>
      </w:r>
      <w:r>
        <w:rPr>
          <w:rFonts w:ascii="Calibri" w:eastAsia="Calibri" w:hAnsi="Calibri" w:cs="Calibri"/>
          <w:vertAlign w:val="subscript"/>
        </w:rPr>
        <w:t>2.5</w:t>
      </w:r>
      <w:r>
        <w:rPr>
          <w:rFonts w:ascii="Calibri" w:eastAsia="Calibri" w:hAnsi="Calibri" w:cs="Calibri"/>
        </w:rPr>
        <w:t xml:space="preserve"> SILs, NAAQS and PSD Increments. </w:t>
      </w:r>
      <w:r w:rsidRPr="00545845">
        <w:rPr>
          <w:rFonts w:ascii="Calibri" w:eastAsia="Calibri" w:hAnsi="Calibri" w:cs="Calibri"/>
          <w:bCs/>
        </w:rPr>
        <w:t>Connecticut has been classified as non-attainment for Ozone, therefore all major sources must comply with non-attainment new source review (NNSR) requirements. Thus, all major and minor sources will not be subject to performing a secondary O</w:t>
      </w:r>
      <w:r w:rsidRPr="00545845">
        <w:rPr>
          <w:rFonts w:ascii="Calibri" w:eastAsia="Calibri" w:hAnsi="Calibri" w:cs="Calibri"/>
          <w:bCs/>
          <w:vertAlign w:val="subscript"/>
        </w:rPr>
        <w:t>3</w:t>
      </w:r>
      <w:r w:rsidRPr="00545845">
        <w:rPr>
          <w:rFonts w:ascii="Calibri" w:eastAsia="Calibri" w:hAnsi="Calibri" w:cs="Calibri"/>
          <w:bCs/>
        </w:rPr>
        <w:t xml:space="preserve"> impact analysis until EPA classifies all of Connecticut “Attainment” with the latest O</w:t>
      </w:r>
      <w:r w:rsidRPr="00545845">
        <w:rPr>
          <w:rFonts w:ascii="Calibri" w:eastAsia="Calibri" w:hAnsi="Calibri" w:cs="Calibri"/>
          <w:bCs/>
          <w:vertAlign w:val="subscript"/>
        </w:rPr>
        <w:t>3</w:t>
      </w:r>
      <w:r w:rsidRPr="00545845">
        <w:rPr>
          <w:rFonts w:ascii="Calibri" w:eastAsia="Calibri" w:hAnsi="Calibri" w:cs="Calibri"/>
          <w:bCs/>
        </w:rPr>
        <w:t xml:space="preserve"> NAAQS.</w:t>
      </w:r>
    </w:p>
    <w:p w14:paraId="59D50F51" w14:textId="77777777" w:rsidR="004F5587" w:rsidRDefault="004F5587" w:rsidP="00D82DEE">
      <w:pPr>
        <w:pStyle w:val="Heading3"/>
        <w:rPr>
          <w:rFonts w:eastAsia="Tw Cen MT"/>
        </w:rPr>
      </w:pPr>
      <w:bookmarkStart w:id="37" w:name="_Toc147226892"/>
      <w:r>
        <w:rPr>
          <w:rFonts w:eastAsia="Tw Cen MT"/>
        </w:rPr>
        <w:t>Single Source Air Quality PM</w:t>
      </w:r>
      <w:r>
        <w:rPr>
          <w:rFonts w:eastAsia="Tw Cen MT"/>
          <w:vertAlign w:val="subscript"/>
        </w:rPr>
        <w:t>2.5</w:t>
      </w:r>
      <w:r>
        <w:rPr>
          <w:rFonts w:eastAsia="Tw Cen MT"/>
        </w:rPr>
        <w:t xml:space="preserve"> Tier 1 Impact Assessment</w:t>
      </w:r>
      <w:bookmarkEnd w:id="37"/>
    </w:p>
    <w:p w14:paraId="5DB98DC9" w14:textId="77777777" w:rsidR="004F5587" w:rsidRDefault="004F5587" w:rsidP="004F5587">
      <w:pPr>
        <w:rPr>
          <w:rFonts w:ascii="Calibri" w:eastAsia="Calibri" w:hAnsi="Calibri" w:cs="Calibri"/>
        </w:rPr>
      </w:pPr>
      <w:r>
        <w:rPr>
          <w:rFonts w:ascii="Calibri" w:eastAsia="Calibri" w:hAnsi="Calibri" w:cs="Calibri"/>
        </w:rPr>
        <w:t>For any source subject to Ct permitting and modeling requirements, a Tier 1 PM</w:t>
      </w:r>
      <w:r>
        <w:rPr>
          <w:rFonts w:ascii="Calibri" w:eastAsia="Calibri" w:hAnsi="Calibri" w:cs="Calibri"/>
          <w:vertAlign w:val="subscript"/>
        </w:rPr>
        <w:t>2.5</w:t>
      </w:r>
      <w:r>
        <w:rPr>
          <w:rFonts w:ascii="Calibri" w:eastAsia="Calibri" w:hAnsi="Calibri" w:cs="Calibri"/>
        </w:rPr>
        <w:t xml:space="preserve"> impact assessment is required if precursors are significant. </w:t>
      </w:r>
    </w:p>
    <w:p w14:paraId="32813F6C" w14:textId="5ED899B2" w:rsidR="004F5587" w:rsidRPr="00545845" w:rsidRDefault="004F5587" w:rsidP="004F5587">
      <w:pPr>
        <w:rPr>
          <w:rFonts w:ascii="Calibri" w:eastAsia="Calibri" w:hAnsi="Calibri" w:cs="Calibri"/>
          <w:bCs/>
        </w:rPr>
      </w:pPr>
      <w:r>
        <w:rPr>
          <w:rFonts w:ascii="Calibri" w:eastAsia="Calibri" w:hAnsi="Calibri" w:cs="Calibri"/>
        </w:rPr>
        <w:t>The contribution from both primary and secondary impacts should be compared to the PM</w:t>
      </w:r>
      <w:r>
        <w:rPr>
          <w:rFonts w:ascii="Calibri" w:eastAsia="Calibri" w:hAnsi="Calibri" w:cs="Calibri"/>
          <w:vertAlign w:val="subscript"/>
        </w:rPr>
        <w:t>2.5</w:t>
      </w:r>
      <w:r>
        <w:rPr>
          <w:rFonts w:ascii="Calibri" w:eastAsia="Calibri" w:hAnsi="Calibri" w:cs="Calibri"/>
        </w:rPr>
        <w:t xml:space="preserve"> SILs shown in Table3-3. If the impacts are above the SILs, then compare the total impacts plus monitored background to determine if a source’s total PM</w:t>
      </w:r>
      <w:r>
        <w:rPr>
          <w:rFonts w:ascii="Calibri" w:eastAsia="Calibri" w:hAnsi="Calibri" w:cs="Calibri"/>
          <w:vertAlign w:val="subscript"/>
        </w:rPr>
        <w:t>2.5</w:t>
      </w:r>
      <w:r>
        <w:rPr>
          <w:rFonts w:ascii="Calibri" w:eastAsia="Calibri" w:hAnsi="Calibri" w:cs="Calibri"/>
        </w:rPr>
        <w:t xml:space="preserve"> ambient impacts comply with the applicable 24-hour and annual NAAQS shown in Table 3-1. Sources that are subject to PM</w:t>
      </w:r>
      <w:r>
        <w:rPr>
          <w:rFonts w:ascii="Calibri" w:eastAsia="Calibri" w:hAnsi="Calibri" w:cs="Calibri"/>
          <w:vertAlign w:val="subscript"/>
        </w:rPr>
        <w:t>2.5</w:t>
      </w:r>
      <w:r>
        <w:rPr>
          <w:rFonts w:ascii="Calibri" w:eastAsia="Calibri" w:hAnsi="Calibri" w:cs="Calibri"/>
        </w:rPr>
        <w:t xml:space="preserve"> PSD increment modeling are required to combine the primary and secondary impacts (without background) </w:t>
      </w:r>
      <w:r w:rsidR="005A2FFF">
        <w:rPr>
          <w:rFonts w:ascii="Calibri" w:eastAsia="Calibri" w:hAnsi="Calibri" w:cs="Calibri"/>
        </w:rPr>
        <w:t>to</w:t>
      </w:r>
      <w:r>
        <w:rPr>
          <w:rFonts w:ascii="Calibri" w:eastAsia="Calibri" w:hAnsi="Calibri" w:cs="Calibri"/>
        </w:rPr>
        <w:t xml:space="preserve"> comply with the applicable 24-hour and annual increments shown in Table 3-2. </w:t>
      </w:r>
      <w:r w:rsidRPr="00545845">
        <w:rPr>
          <w:rFonts w:ascii="Calibri" w:eastAsia="Calibri" w:hAnsi="Calibri" w:cs="Calibri"/>
          <w:bCs/>
        </w:rPr>
        <w:t xml:space="preserve">If MERP analysis shows </w:t>
      </w:r>
      <w:r w:rsidRPr="00545845">
        <w:rPr>
          <w:rFonts w:ascii="Calibri" w:eastAsia="Calibri" w:hAnsi="Calibri" w:cs="Calibri"/>
          <w:bCs/>
        </w:rPr>
        <w:lastRenderedPageBreak/>
        <w:t>that a source’s impacts are above the applicable PM</w:t>
      </w:r>
      <w:r w:rsidRPr="00545845">
        <w:rPr>
          <w:rFonts w:ascii="Calibri" w:eastAsia="Calibri" w:hAnsi="Calibri" w:cs="Calibri"/>
          <w:bCs/>
          <w:vertAlign w:val="subscript"/>
        </w:rPr>
        <w:t>2.5</w:t>
      </w:r>
      <w:r w:rsidRPr="00545845">
        <w:rPr>
          <w:rFonts w:ascii="Calibri" w:eastAsia="Calibri" w:hAnsi="Calibri" w:cs="Calibri"/>
          <w:bCs/>
        </w:rPr>
        <w:t xml:space="preserve"> SILs, then a cumulative modeling analysis will be required to determine compliance with the applicable PM</w:t>
      </w:r>
      <w:r w:rsidRPr="00545845">
        <w:rPr>
          <w:rFonts w:ascii="Calibri" w:eastAsia="Calibri" w:hAnsi="Calibri" w:cs="Calibri"/>
          <w:bCs/>
          <w:vertAlign w:val="subscript"/>
        </w:rPr>
        <w:t>2.5</w:t>
      </w:r>
      <w:r w:rsidRPr="00545845">
        <w:rPr>
          <w:rFonts w:ascii="Calibri" w:eastAsia="Calibri" w:hAnsi="Calibri" w:cs="Calibri"/>
          <w:bCs/>
        </w:rPr>
        <w:t xml:space="preserve"> NAAQS and PSD Increments. If there are violations to the PM</w:t>
      </w:r>
      <w:r w:rsidRPr="00545845">
        <w:rPr>
          <w:rFonts w:ascii="Calibri" w:eastAsia="Calibri" w:hAnsi="Calibri" w:cs="Calibri"/>
          <w:bCs/>
          <w:vertAlign w:val="subscript"/>
        </w:rPr>
        <w:t>2.5</w:t>
      </w:r>
      <w:r w:rsidRPr="00545845">
        <w:rPr>
          <w:rFonts w:ascii="Calibri" w:eastAsia="Calibri" w:hAnsi="Calibri" w:cs="Calibri"/>
          <w:bCs/>
        </w:rPr>
        <w:t xml:space="preserve"> NAAQS and PSD Increments, then a culpability analysis is required to show that the subject source does not contribute significantly to any violation. Consultation with DEEP modeling staff is recommended before undertaking additional secondary PM</w:t>
      </w:r>
      <w:r w:rsidRPr="00545845">
        <w:rPr>
          <w:rFonts w:ascii="Calibri" w:eastAsia="Calibri" w:hAnsi="Calibri" w:cs="Calibri"/>
          <w:bCs/>
          <w:vertAlign w:val="subscript"/>
        </w:rPr>
        <w:t xml:space="preserve">2.5 </w:t>
      </w:r>
      <w:r w:rsidRPr="00545845">
        <w:rPr>
          <w:rFonts w:ascii="Calibri" w:eastAsia="Calibri" w:hAnsi="Calibri" w:cs="Calibri"/>
          <w:bCs/>
        </w:rPr>
        <w:t>assessments.</w:t>
      </w:r>
    </w:p>
    <w:p w14:paraId="236ADF30" w14:textId="77777777" w:rsidR="004F5587" w:rsidRDefault="004F5587" w:rsidP="00D82DEE">
      <w:pPr>
        <w:pStyle w:val="Heading2"/>
        <w:rPr>
          <w:rFonts w:eastAsia="Tw Cen MT"/>
        </w:rPr>
      </w:pPr>
      <w:bookmarkStart w:id="38" w:name="_Toc147226893"/>
      <w:r>
        <w:rPr>
          <w:rFonts w:eastAsia="Tw Cen MT"/>
        </w:rPr>
        <w:t>Multi-Source Refined Modeling and Inventory Requirements</w:t>
      </w:r>
      <w:bookmarkEnd w:id="38"/>
    </w:p>
    <w:p w14:paraId="5600FCD1" w14:textId="24E01F12" w:rsidR="004F5587" w:rsidRDefault="004F5587" w:rsidP="004F5587">
      <w:pPr>
        <w:rPr>
          <w:rFonts w:ascii="Calibri" w:eastAsia="Calibri" w:hAnsi="Calibri" w:cs="Calibri"/>
        </w:rPr>
      </w:pPr>
      <w:r>
        <w:rPr>
          <w:rFonts w:ascii="Calibri" w:eastAsia="Calibri" w:hAnsi="Calibri" w:cs="Calibri"/>
        </w:rPr>
        <w:t xml:space="preserve">Multi-source modeling analysis is required when single-source refined modeling </w:t>
      </w:r>
      <w:r w:rsidR="00C24410">
        <w:rPr>
          <w:rFonts w:ascii="Calibri" w:eastAsia="Calibri" w:hAnsi="Calibri" w:cs="Calibri"/>
        </w:rPr>
        <w:t>shows</w:t>
      </w:r>
      <w:r>
        <w:rPr>
          <w:rFonts w:ascii="Calibri" w:eastAsia="Calibri" w:hAnsi="Calibri" w:cs="Calibri"/>
        </w:rPr>
        <w:t xml:space="preserve"> significant impacts from a new or modified source seeking a permit. In any NAAQS and PSD increment multi-source modeling analyses, the subject source must use proposed short- and long-term allowable emission rates. All other existing permitted stationary sources within the subject source’s SIA may be modeled using typical representative actual emissions based on the most recent 2-years of normal source operation. For any nearby existing NAAQS and PSD increment consuming sources, source parameters and emission rates can be downloaded from the radius search tool on CT DEEP’s web page </w:t>
      </w:r>
      <w:r w:rsidRPr="00545845">
        <w:rPr>
          <w:rFonts w:ascii="Calibri" w:eastAsia="Calibri" w:hAnsi="Calibri" w:cs="Calibri"/>
          <w:bCs/>
        </w:rPr>
        <w:t xml:space="preserve">(for PSD cumulative modeling, sort the data based on date PERMIT ISSUANCE of a facility/source and compare that date to PSD minor-source baseline date for the applicable pollutant to be modeled). </w:t>
      </w:r>
      <w:r>
        <w:rPr>
          <w:rFonts w:ascii="Calibri" w:eastAsia="Calibri" w:hAnsi="Calibri" w:cs="Calibri"/>
        </w:rPr>
        <w:t xml:space="preserve">Consultation with CT DEEP is strongly recommended prior to performing multi-source modeling to ensure the data is accurate from the point source inventory </w:t>
      </w:r>
      <w:r w:rsidR="00C24410">
        <w:rPr>
          <w:rFonts w:ascii="Calibri" w:eastAsia="Calibri" w:hAnsi="Calibri" w:cs="Calibri"/>
        </w:rPr>
        <w:t>database</w:t>
      </w:r>
      <w:r w:rsidR="005A2FFF">
        <w:rPr>
          <w:rFonts w:ascii="Calibri" w:eastAsia="Calibri" w:hAnsi="Calibri" w:cs="Calibri"/>
        </w:rPr>
        <w:t xml:space="preserve">. </w:t>
      </w:r>
    </w:p>
    <w:p w14:paraId="7EEFC998" w14:textId="77777777" w:rsidR="004F5587" w:rsidRDefault="004F5587" w:rsidP="004F5587">
      <w:pPr>
        <w:rPr>
          <w:rFonts w:ascii="Calibri" w:eastAsia="Calibri" w:hAnsi="Calibri" w:cs="Calibri"/>
        </w:rPr>
      </w:pPr>
      <w:r>
        <w:rPr>
          <w:rFonts w:ascii="Calibri" w:eastAsia="Calibri" w:hAnsi="Calibri" w:cs="Calibri"/>
        </w:rPr>
        <w:t>The radius search program retrieves the following sources for the pollutant requested:</w:t>
      </w:r>
    </w:p>
    <w:p w14:paraId="5015CD18" w14:textId="77777777" w:rsidR="004F5587" w:rsidRDefault="004F5587" w:rsidP="00E21EDD">
      <w:pPr>
        <w:numPr>
          <w:ilvl w:val="0"/>
          <w:numId w:val="11"/>
        </w:numPr>
        <w:spacing w:after="0"/>
        <w:ind w:left="1080" w:hanging="720"/>
        <w:rPr>
          <w:rFonts w:ascii="Calibri" w:eastAsia="Calibri" w:hAnsi="Calibri" w:cs="Calibri"/>
        </w:rPr>
      </w:pPr>
      <w:r>
        <w:rPr>
          <w:rFonts w:ascii="Calibri" w:eastAsia="Calibri" w:hAnsi="Calibri" w:cs="Calibri"/>
        </w:rPr>
        <w:t>For NAAQS modeling:</w:t>
      </w:r>
    </w:p>
    <w:p w14:paraId="6F69FBBD" w14:textId="77777777" w:rsidR="004F5587" w:rsidRDefault="004F5587" w:rsidP="002F73E8">
      <w:pPr>
        <w:numPr>
          <w:ilvl w:val="0"/>
          <w:numId w:val="11"/>
        </w:numPr>
        <w:spacing w:after="0"/>
        <w:ind w:left="1440" w:hanging="360"/>
        <w:rPr>
          <w:rFonts w:ascii="Calibri" w:eastAsia="Calibri" w:hAnsi="Calibri" w:cs="Calibri"/>
        </w:rPr>
      </w:pPr>
      <w:r>
        <w:rPr>
          <w:rFonts w:ascii="Calibri" w:eastAsia="Calibri" w:hAnsi="Calibri" w:cs="Calibri"/>
        </w:rPr>
        <w:t>All stacks with actual PM</w:t>
      </w:r>
      <w:r>
        <w:rPr>
          <w:rFonts w:ascii="Calibri" w:eastAsia="Calibri" w:hAnsi="Calibri" w:cs="Calibri"/>
          <w:vertAlign w:val="subscript"/>
        </w:rPr>
        <w:t>2.5</w:t>
      </w:r>
      <w:r>
        <w:rPr>
          <w:rFonts w:ascii="Calibri" w:eastAsia="Calibri" w:hAnsi="Calibri" w:cs="Calibri"/>
        </w:rPr>
        <w:t xml:space="preserve"> emissions of &gt;= 10 tons per year (TPY) that fall within the radius of significance of the subject source.</w:t>
      </w:r>
    </w:p>
    <w:p w14:paraId="4FEB82B0" w14:textId="2728F69E" w:rsidR="004F5587" w:rsidRDefault="004F5587" w:rsidP="002F73E8">
      <w:pPr>
        <w:numPr>
          <w:ilvl w:val="0"/>
          <w:numId w:val="11"/>
        </w:numPr>
        <w:ind w:left="1440" w:hanging="360"/>
        <w:rPr>
          <w:rFonts w:ascii="Calibri" w:eastAsia="Calibri" w:hAnsi="Calibri" w:cs="Calibri"/>
        </w:rPr>
      </w:pPr>
      <w:r>
        <w:rPr>
          <w:rFonts w:ascii="Calibri" w:eastAsia="Calibri" w:hAnsi="Calibri" w:cs="Calibri"/>
        </w:rPr>
        <w:t>All stacks with actual SO</w:t>
      </w:r>
      <w:r>
        <w:rPr>
          <w:rFonts w:ascii="Calibri" w:eastAsia="Calibri" w:hAnsi="Calibri" w:cs="Calibri"/>
          <w:vertAlign w:val="subscript"/>
        </w:rPr>
        <w:t>2</w:t>
      </w:r>
      <w:r>
        <w:rPr>
          <w:rFonts w:ascii="Calibri" w:eastAsia="Calibri" w:hAnsi="Calibri" w:cs="Calibri"/>
        </w:rPr>
        <w:t>, NO</w:t>
      </w:r>
      <w:r>
        <w:rPr>
          <w:rFonts w:ascii="Calibri" w:eastAsia="Calibri" w:hAnsi="Calibri" w:cs="Calibri"/>
          <w:vertAlign w:val="subscript"/>
        </w:rPr>
        <w:t>2</w:t>
      </w:r>
      <w:r>
        <w:rPr>
          <w:rFonts w:ascii="Calibri" w:eastAsia="Calibri" w:hAnsi="Calibri" w:cs="Calibri"/>
        </w:rPr>
        <w:t>, PM</w:t>
      </w:r>
      <w:r>
        <w:rPr>
          <w:rFonts w:ascii="Calibri" w:eastAsia="Calibri" w:hAnsi="Calibri" w:cs="Calibri"/>
          <w:vertAlign w:val="subscript"/>
        </w:rPr>
        <w:t>10</w:t>
      </w:r>
      <w:r>
        <w:rPr>
          <w:rFonts w:ascii="Calibri" w:eastAsia="Calibri" w:hAnsi="Calibri" w:cs="Calibri"/>
        </w:rPr>
        <w:t xml:space="preserve">, and CO emissions of </w:t>
      </w:r>
      <w:r w:rsidR="00A25008">
        <w:rPr>
          <w:rFonts w:ascii="Calibri" w:eastAsia="Calibri" w:hAnsi="Calibri" w:cs="Calibri"/>
        </w:rPr>
        <w:t>≥</w:t>
      </w:r>
      <w:r>
        <w:rPr>
          <w:rFonts w:ascii="Calibri" w:eastAsia="Calibri" w:hAnsi="Calibri" w:cs="Calibri"/>
        </w:rPr>
        <w:t xml:space="preserve"> 15 tons per year (TPY) that fall within the radius of significance of the subject source.</w:t>
      </w:r>
    </w:p>
    <w:p w14:paraId="19016BB0" w14:textId="77777777" w:rsidR="004F5587" w:rsidRDefault="004F5587" w:rsidP="00E21EDD">
      <w:pPr>
        <w:numPr>
          <w:ilvl w:val="0"/>
          <w:numId w:val="11"/>
        </w:numPr>
        <w:spacing w:after="0"/>
        <w:ind w:left="1080" w:hanging="720"/>
        <w:rPr>
          <w:rFonts w:ascii="Calibri" w:eastAsia="Calibri" w:hAnsi="Calibri" w:cs="Calibri"/>
        </w:rPr>
      </w:pPr>
      <w:r>
        <w:rPr>
          <w:rFonts w:ascii="Calibri" w:eastAsia="Calibri" w:hAnsi="Calibri" w:cs="Calibri"/>
        </w:rPr>
        <w:t>For PSD Increment modeling:</w:t>
      </w:r>
    </w:p>
    <w:p w14:paraId="668CF8EE" w14:textId="77777777" w:rsidR="004F5587" w:rsidRDefault="004F5587" w:rsidP="002F73E8">
      <w:pPr>
        <w:numPr>
          <w:ilvl w:val="0"/>
          <w:numId w:val="11"/>
        </w:numPr>
        <w:ind w:left="1440" w:hanging="360"/>
        <w:rPr>
          <w:rFonts w:ascii="Calibri" w:eastAsia="Calibri" w:hAnsi="Calibri" w:cs="Calibri"/>
        </w:rPr>
      </w:pPr>
      <w:r>
        <w:rPr>
          <w:rFonts w:ascii="Calibri" w:eastAsia="Calibri" w:hAnsi="Calibri" w:cs="Calibri"/>
        </w:rPr>
        <w:t xml:space="preserve">All sources affecting PSD increment (defined in RCSA sections 22a-174-3a(k)(5) and 22a-174-3a(k)(6)) that fall within the radius of significance of the subject source for the applicable pollutant. </w:t>
      </w:r>
    </w:p>
    <w:p w14:paraId="4936B2EE" w14:textId="5EFD4EAE" w:rsidR="004F5587" w:rsidRPr="005D55C6" w:rsidRDefault="004F5587" w:rsidP="004F5587">
      <w:pPr>
        <w:rPr>
          <w:rFonts w:ascii="Calibri" w:eastAsia="Calibri" w:hAnsi="Calibri" w:cs="Calibri"/>
          <w:bCs/>
        </w:rPr>
      </w:pPr>
      <w:r>
        <w:rPr>
          <w:rFonts w:ascii="Calibri" w:eastAsia="Calibri" w:hAnsi="Calibri" w:cs="Calibri"/>
        </w:rPr>
        <w:t xml:space="preserve">For short term compliance demonstrations, assume continuous operation from most nearby sources unless there are enforceable permit conditions limiting hours of operation/year, and defining periods when a nearby source is not in operation. </w:t>
      </w:r>
      <w:r w:rsidR="005A2FFF">
        <w:rPr>
          <w:rFonts w:ascii="Calibri" w:eastAsia="Calibri" w:hAnsi="Calibri" w:cs="Calibri"/>
        </w:rPr>
        <w:t>If</w:t>
      </w:r>
      <w:r>
        <w:rPr>
          <w:rFonts w:ascii="Calibri" w:eastAsia="Calibri" w:hAnsi="Calibri" w:cs="Calibri"/>
        </w:rPr>
        <w:t xml:space="preserve"> actual emissions are not available, applicants should use the latest permitted allowable emissions, or estimated emissions from fuel use data in consultation with CT DEEP. </w:t>
      </w:r>
      <w:r w:rsidRPr="005D55C6">
        <w:rPr>
          <w:rFonts w:ascii="Calibri" w:eastAsia="Calibri" w:hAnsi="Calibri" w:cs="Calibri"/>
          <w:bCs/>
        </w:rPr>
        <w:t xml:space="preserve">The applicant is responsible </w:t>
      </w:r>
      <w:r w:rsidR="00C24410" w:rsidRPr="005D55C6">
        <w:rPr>
          <w:rFonts w:ascii="Calibri" w:eastAsia="Calibri" w:hAnsi="Calibri" w:cs="Calibri"/>
          <w:bCs/>
        </w:rPr>
        <w:t>for performing</w:t>
      </w:r>
      <w:r w:rsidRPr="005D55C6">
        <w:rPr>
          <w:rFonts w:ascii="Calibri" w:eastAsia="Calibri" w:hAnsi="Calibri" w:cs="Calibri"/>
          <w:bCs/>
        </w:rPr>
        <w:t xml:space="preserve"> a GEP analysis and input building downwash from facilities included in the multi-source modeling.</w:t>
      </w:r>
    </w:p>
    <w:p w14:paraId="527B2096" w14:textId="77777777" w:rsidR="004F5587" w:rsidRDefault="004F5587" w:rsidP="004F5587">
      <w:pPr>
        <w:rPr>
          <w:rFonts w:ascii="Calibri" w:eastAsia="Calibri" w:hAnsi="Calibri" w:cs="Calibri"/>
        </w:rPr>
      </w:pPr>
      <w:r>
        <w:rPr>
          <w:rFonts w:ascii="Calibri" w:eastAsia="Calibri" w:hAnsi="Calibri" w:cs="Calibri"/>
        </w:rPr>
        <w:t xml:space="preserve">If the SIA of a source extends beyond the Connecticut state line, the applicant must obtain existing source information from the neighboring state, submit a copy of the source emissions data to the CT DEEP, and include these sources in the modeling. </w:t>
      </w:r>
    </w:p>
    <w:p w14:paraId="589E094F" w14:textId="77777777" w:rsidR="004F5587" w:rsidRDefault="004F5587" w:rsidP="004F5587">
      <w:pPr>
        <w:rPr>
          <w:rFonts w:ascii="Calibri" w:eastAsia="Calibri" w:hAnsi="Calibri" w:cs="Calibri"/>
        </w:rPr>
      </w:pPr>
      <w:r>
        <w:rPr>
          <w:rFonts w:ascii="Calibri" w:eastAsia="Calibri" w:hAnsi="Calibri" w:cs="Calibri"/>
        </w:rPr>
        <w:t>In addition to the inventory provided by CT DEEP for PSD increment modeling, the applicant may be required to address the effects of area-wide emissions growth on increment consumption, particularly when modeled concentrations approach the available increments in areas where existing measured ambient air quality levels are increasing.</w:t>
      </w:r>
    </w:p>
    <w:p w14:paraId="41D80E57" w14:textId="77777777" w:rsidR="004F5587" w:rsidRDefault="004F5587" w:rsidP="00D82DEE">
      <w:pPr>
        <w:pStyle w:val="Heading2"/>
        <w:rPr>
          <w:rFonts w:eastAsia="Tw Cen MT"/>
        </w:rPr>
      </w:pPr>
      <w:bookmarkStart w:id="39" w:name="_Toc147226894"/>
      <w:r>
        <w:rPr>
          <w:rFonts w:eastAsia="Tw Cen MT"/>
        </w:rPr>
        <w:t>Additional PSD Impact Analyses</w:t>
      </w:r>
      <w:bookmarkEnd w:id="39"/>
    </w:p>
    <w:p w14:paraId="18AAF600" w14:textId="77777777" w:rsidR="004F5587" w:rsidRDefault="004F5587" w:rsidP="004F5587">
      <w:pPr>
        <w:rPr>
          <w:rFonts w:ascii="Calibri" w:eastAsia="Calibri" w:hAnsi="Calibri" w:cs="Calibri"/>
        </w:rPr>
      </w:pPr>
      <w:r>
        <w:rPr>
          <w:rFonts w:ascii="Calibri" w:eastAsia="Calibri" w:hAnsi="Calibri" w:cs="Calibri"/>
        </w:rPr>
        <w:t>The Federal PSD program requires that the owner of any new major source or a source undergoing a major modification provide an analysis of additional impacts that would occur as a direct result of the general, residential, commercial, industrial, and/or other growth associated with the construction and operation of the source.</w:t>
      </w:r>
    </w:p>
    <w:p w14:paraId="71AC2208" w14:textId="46C70E8E" w:rsidR="004F5587" w:rsidRDefault="004F5587" w:rsidP="004F5587">
      <w:pPr>
        <w:rPr>
          <w:rFonts w:ascii="Calibri" w:eastAsia="Calibri" w:hAnsi="Calibri" w:cs="Calibri"/>
        </w:rPr>
      </w:pPr>
      <w:r>
        <w:rPr>
          <w:rFonts w:ascii="Calibri" w:eastAsia="Calibri" w:hAnsi="Calibri" w:cs="Calibri"/>
        </w:rPr>
        <w:lastRenderedPageBreak/>
        <w:t xml:space="preserve">In addition, an analysis of impairment of visibility, soils, and vegetation that would occur </w:t>
      </w:r>
      <w:r w:rsidR="005A2FFF">
        <w:rPr>
          <w:rFonts w:ascii="Calibri" w:eastAsia="Calibri" w:hAnsi="Calibri" w:cs="Calibri"/>
        </w:rPr>
        <w:t>because of</w:t>
      </w:r>
      <w:r>
        <w:rPr>
          <w:rFonts w:ascii="Calibri" w:eastAsia="Calibri" w:hAnsi="Calibri" w:cs="Calibri"/>
        </w:rPr>
        <w:t xml:space="preserve"> the source is also required (use of VISCREEN for a visibility screening modeling analysis is sufficient as a screening tool for Connecticut sources)</w:t>
      </w:r>
      <w:r w:rsidR="005A2FFF">
        <w:rPr>
          <w:rFonts w:ascii="Calibri" w:eastAsia="Calibri" w:hAnsi="Calibri" w:cs="Calibri"/>
        </w:rPr>
        <w:t xml:space="preserve">. </w:t>
      </w:r>
      <w:r>
        <w:rPr>
          <w:rFonts w:ascii="Calibri" w:eastAsia="Calibri" w:hAnsi="Calibri" w:cs="Calibri"/>
        </w:rPr>
        <w:t>Further guidance relating to these analyses are provided in the EPA documents entitled: “A Screening Procedure for the Impacts of Air Pollution Sources on Plants, Soils and Animals” (EPA, 1980), “PSD Workshop Manual” (EPA, August 1980)</w:t>
      </w:r>
      <w:r w:rsidR="00810A15">
        <w:rPr>
          <w:rFonts w:ascii="Calibri" w:eastAsia="Calibri" w:hAnsi="Calibri" w:cs="Calibri"/>
        </w:rPr>
        <w:t>.</w:t>
      </w:r>
    </w:p>
    <w:p w14:paraId="73A28A69" w14:textId="77777777" w:rsidR="004F5587" w:rsidRDefault="004F5587" w:rsidP="00D82DEE">
      <w:pPr>
        <w:pStyle w:val="Heading2"/>
        <w:rPr>
          <w:rFonts w:eastAsia="Tw Cen MT"/>
        </w:rPr>
      </w:pPr>
      <w:bookmarkStart w:id="40" w:name="_Toc147226895"/>
      <w:r>
        <w:rPr>
          <w:rFonts w:eastAsia="Tw Cen MT"/>
        </w:rPr>
        <w:t>Air Quality Related Values</w:t>
      </w:r>
      <w:bookmarkEnd w:id="40"/>
    </w:p>
    <w:p w14:paraId="3DA4C193" w14:textId="6BDF963E" w:rsidR="004F5587" w:rsidRDefault="004F5587" w:rsidP="004F5587">
      <w:pPr>
        <w:rPr>
          <w:rFonts w:ascii="Calibri" w:eastAsia="Calibri" w:hAnsi="Calibri" w:cs="Calibri"/>
        </w:rPr>
      </w:pPr>
      <w:r>
        <w:rPr>
          <w:rFonts w:ascii="Calibri" w:eastAsia="Calibri" w:hAnsi="Calibri" w:cs="Calibri"/>
        </w:rPr>
        <w:t xml:space="preserve">The 1990 CAA Amendments gives the Federal Land Manager’s (FLMs) “affirmative responsibility” to protect Class I areas from adverse impacts caused by major sources of air pollution, and to provide the appropriate air analysis techniques. If a proposed or modified major source in Connecticut is located within 300 km of the following Class I areas across the northeast such as: Lye Brook Wilderness, Vermont, Great Gulf Wilderness Area New Hampshire, the Presidential Range-Dry River, New Hampshire, and Brigantine National Wildlife Refuge, New Jersey, the applicant should consult with CT DEEP staff, complete </w:t>
      </w:r>
      <w:r w:rsidRPr="005764F8">
        <w:rPr>
          <w:rFonts w:ascii="Calibri" w:eastAsia="Calibri" w:hAnsi="Calibri" w:cs="Calibri"/>
          <w:color w:val="000000" w:themeColor="text1"/>
        </w:rPr>
        <w:t>the FLM’S Class I PSD Modeling Form</w:t>
      </w:r>
      <w:r w:rsidR="005764F8">
        <w:rPr>
          <w:rFonts w:ascii="Calibri" w:eastAsia="Calibri" w:hAnsi="Calibri" w:cs="Calibri"/>
          <w:color w:val="000000" w:themeColor="text1"/>
        </w:rPr>
        <w:t>,</w:t>
      </w:r>
      <w:r w:rsidRPr="005764F8">
        <w:rPr>
          <w:rFonts w:ascii="Calibri" w:eastAsia="Calibri" w:hAnsi="Calibri" w:cs="Calibri"/>
          <w:color w:val="000000" w:themeColor="text1"/>
        </w:rPr>
        <w:t xml:space="preserve"> and </w:t>
      </w:r>
      <w:r>
        <w:rPr>
          <w:rFonts w:ascii="Calibri" w:eastAsia="Calibri" w:hAnsi="Calibri" w:cs="Calibri"/>
        </w:rPr>
        <w:t xml:space="preserve">send it to the northeast regional FLM’s for the purpose of determining if a Class I area Air Quality Related Values (AQRV) analysis is required. </w:t>
      </w:r>
      <w:r w:rsidR="00814AF3">
        <w:rPr>
          <w:rFonts w:ascii="Calibri" w:eastAsia="Calibri" w:hAnsi="Calibri" w:cs="Calibri"/>
        </w:rPr>
        <w:t xml:space="preserve">Please consult with the </w:t>
      </w:r>
      <w:r>
        <w:rPr>
          <w:rFonts w:ascii="Calibri" w:eastAsia="Calibri" w:hAnsi="Calibri" w:cs="Calibri"/>
        </w:rPr>
        <w:t>of the FLMs for the Class 1 Areas in New England can be found CT DEEP and the appropriate FLM will determine if an AQRV modeling demonstration is necessary on a case-by-case basis, considering such factors as:</w:t>
      </w:r>
    </w:p>
    <w:p w14:paraId="74A2FFBD" w14:textId="77777777" w:rsidR="004F5587" w:rsidRPr="008F2030" w:rsidRDefault="004F5587" w:rsidP="008F2030">
      <w:pPr>
        <w:pStyle w:val="ListParagraph"/>
        <w:numPr>
          <w:ilvl w:val="0"/>
          <w:numId w:val="38"/>
        </w:numPr>
        <w:spacing w:after="0"/>
        <w:rPr>
          <w:rFonts w:ascii="Calibri" w:eastAsia="Calibri" w:hAnsi="Calibri" w:cs="Calibri"/>
        </w:rPr>
      </w:pPr>
      <w:r w:rsidRPr="008F2030">
        <w:rPr>
          <w:rFonts w:ascii="Calibri" w:eastAsia="Calibri" w:hAnsi="Calibri" w:cs="Calibri"/>
        </w:rPr>
        <w:t xml:space="preserve">current conditions of sensitive AQRV, </w:t>
      </w:r>
    </w:p>
    <w:p w14:paraId="2C39DF9C" w14:textId="77777777" w:rsidR="004F5587" w:rsidRPr="008F2030" w:rsidRDefault="004F5587" w:rsidP="008F2030">
      <w:pPr>
        <w:pStyle w:val="ListParagraph"/>
        <w:numPr>
          <w:ilvl w:val="0"/>
          <w:numId w:val="38"/>
        </w:numPr>
        <w:spacing w:after="0"/>
        <w:rPr>
          <w:rFonts w:ascii="Calibri" w:eastAsia="Calibri" w:hAnsi="Calibri" w:cs="Calibri"/>
        </w:rPr>
      </w:pPr>
      <w:r w:rsidRPr="008F2030">
        <w:rPr>
          <w:rFonts w:ascii="Calibri" w:eastAsia="Calibri" w:hAnsi="Calibri" w:cs="Calibri"/>
        </w:rPr>
        <w:t>magnitude of emissions,</w:t>
      </w:r>
    </w:p>
    <w:p w14:paraId="43443784" w14:textId="77777777" w:rsidR="004F5587" w:rsidRPr="008F2030" w:rsidRDefault="004F5587" w:rsidP="008F2030">
      <w:pPr>
        <w:pStyle w:val="ListParagraph"/>
        <w:numPr>
          <w:ilvl w:val="0"/>
          <w:numId w:val="38"/>
        </w:numPr>
        <w:spacing w:after="0"/>
        <w:rPr>
          <w:rFonts w:ascii="Calibri" w:eastAsia="Calibri" w:hAnsi="Calibri" w:cs="Calibri"/>
        </w:rPr>
      </w:pPr>
      <w:r w:rsidRPr="008F2030">
        <w:rPr>
          <w:rFonts w:ascii="Calibri" w:eastAsia="Calibri" w:hAnsi="Calibri" w:cs="Calibri"/>
        </w:rPr>
        <w:t>distance from the Class I area,</w:t>
      </w:r>
    </w:p>
    <w:p w14:paraId="2B12A69C" w14:textId="77777777" w:rsidR="004F5587" w:rsidRPr="008F2030" w:rsidRDefault="004F5587" w:rsidP="008F2030">
      <w:pPr>
        <w:pStyle w:val="ListParagraph"/>
        <w:numPr>
          <w:ilvl w:val="0"/>
          <w:numId w:val="38"/>
        </w:numPr>
        <w:spacing w:after="0"/>
        <w:rPr>
          <w:rFonts w:ascii="Calibri" w:eastAsia="Calibri" w:hAnsi="Calibri" w:cs="Calibri"/>
        </w:rPr>
      </w:pPr>
      <w:r w:rsidRPr="008F2030">
        <w:rPr>
          <w:rFonts w:ascii="Calibri" w:eastAsia="Calibri" w:hAnsi="Calibri" w:cs="Calibri"/>
        </w:rPr>
        <w:t>potential for source growth in an area/region,</w:t>
      </w:r>
    </w:p>
    <w:p w14:paraId="058E787B" w14:textId="77777777" w:rsidR="004F5587" w:rsidRPr="008F2030" w:rsidRDefault="004F5587" w:rsidP="008F2030">
      <w:pPr>
        <w:pStyle w:val="ListParagraph"/>
        <w:numPr>
          <w:ilvl w:val="0"/>
          <w:numId w:val="38"/>
        </w:numPr>
        <w:spacing w:after="0"/>
        <w:rPr>
          <w:rFonts w:ascii="Calibri" w:eastAsia="Calibri" w:hAnsi="Calibri" w:cs="Calibri"/>
        </w:rPr>
      </w:pPr>
      <w:r w:rsidRPr="008F2030">
        <w:rPr>
          <w:rFonts w:ascii="Calibri" w:eastAsia="Calibri" w:hAnsi="Calibri" w:cs="Calibri"/>
        </w:rPr>
        <w:t>existing/prevailing meteorological conditions, and</w:t>
      </w:r>
    </w:p>
    <w:p w14:paraId="45B0B6F0" w14:textId="77777777" w:rsidR="004F5587" w:rsidRPr="008F2030" w:rsidRDefault="004F5587" w:rsidP="008F2030">
      <w:pPr>
        <w:pStyle w:val="ListParagraph"/>
        <w:numPr>
          <w:ilvl w:val="0"/>
          <w:numId w:val="38"/>
        </w:numPr>
        <w:rPr>
          <w:rFonts w:ascii="Calibri" w:eastAsia="Calibri" w:hAnsi="Calibri" w:cs="Calibri"/>
        </w:rPr>
      </w:pPr>
      <w:r w:rsidRPr="008F2030">
        <w:rPr>
          <w:rFonts w:ascii="Calibri" w:eastAsia="Calibri" w:hAnsi="Calibri" w:cs="Calibri"/>
        </w:rPr>
        <w:t>cumulative effects of several sources to AQRV.</w:t>
      </w:r>
    </w:p>
    <w:p w14:paraId="32CA32C5" w14:textId="38422BF8" w:rsidR="004F5587" w:rsidRPr="00814AF3" w:rsidRDefault="004F5587" w:rsidP="004F5587">
      <w:pPr>
        <w:rPr>
          <w:rFonts w:ascii="Calibri" w:eastAsia="Calibri" w:hAnsi="Calibri" w:cs="Calibri"/>
          <w:b/>
          <w:color w:val="000000" w:themeColor="text1"/>
          <w:u w:val="single"/>
        </w:rPr>
      </w:pPr>
      <w:r>
        <w:rPr>
          <w:rFonts w:ascii="Calibri" w:eastAsia="Calibri" w:hAnsi="Calibri" w:cs="Calibri"/>
        </w:rPr>
        <w:t xml:space="preserve">If an AQRV refined modeling analysis is required, the applicant, CT DEEP, and the FLM will work together to formulate an appropriate modeling demonstration. For a general description of what is expected of an AQRV analysis, see the latest </w:t>
      </w:r>
      <w:hyperlink r:id="rId24" w:history="1">
        <w:r w:rsidRPr="00814AF3">
          <w:rPr>
            <w:rStyle w:val="Hyperlink"/>
            <w:rFonts w:ascii="Calibri" w:eastAsia="Calibri" w:hAnsi="Calibri" w:cs="Calibri"/>
          </w:rPr>
          <w:t>document</w:t>
        </w:r>
      </w:hyperlink>
      <w:r>
        <w:rPr>
          <w:rFonts w:ascii="Calibri" w:eastAsia="Calibri" w:hAnsi="Calibri" w:cs="Calibri"/>
        </w:rPr>
        <w:t xml:space="preserve"> entitled Federal Land Managers’ “Air Quality Related Values Workgroup (FLAG</w:t>
      </w:r>
      <w:r w:rsidRPr="00814AF3">
        <w:rPr>
          <w:rFonts w:ascii="Calibri" w:eastAsia="Calibri" w:hAnsi="Calibri" w:cs="Calibri"/>
          <w:color w:val="000000" w:themeColor="text1"/>
        </w:rPr>
        <w:t>) Report”</w:t>
      </w:r>
      <w:r w:rsidR="00814AF3" w:rsidRPr="00814AF3">
        <w:rPr>
          <w:rFonts w:ascii="Calibri" w:eastAsia="Calibri" w:hAnsi="Calibri" w:cs="Calibri"/>
          <w:color w:val="000000" w:themeColor="text1"/>
        </w:rPr>
        <w:t>.</w:t>
      </w:r>
      <w:r w:rsidR="00814AF3" w:rsidRPr="00814AF3">
        <w:rPr>
          <w:color w:val="000000" w:themeColor="text1"/>
        </w:rPr>
        <w:t xml:space="preserve"> </w:t>
      </w:r>
    </w:p>
    <w:p w14:paraId="120A6DAF" w14:textId="1AA2795A" w:rsidR="004F5587" w:rsidRDefault="00057BF2" w:rsidP="00F6243B">
      <w:pPr>
        <w:pStyle w:val="Heading1"/>
        <w:spacing w:after="240"/>
        <w:rPr>
          <w:rFonts w:eastAsia="Tw Cen MT"/>
        </w:rPr>
      </w:pPr>
      <w:bookmarkStart w:id="41" w:name="_Background_Air_Quality"/>
      <w:bookmarkEnd w:id="41"/>
      <w:r>
        <w:rPr>
          <w:rFonts w:eastAsia="Tw Cen MT"/>
        </w:rPr>
        <w:t xml:space="preserve"> </w:t>
      </w:r>
      <w:bookmarkStart w:id="42" w:name="_Toc147226896"/>
      <w:r w:rsidR="004F5587">
        <w:rPr>
          <w:rFonts w:eastAsia="Tw Cen MT"/>
        </w:rPr>
        <w:t>Background Air Quality</w:t>
      </w:r>
      <w:bookmarkEnd w:id="42"/>
    </w:p>
    <w:p w14:paraId="351E9C4E" w14:textId="6136E665" w:rsidR="004F5587" w:rsidRDefault="004F5587" w:rsidP="004F5587">
      <w:pPr>
        <w:rPr>
          <w:rFonts w:ascii="Calibri" w:eastAsia="Calibri" w:hAnsi="Calibri" w:cs="Calibri"/>
        </w:rPr>
      </w:pPr>
      <w:r>
        <w:rPr>
          <w:rFonts w:ascii="Calibri" w:eastAsia="Calibri" w:hAnsi="Calibri" w:cs="Calibri"/>
        </w:rPr>
        <w:t>Background air quality levels are added to modeled impacts to determine compliance with the NAAQS for the appropriate pollutant and averaging time. Recommendations for estimating pollutant specific background concentrations from CT DEEP monitoring sites are summarized in this section below. The most recent three years of available data from representative federal reference method (FRM) or equivalent CT DEEP monitoring sites located within or nearest to the modeling domain, should be added to the modeled predicted impacts to demonstrate compliance with the NAAQS.</w:t>
      </w:r>
    </w:p>
    <w:p w14:paraId="725F2BFB" w14:textId="77777777" w:rsidR="004F5587" w:rsidRDefault="004F5587" w:rsidP="00D82DEE">
      <w:pPr>
        <w:pStyle w:val="Heading2"/>
        <w:rPr>
          <w:rFonts w:eastAsia="Tw Cen MT"/>
        </w:rPr>
      </w:pPr>
      <w:bookmarkStart w:id="43" w:name="_Toc147226897"/>
      <w:r>
        <w:rPr>
          <w:rFonts w:eastAsia="Tw Cen MT"/>
        </w:rPr>
        <w:t>Monitored Design Concentrations</w:t>
      </w:r>
      <w:bookmarkEnd w:id="43"/>
    </w:p>
    <w:p w14:paraId="48273F9C" w14:textId="60369CA6" w:rsidR="004F5587" w:rsidRDefault="004F5587" w:rsidP="004F5587">
      <w:pPr>
        <w:rPr>
          <w:rFonts w:ascii="Calibri" w:eastAsia="Calibri" w:hAnsi="Calibri" w:cs="Calibri"/>
        </w:rPr>
      </w:pPr>
      <w:r>
        <w:rPr>
          <w:rFonts w:ascii="Calibri" w:eastAsia="Calibri" w:hAnsi="Calibri" w:cs="Calibri"/>
        </w:rPr>
        <w:t>The monitored design concentrations are added to the modeled results as a conservative approach to estimating total predicted concentrations. Both short and long term monitored design values are calculated based on 3-year average concentrations. However, this does not preempt or alter the Appendix W requirement for use of 5-years of representative NWS meteorological data or at least 1-year of site-specific data for modeling. There may be occasions where a more refined short-term average background estimate is needed in a modeling review, particularly when modeled concentrations plus the design background value exceeds the NAAQS. For modeling reviews that cannot demonstrate compliance using ambient monitored design concentrations as background, more refined approaches may be considered and consultation with the CT DEEP modeling staff is paramount</w:t>
      </w:r>
      <w:r w:rsidR="005A2FFF">
        <w:rPr>
          <w:rFonts w:ascii="Calibri" w:eastAsia="Calibri" w:hAnsi="Calibri" w:cs="Calibri"/>
        </w:rPr>
        <w:t xml:space="preserve">. </w:t>
      </w:r>
    </w:p>
    <w:p w14:paraId="24C00E3A" w14:textId="267F1556" w:rsidR="004F5587" w:rsidRDefault="004F5587" w:rsidP="004F5587">
      <w:pPr>
        <w:rPr>
          <w:rFonts w:ascii="Calibri" w:eastAsia="Calibri" w:hAnsi="Calibri" w:cs="Calibri"/>
        </w:rPr>
      </w:pPr>
      <w:r>
        <w:rPr>
          <w:rFonts w:ascii="Calibri" w:eastAsia="Calibri" w:hAnsi="Calibri" w:cs="Calibri"/>
        </w:rPr>
        <w:lastRenderedPageBreak/>
        <w:t xml:space="preserve">Background concentrations for a specific project should be based on one or more monitoring sites that are most representative of background levels expected at the source location. Since AERMOD allows for multi monitoring sites to be used based on wind direction from the subject source to upwind and downwind monitors, applicants may use multi-monitoring sites to add background to the modeled predicted concentrations to demonstrate compliance with the applicable NAAQS. </w:t>
      </w:r>
    </w:p>
    <w:p w14:paraId="76EE96A4" w14:textId="6E0B0178" w:rsidR="004F5587" w:rsidRDefault="004F5587" w:rsidP="004F5587">
      <w:pPr>
        <w:rPr>
          <w:rFonts w:ascii="Calibri" w:eastAsia="Calibri" w:hAnsi="Calibri" w:cs="Calibri"/>
        </w:rPr>
      </w:pPr>
      <w:r>
        <w:rPr>
          <w:rFonts w:ascii="Calibri" w:eastAsia="Calibri" w:hAnsi="Calibri" w:cs="Calibri"/>
        </w:rPr>
        <w:t xml:space="preserve">Proximity of monitoring site(s) to the source location is the main criteria used to choose the monitoring sites to include in your background estimate. A secondary consideration would involve a comparison of the land use surrounding the source and a monitoring site. If the SIA of a proposed source extends across the Connecticut border to a neighboring state, or the source being modeled is located close to a neighboring state border, the applicant may need to obtain monitored data from the neighboring state </w:t>
      </w:r>
      <w:r w:rsidR="005A2FFF">
        <w:rPr>
          <w:rFonts w:ascii="Calibri" w:eastAsia="Calibri" w:hAnsi="Calibri" w:cs="Calibri"/>
        </w:rPr>
        <w:t>to</w:t>
      </w:r>
      <w:r>
        <w:rPr>
          <w:rFonts w:ascii="Calibri" w:eastAsia="Calibri" w:hAnsi="Calibri" w:cs="Calibri"/>
        </w:rPr>
        <w:t xml:space="preserve"> establish a representative background value for the project impact area. </w:t>
      </w:r>
    </w:p>
    <w:p w14:paraId="3A160E09" w14:textId="2A9BB1AC" w:rsidR="004F5587" w:rsidRDefault="004F5587" w:rsidP="004F5587">
      <w:pPr>
        <w:rPr>
          <w:rFonts w:ascii="Calibri" w:eastAsia="Calibri" w:hAnsi="Calibri" w:cs="Calibri"/>
        </w:rPr>
      </w:pPr>
      <w:r>
        <w:rPr>
          <w:rFonts w:ascii="Calibri" w:eastAsia="Calibri" w:hAnsi="Calibri" w:cs="Calibri"/>
        </w:rPr>
        <w:t xml:space="preserve">Sources subject to federal PSD requirements should contact CT DEEP to determine whether pre- or post-construction monitoring will be required for some pollutants if existing CT DEEP monitored data are deemed non-representative. This determination will be made on a case-by-case basis following EPA’s Appendix W and monitoring guidance. </w:t>
      </w:r>
    </w:p>
    <w:p w14:paraId="7B253DDE" w14:textId="586027FB" w:rsidR="004F5587" w:rsidRDefault="004F5587" w:rsidP="004F5587">
      <w:pPr>
        <w:rPr>
          <w:rFonts w:ascii="Calibri" w:eastAsia="Calibri" w:hAnsi="Calibri" w:cs="Calibri"/>
        </w:rPr>
      </w:pPr>
      <w:r>
        <w:rPr>
          <w:rFonts w:ascii="Calibri" w:eastAsia="Calibri" w:hAnsi="Calibri" w:cs="Calibri"/>
        </w:rPr>
        <w:t>The latest available measured SO</w:t>
      </w:r>
      <w:r w:rsidRPr="00D82DEE">
        <w:rPr>
          <w:rFonts w:ascii="Calibri" w:eastAsia="Calibri" w:hAnsi="Calibri" w:cs="Calibri"/>
          <w:vertAlign w:val="subscript"/>
        </w:rPr>
        <w:t>2</w:t>
      </w:r>
      <w:r>
        <w:rPr>
          <w:rFonts w:ascii="Calibri" w:eastAsia="Calibri" w:hAnsi="Calibri" w:cs="Calibri"/>
        </w:rPr>
        <w:t>, NO</w:t>
      </w:r>
      <w:r w:rsidRPr="00D82DEE">
        <w:rPr>
          <w:rFonts w:ascii="Calibri" w:eastAsia="Calibri" w:hAnsi="Calibri" w:cs="Calibri"/>
          <w:vertAlign w:val="subscript"/>
        </w:rPr>
        <w:t>2</w:t>
      </w:r>
      <w:r>
        <w:rPr>
          <w:rFonts w:ascii="Calibri" w:eastAsia="Calibri" w:hAnsi="Calibri" w:cs="Calibri"/>
        </w:rPr>
        <w:t>, PM</w:t>
      </w:r>
      <w:r w:rsidRPr="00D82DEE">
        <w:rPr>
          <w:rFonts w:ascii="Calibri" w:eastAsia="Calibri" w:hAnsi="Calibri" w:cs="Calibri"/>
          <w:vertAlign w:val="subscript"/>
        </w:rPr>
        <w:t>10</w:t>
      </w:r>
      <w:r>
        <w:rPr>
          <w:rFonts w:ascii="Calibri" w:eastAsia="Calibri" w:hAnsi="Calibri" w:cs="Calibri"/>
        </w:rPr>
        <w:t>, PM</w:t>
      </w:r>
      <w:r w:rsidRPr="00D82DEE">
        <w:rPr>
          <w:rFonts w:ascii="Calibri" w:eastAsia="Calibri" w:hAnsi="Calibri" w:cs="Calibri"/>
          <w:vertAlign w:val="subscript"/>
        </w:rPr>
        <w:t xml:space="preserve">2.5 </w:t>
      </w:r>
      <w:r>
        <w:rPr>
          <w:rFonts w:ascii="Calibri" w:eastAsia="Calibri" w:hAnsi="Calibri" w:cs="Calibri"/>
        </w:rPr>
        <w:t xml:space="preserve">and CO design concentrations calculated from CT DEEP’s ambient monitors are available in Figure 5-1 below. </w:t>
      </w:r>
      <w:r w:rsidR="00B906D0">
        <w:rPr>
          <w:rFonts w:ascii="Calibri" w:eastAsia="Calibri" w:hAnsi="Calibri" w:cs="Calibri"/>
        </w:rPr>
        <w:t xml:space="preserve">On the </w:t>
      </w:r>
      <w:hyperlink r:id="rId25" w:history="1">
        <w:r w:rsidR="00B906D0" w:rsidRPr="00B906D0">
          <w:rPr>
            <w:rStyle w:val="Hyperlink"/>
            <w:rFonts w:ascii="Calibri" w:eastAsia="Calibri" w:hAnsi="Calibri" w:cs="Calibri"/>
          </w:rPr>
          <w:t>DEEP Air Modeling Website</w:t>
        </w:r>
      </w:hyperlink>
      <w:r w:rsidR="00B906D0">
        <w:rPr>
          <w:rFonts w:ascii="Calibri" w:eastAsia="Calibri" w:hAnsi="Calibri" w:cs="Calibri"/>
        </w:rPr>
        <w:t>, c</w:t>
      </w:r>
      <w:r>
        <w:rPr>
          <w:rFonts w:ascii="Calibri" w:eastAsia="Calibri" w:hAnsi="Calibri" w:cs="Calibri"/>
        </w:rPr>
        <w:t>lick on the applicable monitoring site to download the data to show compliance with the NAAQS.</w:t>
      </w:r>
    </w:p>
    <w:p w14:paraId="09C3D1A0" w14:textId="54F70A28" w:rsidR="00B906D0" w:rsidRPr="00B906D0" w:rsidRDefault="00B906D0" w:rsidP="00B906D0">
      <w:pPr>
        <w:jc w:val="center"/>
        <w:rPr>
          <w:rFonts w:ascii="Calibri" w:eastAsia="Calibri" w:hAnsi="Calibri" w:cs="Calibri"/>
          <w:b/>
        </w:rPr>
      </w:pPr>
      <w:r>
        <w:rPr>
          <w:rFonts w:ascii="Calibri" w:eastAsia="Calibri" w:hAnsi="Calibri" w:cs="Calibri"/>
          <w:b/>
        </w:rPr>
        <w:t>FIGURE 5-1</w:t>
      </w:r>
    </w:p>
    <w:p w14:paraId="18149693" w14:textId="5EC102B0" w:rsidR="009B2781" w:rsidRDefault="009B2781" w:rsidP="004F5587">
      <w:pPr>
        <w:spacing w:after="0" w:line="24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noProof/>
          <w:color w:val="000000" w:themeColor="text1"/>
          <w:sz w:val="28"/>
        </w:rPr>
        <w:drawing>
          <wp:inline distT="0" distB="0" distL="0" distR="0" wp14:anchorId="7E12C548" wp14:editId="6BD0E40C">
            <wp:extent cx="4465320" cy="3662800"/>
            <wp:effectExtent l="19050" t="19050" r="11430"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0838" cy="3675529"/>
                    </a:xfrm>
                    <a:prstGeom prst="rect">
                      <a:avLst/>
                    </a:prstGeom>
                    <a:noFill/>
                    <a:ln>
                      <a:solidFill>
                        <a:schemeClr val="tx1"/>
                      </a:solidFill>
                    </a:ln>
                  </pic:spPr>
                </pic:pic>
              </a:graphicData>
            </a:graphic>
          </wp:inline>
        </w:drawing>
      </w:r>
    </w:p>
    <w:p w14:paraId="15F34BD5" w14:textId="77777777" w:rsidR="009B2781" w:rsidRPr="00B8678E" w:rsidRDefault="009B2781" w:rsidP="004F5587">
      <w:pPr>
        <w:spacing w:after="0" w:line="240" w:lineRule="auto"/>
        <w:jc w:val="center"/>
        <w:rPr>
          <w:rFonts w:ascii="Times New Roman" w:eastAsia="Times New Roman" w:hAnsi="Times New Roman" w:cs="Times New Roman"/>
          <w:b/>
          <w:color w:val="000000" w:themeColor="text1"/>
          <w:sz w:val="28"/>
        </w:rPr>
      </w:pPr>
    </w:p>
    <w:p w14:paraId="02628ABC" w14:textId="18FFFE76" w:rsidR="004F5587" w:rsidRDefault="004F5587" w:rsidP="009B2781">
      <w:pPr>
        <w:pStyle w:val="Heading2"/>
        <w:jc w:val="left"/>
        <w:rPr>
          <w:rFonts w:eastAsia="Tw Cen MT"/>
        </w:rPr>
      </w:pPr>
      <w:bookmarkStart w:id="44" w:name="_Toc147226898"/>
      <w:r>
        <w:rPr>
          <w:rFonts w:eastAsia="Tw Cen MT"/>
        </w:rPr>
        <w:t>Hazardous Air Pollutants</w:t>
      </w:r>
      <w:bookmarkEnd w:id="44"/>
    </w:p>
    <w:p w14:paraId="19711136" w14:textId="50AF7FA7" w:rsidR="004F5587" w:rsidRPr="005D55C6" w:rsidRDefault="004F5587" w:rsidP="004F5587">
      <w:pPr>
        <w:rPr>
          <w:rFonts w:ascii="Calibri" w:eastAsia="Calibri" w:hAnsi="Calibri" w:cs="Calibri"/>
        </w:rPr>
      </w:pPr>
      <w:r w:rsidRPr="005D55C6">
        <w:rPr>
          <w:rFonts w:ascii="Calibri" w:eastAsia="Calibri" w:hAnsi="Calibri" w:cs="Calibri"/>
        </w:rPr>
        <w:t xml:space="preserve">Background levels for hazardous air pollutants regulated under Connecticut’s hazardous air pollution program are expected to be quite low. For example, background levels for dioxin (currently the only hazardous air pollutant with a </w:t>
      </w:r>
      <w:r w:rsidRPr="005D55C6">
        <w:rPr>
          <w:rFonts w:ascii="Calibri" w:eastAsia="Calibri" w:hAnsi="Calibri" w:cs="Calibri"/>
        </w:rPr>
        <w:lastRenderedPageBreak/>
        <w:t>Connecticut Ambient Air Quality Standard (CAAQS)) have been barely detectable. Therefore, CT DEEP recommends that background levels for hazardous air pollutants for which a CAAQS exists be defined as one half of the standard for these pollutants until more data become available.</w:t>
      </w:r>
    </w:p>
    <w:p w14:paraId="21ADFFF7" w14:textId="66164337" w:rsidR="004F5587" w:rsidRDefault="00AE5D65" w:rsidP="00F6243B">
      <w:pPr>
        <w:pStyle w:val="Heading1"/>
        <w:spacing w:after="240"/>
        <w:rPr>
          <w:rFonts w:eastAsia="Tw Cen MT"/>
        </w:rPr>
      </w:pPr>
      <w:r>
        <w:rPr>
          <w:rFonts w:eastAsia="Tw Cen MT"/>
        </w:rPr>
        <w:t xml:space="preserve"> </w:t>
      </w:r>
      <w:bookmarkStart w:id="45" w:name="_Toc147226899"/>
      <w:r w:rsidR="004F5587">
        <w:rPr>
          <w:rFonts w:eastAsia="Tw Cen MT"/>
        </w:rPr>
        <w:t>Analysis and Interpretation of Modeled Results</w:t>
      </w:r>
      <w:bookmarkEnd w:id="45"/>
    </w:p>
    <w:p w14:paraId="2B416BD1" w14:textId="77777777" w:rsidR="004F5587" w:rsidRDefault="004F5587" w:rsidP="00D82DEE">
      <w:pPr>
        <w:pStyle w:val="Heading2"/>
        <w:rPr>
          <w:rFonts w:eastAsia="Tw Cen MT"/>
        </w:rPr>
      </w:pPr>
      <w:bookmarkStart w:id="46" w:name="_Toc147226900"/>
      <w:r>
        <w:rPr>
          <w:rFonts w:eastAsia="Tw Cen MT"/>
        </w:rPr>
        <w:t>Short-Term Averages</w:t>
      </w:r>
      <w:bookmarkEnd w:id="46"/>
    </w:p>
    <w:p w14:paraId="07D1F68A" w14:textId="77777777" w:rsidR="004F5587" w:rsidRDefault="004F5587" w:rsidP="004F5587">
      <w:pPr>
        <w:rPr>
          <w:rFonts w:ascii="Calibri" w:eastAsia="Calibri" w:hAnsi="Calibri" w:cs="Calibri"/>
        </w:rPr>
      </w:pPr>
      <w:r>
        <w:rPr>
          <w:rFonts w:ascii="Calibri" w:eastAsia="Calibri" w:hAnsi="Calibri" w:cs="Calibri"/>
        </w:rPr>
        <w:t xml:space="preserve">Predicted AERMOD modeled short-term average impacts are based on averaging times of 1, 3, 8, and 24-hours. These values are compared directly to the applicable PSD short term increments or added to background levels for comparison with applicable short-term NAAQS. </w:t>
      </w:r>
    </w:p>
    <w:p w14:paraId="1CEBB5CC" w14:textId="77777777" w:rsidR="004F5587" w:rsidRDefault="004F5587" w:rsidP="00D82DEE">
      <w:pPr>
        <w:pStyle w:val="Heading2"/>
        <w:rPr>
          <w:rFonts w:eastAsia="Tw Cen MT"/>
        </w:rPr>
      </w:pPr>
      <w:bookmarkStart w:id="47" w:name="_Toc147226901"/>
      <w:r>
        <w:rPr>
          <w:rFonts w:eastAsia="Tw Cen MT"/>
        </w:rPr>
        <w:t>Long-Term Averages</w:t>
      </w:r>
      <w:bookmarkEnd w:id="47"/>
    </w:p>
    <w:p w14:paraId="19AA064A" w14:textId="77777777" w:rsidR="004F5587" w:rsidRDefault="004F5587" w:rsidP="004F5587">
      <w:pPr>
        <w:rPr>
          <w:rFonts w:ascii="Calibri" w:eastAsia="Calibri" w:hAnsi="Calibri" w:cs="Calibri"/>
        </w:rPr>
      </w:pPr>
      <w:r>
        <w:rPr>
          <w:rFonts w:ascii="Calibri" w:eastAsia="Calibri" w:hAnsi="Calibri" w:cs="Calibri"/>
        </w:rPr>
        <w:t xml:space="preserve">Predicted long-term average modeled impacts are based on averaging times from one month to a year. </w:t>
      </w:r>
    </w:p>
    <w:p w14:paraId="2ABFFAAF" w14:textId="1890FDE5" w:rsidR="004F5587" w:rsidRDefault="004F5587" w:rsidP="004F5587">
      <w:pPr>
        <w:rPr>
          <w:rFonts w:ascii="Calibri" w:eastAsia="Calibri" w:hAnsi="Calibri" w:cs="Calibri"/>
        </w:rPr>
      </w:pPr>
      <w:r>
        <w:rPr>
          <w:rFonts w:ascii="Calibri" w:eastAsia="Calibri" w:hAnsi="Calibri" w:cs="Calibri"/>
        </w:rPr>
        <w:t>For the lead NAAQS, the largest of the three-month average concentrations is added to a lead background concentration for comparison with the Pb NAAQS, which is a three-month rolling average not to be exceeded. Using five years of AERMOD model results three-month rolling averages can be calculated from the monthly averages.</w:t>
      </w:r>
    </w:p>
    <w:p w14:paraId="2200CF16" w14:textId="77777777" w:rsidR="004F5587" w:rsidRDefault="004F5587" w:rsidP="004F5587">
      <w:pPr>
        <w:rPr>
          <w:rFonts w:ascii="Calibri" w:eastAsia="Calibri" w:hAnsi="Calibri" w:cs="Calibri"/>
        </w:rPr>
      </w:pPr>
      <w:r>
        <w:rPr>
          <w:rFonts w:ascii="Calibri" w:eastAsia="Calibri" w:hAnsi="Calibri" w:cs="Calibri"/>
        </w:rPr>
        <w:t xml:space="preserve">Annual average concentrations are predicted by AERMOD for comparison with the applicable annual PSD increments or added to background levels for comparison with the annual NAAQS. </w:t>
      </w:r>
    </w:p>
    <w:p w14:paraId="14154BB9" w14:textId="7F1D86CB" w:rsidR="004F5587" w:rsidRDefault="00057BF2" w:rsidP="00F6243B">
      <w:pPr>
        <w:pStyle w:val="Heading1"/>
        <w:spacing w:after="240"/>
        <w:rPr>
          <w:rFonts w:eastAsia="Tw Cen MT"/>
        </w:rPr>
      </w:pPr>
      <w:bookmarkStart w:id="48" w:name="_Presentation_of_Compliance"/>
      <w:bookmarkEnd w:id="48"/>
      <w:r>
        <w:rPr>
          <w:rFonts w:eastAsia="Tw Cen MT"/>
        </w:rPr>
        <w:t xml:space="preserve"> </w:t>
      </w:r>
      <w:bookmarkStart w:id="49" w:name="_Toc147226902"/>
      <w:r w:rsidR="004F5587">
        <w:rPr>
          <w:rFonts w:eastAsia="Tw Cen MT"/>
        </w:rPr>
        <w:t>Presentation of Compliance Demonstration</w:t>
      </w:r>
      <w:bookmarkEnd w:id="49"/>
    </w:p>
    <w:p w14:paraId="1006ABB0" w14:textId="52BF0B10" w:rsidR="004F5587" w:rsidRDefault="004F5587" w:rsidP="004F5587">
      <w:pPr>
        <w:rPr>
          <w:rFonts w:ascii="Calibri" w:eastAsia="Calibri" w:hAnsi="Calibri" w:cs="Calibri"/>
        </w:rPr>
      </w:pPr>
      <w:r>
        <w:rPr>
          <w:rFonts w:ascii="Calibri" w:eastAsia="Calibri" w:hAnsi="Calibri" w:cs="Calibri"/>
        </w:rPr>
        <w:t xml:space="preserve">Air quality dispersion modeling analyses are performed to demonstrate compliance with all applicable NAAQS and Class II PSD increments in Connecticut. Once compliance with </w:t>
      </w:r>
      <w:r w:rsidR="005A2FFF">
        <w:rPr>
          <w:rFonts w:ascii="Calibri" w:eastAsia="Calibri" w:hAnsi="Calibri" w:cs="Calibri"/>
        </w:rPr>
        <w:t>all</w:t>
      </w:r>
      <w:r>
        <w:rPr>
          <w:rFonts w:ascii="Calibri" w:eastAsia="Calibri" w:hAnsi="Calibri" w:cs="Calibri"/>
        </w:rPr>
        <w:t xml:space="preserve"> the applicable standards has been demonstrated, the applicant must submit a detailed report that clearly describes the modeling procedures, methodologies, analyses, results, and </w:t>
      </w:r>
      <w:r w:rsidR="00C24410">
        <w:rPr>
          <w:rFonts w:ascii="Calibri" w:eastAsia="Calibri" w:hAnsi="Calibri" w:cs="Calibri"/>
        </w:rPr>
        <w:t>databases</w:t>
      </w:r>
      <w:r>
        <w:rPr>
          <w:rFonts w:ascii="Calibri" w:eastAsia="Calibri" w:hAnsi="Calibri" w:cs="Calibri"/>
        </w:rPr>
        <w:t xml:space="preserve"> used in the process. Applicants should submit the final modeling report as part of the permit application.</w:t>
      </w:r>
    </w:p>
    <w:p w14:paraId="6AF52A3E" w14:textId="77777777" w:rsidR="004F5587" w:rsidRDefault="004F5587" w:rsidP="004F5587">
      <w:pPr>
        <w:rPr>
          <w:rFonts w:ascii="Calibri" w:eastAsia="Calibri" w:hAnsi="Calibri" w:cs="Calibri"/>
        </w:rPr>
      </w:pPr>
      <w:r>
        <w:rPr>
          <w:rFonts w:ascii="Calibri" w:eastAsia="Calibri" w:hAnsi="Calibri" w:cs="Calibri"/>
        </w:rPr>
        <w:t>The final modeling report submitted to CT DEEP should have, at a minimum, the following contents:</w:t>
      </w:r>
    </w:p>
    <w:p w14:paraId="5A628C46" w14:textId="00ECAC28" w:rsidR="004F5587" w:rsidRDefault="00AE5D65" w:rsidP="002F73E8">
      <w:pPr>
        <w:numPr>
          <w:ilvl w:val="0"/>
          <w:numId w:val="14"/>
        </w:numPr>
        <w:spacing w:after="0"/>
        <w:rPr>
          <w:rFonts w:ascii="Calibri" w:eastAsia="Calibri" w:hAnsi="Calibri" w:cs="Calibri"/>
        </w:rPr>
      </w:pPr>
      <w:r>
        <w:rPr>
          <w:rFonts w:ascii="Calibri" w:eastAsia="Calibri" w:hAnsi="Calibri" w:cs="Calibri"/>
        </w:rPr>
        <w:t>S</w:t>
      </w:r>
      <w:r w:rsidR="004F5587">
        <w:rPr>
          <w:rFonts w:ascii="Calibri" w:eastAsia="Calibri" w:hAnsi="Calibri" w:cs="Calibri"/>
        </w:rPr>
        <w:t>cope of the project,</w:t>
      </w:r>
    </w:p>
    <w:p w14:paraId="11AC4E19" w14:textId="7FC25804" w:rsidR="004F5587" w:rsidRDefault="00AE5D65" w:rsidP="002F73E8">
      <w:pPr>
        <w:numPr>
          <w:ilvl w:val="0"/>
          <w:numId w:val="14"/>
        </w:numPr>
        <w:spacing w:after="0"/>
        <w:rPr>
          <w:rFonts w:ascii="Calibri" w:eastAsia="Calibri" w:hAnsi="Calibri" w:cs="Calibri"/>
        </w:rPr>
      </w:pPr>
      <w:r>
        <w:rPr>
          <w:rFonts w:ascii="Calibri" w:eastAsia="Calibri" w:hAnsi="Calibri" w:cs="Calibri"/>
        </w:rPr>
        <w:t>M</w:t>
      </w:r>
      <w:r w:rsidR="004F5587">
        <w:rPr>
          <w:rFonts w:ascii="Calibri" w:eastAsia="Calibri" w:hAnsi="Calibri" w:cs="Calibri"/>
        </w:rPr>
        <w:t>odeling approach,</w:t>
      </w:r>
    </w:p>
    <w:p w14:paraId="1A3CC171" w14:textId="680F2838" w:rsidR="004F5587" w:rsidRDefault="00AE5D65" w:rsidP="002F73E8">
      <w:pPr>
        <w:numPr>
          <w:ilvl w:val="0"/>
          <w:numId w:val="14"/>
        </w:numPr>
        <w:spacing w:after="0"/>
        <w:rPr>
          <w:rFonts w:ascii="Calibri" w:eastAsia="Calibri" w:hAnsi="Calibri" w:cs="Calibri"/>
        </w:rPr>
      </w:pPr>
      <w:r>
        <w:rPr>
          <w:rFonts w:ascii="Calibri" w:eastAsia="Calibri" w:hAnsi="Calibri" w:cs="Calibri"/>
        </w:rPr>
        <w:t>M</w:t>
      </w:r>
      <w:r w:rsidR="004F5587">
        <w:rPr>
          <w:rFonts w:ascii="Calibri" w:eastAsia="Calibri" w:hAnsi="Calibri" w:cs="Calibri"/>
        </w:rPr>
        <w:t>odels used to demonstrate compliance,</w:t>
      </w:r>
    </w:p>
    <w:p w14:paraId="487DE7C8" w14:textId="6CBEB8B1" w:rsidR="0092704D" w:rsidRDefault="00AE5D65" w:rsidP="002F73E8">
      <w:pPr>
        <w:numPr>
          <w:ilvl w:val="0"/>
          <w:numId w:val="14"/>
        </w:numPr>
        <w:spacing w:after="0"/>
        <w:rPr>
          <w:rFonts w:ascii="Calibri" w:eastAsia="Calibri" w:hAnsi="Calibri" w:cs="Calibri"/>
        </w:rPr>
      </w:pPr>
      <w:r>
        <w:rPr>
          <w:rFonts w:ascii="Calibri" w:eastAsia="Calibri" w:hAnsi="Calibri" w:cs="Calibri"/>
        </w:rPr>
        <w:t>L</w:t>
      </w:r>
      <w:r w:rsidR="004F5587">
        <w:rPr>
          <w:rFonts w:ascii="Calibri" w:eastAsia="Calibri" w:hAnsi="Calibri" w:cs="Calibri"/>
        </w:rPr>
        <w:t>and use analysis,</w:t>
      </w:r>
    </w:p>
    <w:p w14:paraId="6BC04493" w14:textId="4110C9DE" w:rsidR="006F059B" w:rsidRDefault="006F059B" w:rsidP="002F73E8">
      <w:pPr>
        <w:numPr>
          <w:ilvl w:val="1"/>
          <w:numId w:val="14"/>
        </w:numPr>
        <w:spacing w:after="0"/>
        <w:rPr>
          <w:rFonts w:ascii="Calibri" w:eastAsia="Calibri" w:hAnsi="Calibri" w:cs="Calibri"/>
        </w:rPr>
      </w:pPr>
      <w:r>
        <w:rPr>
          <w:rFonts w:ascii="Calibri" w:eastAsia="Calibri" w:hAnsi="Calibri" w:cs="Calibri"/>
        </w:rPr>
        <w:t>Urban/ Rural designation</w:t>
      </w:r>
    </w:p>
    <w:p w14:paraId="6310CEB0" w14:textId="018E67A4" w:rsidR="006F059B" w:rsidRDefault="006F059B" w:rsidP="002F73E8">
      <w:pPr>
        <w:numPr>
          <w:ilvl w:val="1"/>
          <w:numId w:val="14"/>
        </w:numPr>
        <w:spacing w:after="0"/>
        <w:rPr>
          <w:rFonts w:ascii="Calibri" w:eastAsia="Calibri" w:hAnsi="Calibri" w:cs="Calibri"/>
        </w:rPr>
      </w:pPr>
      <w:r>
        <w:rPr>
          <w:rFonts w:ascii="Calibri" w:eastAsia="Calibri" w:hAnsi="Calibri" w:cs="Calibri"/>
        </w:rPr>
        <w:t>Population</w:t>
      </w:r>
    </w:p>
    <w:p w14:paraId="4F2AC097" w14:textId="1A86A411" w:rsidR="006F059B" w:rsidRDefault="00C24410" w:rsidP="002F73E8">
      <w:pPr>
        <w:numPr>
          <w:ilvl w:val="1"/>
          <w:numId w:val="14"/>
        </w:numPr>
        <w:spacing w:after="0"/>
        <w:rPr>
          <w:rFonts w:ascii="Calibri" w:eastAsia="Calibri" w:hAnsi="Calibri" w:cs="Calibri"/>
        </w:rPr>
      </w:pPr>
      <w:r>
        <w:rPr>
          <w:rFonts w:ascii="Calibri" w:eastAsia="Calibri" w:hAnsi="Calibri" w:cs="Calibri"/>
        </w:rPr>
        <w:t>Land use</w:t>
      </w:r>
      <w:r w:rsidR="006F059B">
        <w:rPr>
          <w:rFonts w:ascii="Calibri" w:eastAsia="Calibri" w:hAnsi="Calibri" w:cs="Calibri"/>
        </w:rPr>
        <w:t xml:space="preserve"> within 3 </w:t>
      </w:r>
      <w:r w:rsidR="008F2030">
        <w:rPr>
          <w:rFonts w:ascii="Calibri" w:eastAsia="Calibri" w:hAnsi="Calibri" w:cs="Calibri"/>
        </w:rPr>
        <w:t>k</w:t>
      </w:r>
      <w:r w:rsidR="006F059B">
        <w:rPr>
          <w:rFonts w:ascii="Calibri" w:eastAsia="Calibri" w:hAnsi="Calibri" w:cs="Calibri"/>
        </w:rPr>
        <w:t>m of source</w:t>
      </w:r>
    </w:p>
    <w:p w14:paraId="512F4C8A" w14:textId="7C8B1661" w:rsidR="004F5587" w:rsidRDefault="00AE5D65" w:rsidP="002F73E8">
      <w:pPr>
        <w:numPr>
          <w:ilvl w:val="0"/>
          <w:numId w:val="14"/>
        </w:numPr>
        <w:spacing w:after="0"/>
        <w:rPr>
          <w:rFonts w:ascii="Calibri" w:eastAsia="Calibri" w:hAnsi="Calibri" w:cs="Calibri"/>
        </w:rPr>
      </w:pPr>
      <w:r w:rsidRPr="006F059B">
        <w:rPr>
          <w:rFonts w:ascii="Calibri" w:eastAsia="Calibri" w:hAnsi="Calibri" w:cs="Calibri"/>
        </w:rPr>
        <w:t>M</w:t>
      </w:r>
      <w:r w:rsidR="004F5587" w:rsidRPr="006F059B">
        <w:rPr>
          <w:rFonts w:ascii="Calibri" w:eastAsia="Calibri" w:hAnsi="Calibri" w:cs="Calibri"/>
        </w:rPr>
        <w:t>eteorological data,</w:t>
      </w:r>
    </w:p>
    <w:p w14:paraId="6A0A597B" w14:textId="77777777" w:rsidR="006F059B" w:rsidRDefault="00AE5D65" w:rsidP="002F73E8">
      <w:pPr>
        <w:numPr>
          <w:ilvl w:val="0"/>
          <w:numId w:val="14"/>
        </w:numPr>
        <w:spacing w:after="0"/>
        <w:rPr>
          <w:rFonts w:ascii="Calibri" w:eastAsia="Calibri" w:hAnsi="Calibri" w:cs="Calibri"/>
        </w:rPr>
      </w:pPr>
      <w:r w:rsidRPr="006F059B">
        <w:rPr>
          <w:rFonts w:ascii="Calibri" w:eastAsia="Calibri" w:hAnsi="Calibri" w:cs="Calibri"/>
        </w:rPr>
        <w:t>B</w:t>
      </w:r>
      <w:r w:rsidR="004F5587" w:rsidRPr="006F059B">
        <w:rPr>
          <w:rFonts w:ascii="Calibri" w:eastAsia="Calibri" w:hAnsi="Calibri" w:cs="Calibri"/>
        </w:rPr>
        <w:t>uilding related input data (GEP analysis),</w:t>
      </w:r>
    </w:p>
    <w:p w14:paraId="78253EE2" w14:textId="77777777" w:rsidR="006F059B" w:rsidRDefault="00AE5D65" w:rsidP="002F73E8">
      <w:pPr>
        <w:numPr>
          <w:ilvl w:val="0"/>
          <w:numId w:val="14"/>
        </w:numPr>
        <w:spacing w:after="0"/>
        <w:rPr>
          <w:rFonts w:ascii="Calibri" w:eastAsia="Calibri" w:hAnsi="Calibri" w:cs="Calibri"/>
        </w:rPr>
      </w:pPr>
      <w:r w:rsidRPr="006F059B">
        <w:rPr>
          <w:rFonts w:ascii="Calibri" w:eastAsia="Calibri" w:hAnsi="Calibri" w:cs="Calibri"/>
        </w:rPr>
        <w:t>R</w:t>
      </w:r>
      <w:r w:rsidR="004F5587" w:rsidRPr="006F059B">
        <w:rPr>
          <w:rFonts w:ascii="Calibri" w:eastAsia="Calibri" w:hAnsi="Calibri" w:cs="Calibri"/>
        </w:rPr>
        <w:t>eceptor grid/surrounding terrain,</w:t>
      </w:r>
    </w:p>
    <w:p w14:paraId="1A7527B4" w14:textId="77777777" w:rsidR="006F059B" w:rsidRDefault="00AE5D65" w:rsidP="002F73E8">
      <w:pPr>
        <w:numPr>
          <w:ilvl w:val="0"/>
          <w:numId w:val="14"/>
        </w:numPr>
        <w:spacing w:after="0"/>
        <w:rPr>
          <w:rFonts w:ascii="Calibri" w:eastAsia="Calibri" w:hAnsi="Calibri" w:cs="Calibri"/>
        </w:rPr>
      </w:pPr>
      <w:r w:rsidRPr="006F059B">
        <w:rPr>
          <w:rFonts w:ascii="Calibri" w:eastAsia="Calibri" w:hAnsi="Calibri" w:cs="Calibri"/>
        </w:rPr>
        <w:t>P</w:t>
      </w:r>
      <w:r w:rsidR="004F5587" w:rsidRPr="006F059B">
        <w:rPr>
          <w:rFonts w:ascii="Calibri" w:eastAsia="Calibri" w:hAnsi="Calibri" w:cs="Calibri"/>
        </w:rPr>
        <w:t>reparation of input parameters,</w:t>
      </w:r>
    </w:p>
    <w:p w14:paraId="11FE2E3F" w14:textId="77777777" w:rsidR="006F059B" w:rsidRDefault="00AE5D65" w:rsidP="002F73E8">
      <w:pPr>
        <w:numPr>
          <w:ilvl w:val="0"/>
          <w:numId w:val="14"/>
        </w:numPr>
        <w:spacing w:after="0"/>
        <w:rPr>
          <w:rFonts w:ascii="Calibri" w:eastAsia="Calibri" w:hAnsi="Calibri" w:cs="Calibri"/>
        </w:rPr>
      </w:pPr>
      <w:r w:rsidRPr="006F059B">
        <w:rPr>
          <w:rFonts w:ascii="Calibri" w:eastAsia="Calibri" w:hAnsi="Calibri" w:cs="Calibri"/>
        </w:rPr>
        <w:t>S</w:t>
      </w:r>
      <w:r w:rsidR="004F5587" w:rsidRPr="006F059B">
        <w:rPr>
          <w:rFonts w:ascii="Calibri" w:eastAsia="Calibri" w:hAnsi="Calibri" w:cs="Calibri"/>
        </w:rPr>
        <w:t>election of modeled load cases,</w:t>
      </w:r>
    </w:p>
    <w:p w14:paraId="5FCF7E4B" w14:textId="77777777" w:rsidR="006F059B" w:rsidRDefault="00AE5D65" w:rsidP="002F73E8">
      <w:pPr>
        <w:numPr>
          <w:ilvl w:val="0"/>
          <w:numId w:val="14"/>
        </w:numPr>
        <w:spacing w:after="0"/>
        <w:rPr>
          <w:rFonts w:ascii="Calibri" w:eastAsia="Calibri" w:hAnsi="Calibri" w:cs="Calibri"/>
        </w:rPr>
      </w:pPr>
      <w:r w:rsidRPr="006F059B">
        <w:rPr>
          <w:rFonts w:ascii="Calibri" w:eastAsia="Calibri" w:hAnsi="Calibri" w:cs="Calibri"/>
        </w:rPr>
        <w:t>B</w:t>
      </w:r>
      <w:r w:rsidR="004F5587" w:rsidRPr="006F059B">
        <w:rPr>
          <w:rFonts w:ascii="Calibri" w:eastAsia="Calibri" w:hAnsi="Calibri" w:cs="Calibri"/>
        </w:rPr>
        <w:t>ackground data used/processed,</w:t>
      </w:r>
    </w:p>
    <w:p w14:paraId="7631D99B" w14:textId="77777777" w:rsidR="006F059B" w:rsidRDefault="00AE5D65" w:rsidP="002F73E8">
      <w:pPr>
        <w:numPr>
          <w:ilvl w:val="0"/>
          <w:numId w:val="14"/>
        </w:numPr>
        <w:spacing w:after="0"/>
        <w:rPr>
          <w:rFonts w:ascii="Calibri" w:eastAsia="Calibri" w:hAnsi="Calibri" w:cs="Calibri"/>
        </w:rPr>
      </w:pPr>
      <w:r w:rsidRPr="006F059B">
        <w:rPr>
          <w:rFonts w:ascii="Calibri" w:eastAsia="Calibri" w:hAnsi="Calibri" w:cs="Calibri"/>
        </w:rPr>
        <w:t>A</w:t>
      </w:r>
      <w:r w:rsidR="004F5587" w:rsidRPr="006F059B">
        <w:rPr>
          <w:rFonts w:ascii="Calibri" w:eastAsia="Calibri" w:hAnsi="Calibri" w:cs="Calibri"/>
        </w:rPr>
        <w:t>ll other analyses/data needed to demonstrate compliance,</w:t>
      </w:r>
    </w:p>
    <w:p w14:paraId="5F3EA2BE" w14:textId="77777777" w:rsidR="006F059B" w:rsidRDefault="00AE5D65" w:rsidP="002F73E8">
      <w:pPr>
        <w:numPr>
          <w:ilvl w:val="0"/>
          <w:numId w:val="14"/>
        </w:numPr>
        <w:spacing w:after="0"/>
        <w:rPr>
          <w:rFonts w:ascii="Calibri" w:eastAsia="Calibri" w:hAnsi="Calibri" w:cs="Calibri"/>
        </w:rPr>
      </w:pPr>
      <w:r w:rsidRPr="006F059B">
        <w:rPr>
          <w:rFonts w:ascii="Calibri" w:eastAsia="Calibri" w:hAnsi="Calibri" w:cs="Calibri"/>
          <w:color w:val="000000"/>
        </w:rPr>
        <w:t>T</w:t>
      </w:r>
      <w:r w:rsidR="004F5587" w:rsidRPr="006F059B">
        <w:rPr>
          <w:rFonts w:ascii="Calibri" w:eastAsia="Calibri" w:hAnsi="Calibri" w:cs="Calibri"/>
          <w:color w:val="000000"/>
        </w:rPr>
        <w:t>ables of stack inputs (physical stack parameters, emission rates, flows) for all modeled sources,</w:t>
      </w:r>
    </w:p>
    <w:p w14:paraId="6B1A586A" w14:textId="77777777" w:rsidR="006F059B" w:rsidRDefault="00AE5D65" w:rsidP="002F73E8">
      <w:pPr>
        <w:numPr>
          <w:ilvl w:val="0"/>
          <w:numId w:val="14"/>
        </w:numPr>
        <w:spacing w:after="0"/>
        <w:rPr>
          <w:rFonts w:ascii="Calibri" w:eastAsia="Calibri" w:hAnsi="Calibri" w:cs="Calibri"/>
        </w:rPr>
      </w:pPr>
      <w:r w:rsidRPr="006F059B">
        <w:rPr>
          <w:rFonts w:ascii="Calibri" w:eastAsia="Calibri" w:hAnsi="Calibri" w:cs="Calibri"/>
          <w:color w:val="000000"/>
        </w:rPr>
        <w:lastRenderedPageBreak/>
        <w:t>T</w:t>
      </w:r>
      <w:r w:rsidR="004F5587" w:rsidRPr="006F059B">
        <w:rPr>
          <w:rFonts w:ascii="Calibri" w:eastAsia="Calibri" w:hAnsi="Calibri" w:cs="Calibri"/>
          <w:color w:val="000000"/>
        </w:rPr>
        <w:t>ables that list the maximum impact depending on the pollutant/averaging period (highest for SILs, 98</w:t>
      </w:r>
      <w:r w:rsidR="004F5587" w:rsidRPr="006F059B">
        <w:rPr>
          <w:rFonts w:ascii="Calibri" w:eastAsia="Calibri" w:hAnsi="Calibri" w:cs="Calibri"/>
          <w:color w:val="000000"/>
          <w:vertAlign w:val="superscript"/>
        </w:rPr>
        <w:t>th</w:t>
      </w:r>
      <w:r w:rsidR="004F5587" w:rsidRPr="006F059B">
        <w:rPr>
          <w:rFonts w:ascii="Calibri" w:eastAsia="Calibri" w:hAnsi="Calibri" w:cs="Calibri"/>
          <w:color w:val="000000"/>
        </w:rPr>
        <w:t xml:space="preserve"> and 99</w:t>
      </w:r>
      <w:r w:rsidR="004F5587" w:rsidRPr="006F059B">
        <w:rPr>
          <w:rFonts w:ascii="Calibri" w:eastAsia="Calibri" w:hAnsi="Calibri" w:cs="Calibri"/>
          <w:color w:val="000000"/>
          <w:vertAlign w:val="superscript"/>
        </w:rPr>
        <w:t>th</w:t>
      </w:r>
      <w:r w:rsidR="004F5587" w:rsidRPr="006F059B">
        <w:rPr>
          <w:rFonts w:ascii="Calibri" w:eastAsia="Calibri" w:hAnsi="Calibri" w:cs="Calibri"/>
          <w:color w:val="000000"/>
        </w:rPr>
        <w:t xml:space="preserve"> percentiles for the 1-hour NO</w:t>
      </w:r>
      <w:r w:rsidR="004F5587" w:rsidRPr="006F059B">
        <w:rPr>
          <w:rFonts w:ascii="Calibri" w:eastAsia="Calibri" w:hAnsi="Calibri" w:cs="Calibri"/>
          <w:color w:val="000000"/>
          <w:vertAlign w:val="subscript"/>
        </w:rPr>
        <w:t>2</w:t>
      </w:r>
      <w:r w:rsidR="004F5587" w:rsidRPr="006F059B">
        <w:rPr>
          <w:rFonts w:ascii="Calibri" w:eastAsia="Calibri" w:hAnsi="Calibri" w:cs="Calibri"/>
          <w:color w:val="000000"/>
        </w:rPr>
        <w:t xml:space="preserve"> and SO</w:t>
      </w:r>
      <w:r w:rsidR="004F5587" w:rsidRPr="006F059B">
        <w:rPr>
          <w:rFonts w:ascii="Calibri" w:eastAsia="Calibri" w:hAnsi="Calibri" w:cs="Calibri"/>
          <w:color w:val="000000"/>
          <w:vertAlign w:val="subscript"/>
        </w:rPr>
        <w:t xml:space="preserve">2 </w:t>
      </w:r>
      <w:r w:rsidR="004F5587" w:rsidRPr="006F059B">
        <w:rPr>
          <w:rFonts w:ascii="Calibri" w:eastAsia="Calibri" w:hAnsi="Calibri" w:cs="Calibri"/>
          <w:color w:val="000000"/>
        </w:rPr>
        <w:t>NAAQS respectively, H2H for 24-hour PSD increments, H2H for 24-hour PM</w:t>
      </w:r>
      <w:r w:rsidR="004F5587" w:rsidRPr="006F059B">
        <w:rPr>
          <w:rFonts w:ascii="Calibri" w:eastAsia="Calibri" w:hAnsi="Calibri" w:cs="Calibri"/>
          <w:color w:val="000000"/>
          <w:vertAlign w:val="subscript"/>
        </w:rPr>
        <w:t xml:space="preserve">10 </w:t>
      </w:r>
      <w:r w:rsidR="004F5587" w:rsidRPr="006F059B">
        <w:rPr>
          <w:rFonts w:ascii="Calibri" w:eastAsia="Calibri" w:hAnsi="Calibri" w:cs="Calibri"/>
          <w:color w:val="000000"/>
        </w:rPr>
        <w:t>NAAQS, 24-hour average 98</w:t>
      </w:r>
      <w:r w:rsidR="004F5587" w:rsidRPr="006F059B">
        <w:rPr>
          <w:rFonts w:ascii="Calibri" w:eastAsia="Calibri" w:hAnsi="Calibri" w:cs="Calibri"/>
          <w:color w:val="000000"/>
          <w:vertAlign w:val="superscript"/>
        </w:rPr>
        <w:t>th</w:t>
      </w:r>
      <w:r w:rsidR="004F5587" w:rsidRPr="006F059B">
        <w:rPr>
          <w:rFonts w:ascii="Calibri" w:eastAsia="Calibri" w:hAnsi="Calibri" w:cs="Calibri"/>
          <w:color w:val="000000"/>
        </w:rPr>
        <w:t xml:space="preserve"> percentile for PM</w:t>
      </w:r>
      <w:r w:rsidR="004F5587" w:rsidRPr="006F059B">
        <w:rPr>
          <w:rFonts w:ascii="Calibri" w:eastAsia="Calibri" w:hAnsi="Calibri" w:cs="Calibri"/>
          <w:color w:val="000000"/>
          <w:vertAlign w:val="subscript"/>
        </w:rPr>
        <w:t xml:space="preserve">2.5 </w:t>
      </w:r>
      <w:r w:rsidR="004F5587" w:rsidRPr="006F059B">
        <w:rPr>
          <w:rFonts w:ascii="Calibri" w:eastAsia="Calibri" w:hAnsi="Calibri" w:cs="Calibri"/>
          <w:color w:val="000000"/>
        </w:rPr>
        <w:t>NAAQS, and highest annual impacts for all pollutants’ NAAQS and PSD increments), the corresponding receptor location (Easting/Northing coordinates) and elevation, and the meteorological period associated with the maximum impact for each pollutant/averaging period, and</w:t>
      </w:r>
    </w:p>
    <w:p w14:paraId="77D28FE0" w14:textId="789444A5" w:rsidR="004F5587" w:rsidRPr="006F059B" w:rsidRDefault="006F059B" w:rsidP="002F73E8">
      <w:pPr>
        <w:numPr>
          <w:ilvl w:val="0"/>
          <w:numId w:val="14"/>
        </w:numPr>
        <w:spacing w:after="0"/>
        <w:rPr>
          <w:rFonts w:ascii="Calibri" w:eastAsia="Calibri" w:hAnsi="Calibri" w:cs="Calibri"/>
        </w:rPr>
      </w:pPr>
      <w:r w:rsidRPr="006F059B">
        <w:rPr>
          <w:rFonts w:ascii="Calibri" w:eastAsia="Calibri" w:hAnsi="Calibri" w:cs="Calibri"/>
          <w:color w:val="000000"/>
        </w:rPr>
        <w:t>C</w:t>
      </w:r>
      <w:r w:rsidR="004F5587" w:rsidRPr="006F059B">
        <w:rPr>
          <w:rFonts w:ascii="Calibri" w:eastAsia="Calibri" w:hAnsi="Calibri" w:cs="Calibri"/>
          <w:color w:val="000000"/>
        </w:rPr>
        <w:t>omparison of final modeling results to applicable NAAQS and Class II PSD increment standards.</w:t>
      </w:r>
    </w:p>
    <w:p w14:paraId="63E67D28" w14:textId="03508A4C" w:rsidR="00A80D16" w:rsidRDefault="004F5587" w:rsidP="00E21EDD">
      <w:pPr>
        <w:spacing w:before="240"/>
        <w:rPr>
          <w:rFonts w:ascii="Calibri" w:eastAsia="Calibri" w:hAnsi="Calibri" w:cs="Calibri"/>
          <w:color w:val="000000"/>
        </w:rPr>
      </w:pPr>
      <w:r>
        <w:rPr>
          <w:rFonts w:ascii="Calibri" w:eastAsia="Calibri" w:hAnsi="Calibri" w:cs="Calibri"/>
        </w:rPr>
        <w:t>Applicants must also submit copies of the following e</w:t>
      </w:r>
      <w:r>
        <w:rPr>
          <w:rFonts w:ascii="Calibri" w:eastAsia="Calibri" w:hAnsi="Calibri" w:cs="Calibri"/>
          <w:color w:val="000000"/>
        </w:rPr>
        <w:t>lectronic files: all dispersion model input/output files; input/output files from the applicable AERMOD preprocessors used such as AERMAP, AERSURFACE, AERMET, AERMINUTE and BPIPRIME; any raw meteorological data used; any post-processor programs used to calculate ambient impacts or background data such as access data bases, excel spreadsheets, and or computer code such as PYTHON, R or FORTRAN. Please include a directory of file(s) submitted files, and a “Readme” text file describing file naming conventions that are clearly identified.</w:t>
      </w:r>
    </w:p>
    <w:p w14:paraId="43D649CB" w14:textId="77777777" w:rsidR="00A80D16" w:rsidRDefault="00A80D16">
      <w:pPr>
        <w:jc w:val="left"/>
        <w:rPr>
          <w:rFonts w:ascii="Calibri" w:eastAsia="Calibri" w:hAnsi="Calibri" w:cs="Calibri"/>
          <w:color w:val="000000"/>
        </w:rPr>
      </w:pPr>
      <w:r>
        <w:rPr>
          <w:rFonts w:ascii="Calibri" w:eastAsia="Calibri" w:hAnsi="Calibri" w:cs="Calibri"/>
          <w:color w:val="000000"/>
        </w:rPr>
        <w:br w:type="page"/>
      </w:r>
    </w:p>
    <w:p w14:paraId="64339570" w14:textId="3B367AAA" w:rsidR="00057BF2" w:rsidRDefault="00A80D16" w:rsidP="00596D57">
      <w:pPr>
        <w:pStyle w:val="Heading6"/>
        <w:numPr>
          <w:ilvl w:val="0"/>
          <w:numId w:val="0"/>
        </w:numPr>
        <w:rPr>
          <w:rFonts w:eastAsia="Calibri"/>
        </w:rPr>
      </w:pPr>
      <w:bookmarkStart w:id="50" w:name="_Toc147226903"/>
      <w:r>
        <w:rPr>
          <w:rFonts w:eastAsia="Calibri"/>
        </w:rPr>
        <w:lastRenderedPageBreak/>
        <w:t>Appendix</w:t>
      </w:r>
      <w:r w:rsidR="00596D57">
        <w:rPr>
          <w:rFonts w:eastAsia="Calibri"/>
        </w:rPr>
        <w:t xml:space="preserve"> A</w:t>
      </w:r>
      <w:bookmarkEnd w:id="50"/>
    </w:p>
    <w:p w14:paraId="55ECF1C4" w14:textId="1E5D0266" w:rsidR="00A80D16" w:rsidRPr="00E21EDD" w:rsidRDefault="00B7046C" w:rsidP="00B7046C">
      <w:pPr>
        <w:jc w:val="center"/>
        <w:rPr>
          <w:b/>
        </w:rPr>
      </w:pPr>
      <w:r w:rsidRPr="00E21EDD">
        <w:rPr>
          <w:b/>
        </w:rPr>
        <w:t xml:space="preserve">Modeling </w:t>
      </w:r>
      <w:r w:rsidR="00C24410" w:rsidRPr="00E21EDD">
        <w:rPr>
          <w:b/>
        </w:rPr>
        <w:t>Procedure</w:t>
      </w:r>
      <w:r w:rsidRPr="00E21EDD">
        <w:rPr>
          <w:b/>
        </w:rPr>
        <w:t xml:space="preserve"> Flowchart</w:t>
      </w:r>
    </w:p>
    <w:p w14:paraId="4983C73C" w14:textId="77777777" w:rsidR="000C14B1" w:rsidRDefault="000C14B1" w:rsidP="00A80D16">
      <w:pPr>
        <w:jc w:val="left"/>
        <w:rPr>
          <w:noProof/>
        </w:rPr>
      </w:pPr>
    </w:p>
    <w:p w14:paraId="2E5D367D" w14:textId="514077DB" w:rsidR="000C14B1" w:rsidRDefault="00EC7EE9" w:rsidP="00EC7EE9">
      <w:pPr>
        <w:jc w:val="center"/>
      </w:pPr>
      <w:r>
        <w:rPr>
          <w:noProof/>
        </w:rPr>
        <w:drawing>
          <wp:inline distT="0" distB="0" distL="0" distR="0" wp14:anchorId="7E45DD51" wp14:editId="45E32BA9">
            <wp:extent cx="7141820" cy="4471568"/>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55276" cy="4479993"/>
                    </a:xfrm>
                    <a:prstGeom prst="rect">
                      <a:avLst/>
                    </a:prstGeom>
                    <a:noFill/>
                  </pic:spPr>
                </pic:pic>
              </a:graphicData>
            </a:graphic>
          </wp:inline>
        </w:drawing>
      </w:r>
    </w:p>
    <w:p w14:paraId="245C96B9" w14:textId="77777777" w:rsidR="000C14B1" w:rsidRDefault="000C14B1" w:rsidP="00A80D16">
      <w:pPr>
        <w:jc w:val="left"/>
      </w:pPr>
    </w:p>
    <w:p w14:paraId="455E934F" w14:textId="3758605D" w:rsidR="00596D57" w:rsidRPr="00F46CD5" w:rsidRDefault="00A80D16" w:rsidP="00F46CD5">
      <w:pPr>
        <w:pStyle w:val="Heading6"/>
        <w:numPr>
          <w:ilvl w:val="4"/>
          <w:numId w:val="15"/>
        </w:numPr>
      </w:pPr>
      <w:r>
        <w:br w:type="page"/>
      </w:r>
      <w:bookmarkStart w:id="51" w:name="_Toc147226904"/>
      <w:r w:rsidR="00596D57">
        <w:lastRenderedPageBreak/>
        <w:t>Air Quality Modeling Check List</w:t>
      </w:r>
      <w:bookmarkEnd w:id="51"/>
    </w:p>
    <w:p w14:paraId="167D1E3A" w14:textId="29B85696" w:rsidR="00596D57" w:rsidRPr="00EF1185" w:rsidRDefault="00596D57" w:rsidP="00E21EDD">
      <w:pPr>
        <w:pStyle w:val="BodyText"/>
        <w:keepNext w:val="0"/>
        <w:widowControl/>
        <w:numPr>
          <w:ilvl w:val="0"/>
          <w:numId w:val="16"/>
        </w:numPr>
        <w:spacing w:line="252" w:lineRule="auto"/>
        <w:ind w:left="270" w:right="190"/>
        <w:jc w:val="left"/>
        <w:rPr>
          <w:rFonts w:asciiTheme="minorHAnsi" w:hAnsiTheme="minorHAnsi" w:cstheme="minorHAnsi"/>
          <w:b/>
          <w:bCs/>
          <w:spacing w:val="-1"/>
          <w:szCs w:val="28"/>
          <w:u w:val="single"/>
        </w:rPr>
      </w:pPr>
      <w:r w:rsidRPr="00EF1185">
        <w:rPr>
          <w:rFonts w:asciiTheme="minorHAnsi" w:hAnsiTheme="minorHAnsi" w:cstheme="minorHAnsi"/>
          <w:b/>
          <w:bCs/>
          <w:spacing w:val="-1"/>
          <w:szCs w:val="28"/>
        </w:rPr>
        <w:t>Pre-application Meeting</w:t>
      </w:r>
    </w:p>
    <w:p w14:paraId="58FD5410" w14:textId="77777777" w:rsidR="00596D57" w:rsidRPr="00F46CD5" w:rsidRDefault="00596D57" w:rsidP="00E21EDD">
      <w:pPr>
        <w:pStyle w:val="BodyText"/>
        <w:spacing w:line="252" w:lineRule="auto"/>
        <w:ind w:right="190"/>
        <w:jc w:val="left"/>
        <w:rPr>
          <w:rFonts w:asciiTheme="minorHAnsi" w:hAnsiTheme="minorHAnsi" w:cstheme="minorHAnsi"/>
          <w:spacing w:val="-1"/>
          <w:sz w:val="22"/>
          <w:szCs w:val="24"/>
        </w:rPr>
      </w:pPr>
      <w:r w:rsidRPr="00F46CD5">
        <w:rPr>
          <w:rFonts w:asciiTheme="minorHAnsi" w:hAnsiTheme="minorHAnsi" w:cstheme="minorHAnsi"/>
          <w:spacing w:val="-1"/>
          <w:sz w:val="22"/>
        </w:rPr>
        <w:t>Please be prepared to discuss the following with a Senior Modeler at CT DEEP as you begin your application process:</w:t>
      </w:r>
    </w:p>
    <w:p w14:paraId="098EBE1C" w14:textId="61E11E4B" w:rsidR="00596D57" w:rsidRPr="00F46CD5" w:rsidRDefault="00596D57" w:rsidP="008F2030">
      <w:pPr>
        <w:pStyle w:val="BodyText"/>
        <w:numPr>
          <w:ilvl w:val="0"/>
          <w:numId w:val="41"/>
        </w:numPr>
        <w:jc w:val="left"/>
        <w:rPr>
          <w:rFonts w:asciiTheme="minorHAnsi" w:hAnsiTheme="minorHAnsi" w:cstheme="minorHAnsi"/>
          <w:sz w:val="22"/>
        </w:rPr>
      </w:pPr>
      <w:r w:rsidRPr="00F46CD5">
        <w:rPr>
          <w:rFonts w:asciiTheme="minorHAnsi" w:hAnsiTheme="minorHAnsi" w:cstheme="minorHAnsi"/>
          <w:spacing w:val="-1"/>
          <w:sz w:val="22"/>
        </w:rPr>
        <w:t>Proposed</w:t>
      </w:r>
      <w:r w:rsidRPr="00F46CD5">
        <w:rPr>
          <w:rFonts w:asciiTheme="minorHAnsi" w:hAnsiTheme="minorHAnsi" w:cstheme="minorHAnsi"/>
          <w:sz w:val="22"/>
        </w:rPr>
        <w:t xml:space="preserve"> </w:t>
      </w:r>
      <w:r w:rsidRPr="00F46CD5">
        <w:rPr>
          <w:rFonts w:asciiTheme="minorHAnsi" w:hAnsiTheme="minorHAnsi" w:cstheme="minorHAnsi"/>
          <w:spacing w:val="-1"/>
          <w:sz w:val="22"/>
        </w:rPr>
        <w:t>new/modified</w:t>
      </w:r>
      <w:r w:rsidRPr="00F46CD5">
        <w:rPr>
          <w:rFonts w:asciiTheme="minorHAnsi" w:hAnsiTheme="minorHAnsi" w:cstheme="minorHAnsi"/>
          <w:sz w:val="22"/>
        </w:rPr>
        <w:t xml:space="preserve"> facility</w:t>
      </w:r>
      <w:r w:rsidRPr="00F46CD5">
        <w:rPr>
          <w:rFonts w:asciiTheme="minorHAnsi" w:hAnsiTheme="minorHAnsi" w:cstheme="minorHAnsi"/>
          <w:spacing w:val="-5"/>
          <w:sz w:val="22"/>
        </w:rPr>
        <w:t xml:space="preserve"> </w:t>
      </w:r>
      <w:r w:rsidRPr="00F46CD5">
        <w:rPr>
          <w:rFonts w:asciiTheme="minorHAnsi" w:hAnsiTheme="minorHAnsi" w:cstheme="minorHAnsi"/>
          <w:spacing w:val="-1"/>
          <w:sz w:val="22"/>
        </w:rPr>
        <w:t>emission</w:t>
      </w:r>
      <w:r w:rsidRPr="00F46CD5">
        <w:rPr>
          <w:rFonts w:asciiTheme="minorHAnsi" w:hAnsiTheme="minorHAnsi" w:cstheme="minorHAnsi"/>
          <w:sz w:val="22"/>
        </w:rPr>
        <w:t xml:space="preserve"> source</w:t>
      </w:r>
      <w:r w:rsidRPr="00F46CD5">
        <w:rPr>
          <w:rFonts w:asciiTheme="minorHAnsi" w:hAnsiTheme="minorHAnsi" w:cstheme="minorHAnsi"/>
          <w:spacing w:val="-1"/>
          <w:sz w:val="22"/>
        </w:rPr>
        <w:t xml:space="preserve"> </w:t>
      </w:r>
      <w:proofErr w:type="gramStart"/>
      <w:r w:rsidRPr="00F46CD5">
        <w:rPr>
          <w:rFonts w:asciiTheme="minorHAnsi" w:hAnsiTheme="minorHAnsi" w:cstheme="minorHAnsi"/>
          <w:spacing w:val="-1"/>
          <w:sz w:val="22"/>
        </w:rPr>
        <w:t>characterization</w:t>
      </w:r>
      <w:proofErr w:type="gramEnd"/>
    </w:p>
    <w:p w14:paraId="441FF8E9" w14:textId="14540388" w:rsidR="00596D57" w:rsidRPr="00F46CD5" w:rsidRDefault="00596D57" w:rsidP="008F2030">
      <w:pPr>
        <w:pStyle w:val="BodyText"/>
        <w:numPr>
          <w:ilvl w:val="0"/>
          <w:numId w:val="41"/>
        </w:numPr>
        <w:jc w:val="left"/>
        <w:rPr>
          <w:rFonts w:asciiTheme="minorHAnsi" w:hAnsiTheme="minorHAnsi" w:cstheme="minorHAnsi"/>
          <w:sz w:val="22"/>
        </w:rPr>
      </w:pPr>
      <w:r w:rsidRPr="00F46CD5">
        <w:rPr>
          <w:rFonts w:asciiTheme="minorHAnsi" w:hAnsiTheme="minorHAnsi" w:cstheme="minorHAnsi"/>
          <w:spacing w:val="-1"/>
          <w:sz w:val="22"/>
        </w:rPr>
        <w:t>Plant</w:t>
      </w:r>
      <w:r w:rsidRPr="00F46CD5">
        <w:rPr>
          <w:rFonts w:asciiTheme="minorHAnsi" w:hAnsiTheme="minorHAnsi" w:cstheme="minorHAnsi"/>
          <w:sz w:val="22"/>
        </w:rPr>
        <w:t xml:space="preserve"> </w:t>
      </w:r>
      <w:r w:rsidRPr="00F46CD5">
        <w:rPr>
          <w:rFonts w:asciiTheme="minorHAnsi" w:hAnsiTheme="minorHAnsi" w:cstheme="minorHAnsi"/>
          <w:spacing w:val="-1"/>
          <w:sz w:val="22"/>
        </w:rPr>
        <w:t xml:space="preserve">layout w/property/fence line, stack (s) location, controlling structures for </w:t>
      </w:r>
      <w:proofErr w:type="gramStart"/>
      <w:r w:rsidRPr="00F46CD5">
        <w:rPr>
          <w:rFonts w:asciiTheme="minorHAnsi" w:hAnsiTheme="minorHAnsi" w:cstheme="minorHAnsi"/>
          <w:sz w:val="22"/>
        </w:rPr>
        <w:t>GEP</w:t>
      </w:r>
      <w:proofErr w:type="gramEnd"/>
    </w:p>
    <w:p w14:paraId="199CDA17" w14:textId="76183B8A" w:rsidR="00596D57" w:rsidRPr="00F46CD5" w:rsidRDefault="00596D57" w:rsidP="008F2030">
      <w:pPr>
        <w:pStyle w:val="BodyText"/>
        <w:numPr>
          <w:ilvl w:val="0"/>
          <w:numId w:val="41"/>
        </w:numPr>
        <w:jc w:val="left"/>
        <w:rPr>
          <w:rFonts w:asciiTheme="minorHAnsi" w:hAnsiTheme="minorHAnsi" w:cstheme="minorHAnsi"/>
          <w:sz w:val="22"/>
        </w:rPr>
      </w:pPr>
      <w:r w:rsidRPr="00F46CD5">
        <w:rPr>
          <w:rFonts w:asciiTheme="minorHAnsi" w:hAnsiTheme="minorHAnsi" w:cstheme="minorHAnsi"/>
          <w:spacing w:val="-1"/>
          <w:sz w:val="22"/>
        </w:rPr>
        <w:t>Areas</w:t>
      </w:r>
      <w:r w:rsidRPr="00F46CD5">
        <w:rPr>
          <w:rFonts w:asciiTheme="minorHAnsi" w:hAnsiTheme="minorHAnsi" w:cstheme="minorHAnsi"/>
          <w:sz w:val="22"/>
        </w:rPr>
        <w:t xml:space="preserve"> not </w:t>
      </w:r>
      <w:r w:rsidRPr="00F46CD5">
        <w:rPr>
          <w:rFonts w:asciiTheme="minorHAnsi" w:hAnsiTheme="minorHAnsi" w:cstheme="minorHAnsi"/>
          <w:spacing w:val="-1"/>
          <w:sz w:val="22"/>
        </w:rPr>
        <w:t>considered</w:t>
      </w:r>
      <w:r w:rsidRPr="00F46CD5">
        <w:rPr>
          <w:rFonts w:asciiTheme="minorHAnsi" w:hAnsiTheme="minorHAnsi" w:cstheme="minorHAnsi"/>
          <w:spacing w:val="2"/>
          <w:sz w:val="22"/>
        </w:rPr>
        <w:t xml:space="preserve"> </w:t>
      </w:r>
      <w:r w:rsidRPr="00F46CD5">
        <w:rPr>
          <w:rFonts w:asciiTheme="minorHAnsi" w:hAnsiTheme="minorHAnsi" w:cstheme="minorHAnsi"/>
          <w:spacing w:val="-1"/>
          <w:sz w:val="22"/>
        </w:rPr>
        <w:t>ambient</w:t>
      </w:r>
      <w:r w:rsidRPr="00F46CD5">
        <w:rPr>
          <w:rFonts w:asciiTheme="minorHAnsi" w:hAnsiTheme="minorHAnsi" w:cstheme="minorHAnsi"/>
          <w:sz w:val="22"/>
        </w:rPr>
        <w:t xml:space="preserve"> </w:t>
      </w:r>
      <w:r w:rsidRPr="00F46CD5">
        <w:rPr>
          <w:rFonts w:asciiTheme="minorHAnsi" w:hAnsiTheme="minorHAnsi" w:cstheme="minorHAnsi"/>
          <w:spacing w:val="-1"/>
          <w:sz w:val="22"/>
        </w:rPr>
        <w:t xml:space="preserve">air - no fence line, property barrier and or </w:t>
      </w:r>
      <w:proofErr w:type="gramStart"/>
      <w:r w:rsidRPr="00F46CD5">
        <w:rPr>
          <w:rFonts w:asciiTheme="minorHAnsi" w:hAnsiTheme="minorHAnsi" w:cstheme="minorHAnsi"/>
          <w:spacing w:val="-1"/>
          <w:sz w:val="22"/>
        </w:rPr>
        <w:t>signage</w:t>
      </w:r>
      <w:proofErr w:type="gramEnd"/>
    </w:p>
    <w:p w14:paraId="120E9B9E" w14:textId="77777777" w:rsidR="00596D57" w:rsidRPr="00F46CD5" w:rsidRDefault="00596D57" w:rsidP="008F2030">
      <w:pPr>
        <w:pStyle w:val="BodyText"/>
        <w:numPr>
          <w:ilvl w:val="0"/>
          <w:numId w:val="41"/>
        </w:numPr>
        <w:jc w:val="left"/>
        <w:rPr>
          <w:rFonts w:asciiTheme="minorHAnsi" w:hAnsiTheme="minorHAnsi" w:cstheme="minorHAnsi"/>
          <w:sz w:val="22"/>
        </w:rPr>
      </w:pPr>
      <w:r w:rsidRPr="00F46CD5">
        <w:rPr>
          <w:rFonts w:asciiTheme="minorHAnsi" w:hAnsiTheme="minorHAnsi" w:cstheme="minorHAnsi"/>
          <w:sz w:val="22"/>
        </w:rPr>
        <w:t>Monitor(s)</w:t>
      </w:r>
      <w:r w:rsidRPr="00F46CD5">
        <w:rPr>
          <w:rFonts w:asciiTheme="minorHAnsi" w:hAnsiTheme="minorHAnsi" w:cstheme="minorHAnsi"/>
          <w:spacing w:val="-1"/>
          <w:sz w:val="22"/>
        </w:rPr>
        <w:t xml:space="preserve"> used for </w:t>
      </w:r>
      <w:proofErr w:type="gramStart"/>
      <w:r w:rsidRPr="00F46CD5">
        <w:rPr>
          <w:rFonts w:asciiTheme="minorHAnsi" w:hAnsiTheme="minorHAnsi" w:cstheme="minorHAnsi"/>
          <w:spacing w:val="-1"/>
          <w:sz w:val="22"/>
        </w:rPr>
        <w:t>background</w:t>
      </w:r>
      <w:proofErr w:type="gramEnd"/>
    </w:p>
    <w:p w14:paraId="647BF9BB" w14:textId="7650EF5B" w:rsidR="00596D57" w:rsidRPr="00F46CD5" w:rsidRDefault="00596D57" w:rsidP="008F2030">
      <w:pPr>
        <w:pStyle w:val="BodyText"/>
        <w:numPr>
          <w:ilvl w:val="0"/>
          <w:numId w:val="41"/>
        </w:numPr>
        <w:jc w:val="left"/>
        <w:rPr>
          <w:rFonts w:asciiTheme="minorHAnsi" w:hAnsiTheme="minorHAnsi" w:cstheme="minorHAnsi"/>
          <w:sz w:val="22"/>
        </w:rPr>
      </w:pPr>
      <w:r w:rsidRPr="00F46CD5">
        <w:rPr>
          <w:rFonts w:asciiTheme="minorHAnsi" w:hAnsiTheme="minorHAnsi" w:cstheme="minorHAnsi"/>
          <w:sz w:val="22"/>
        </w:rPr>
        <w:t>Met data (NWS,</w:t>
      </w:r>
      <w:r w:rsidRPr="00F46CD5">
        <w:rPr>
          <w:rFonts w:asciiTheme="minorHAnsi" w:hAnsiTheme="minorHAnsi" w:cstheme="minorHAnsi"/>
          <w:spacing w:val="1"/>
          <w:sz w:val="22"/>
        </w:rPr>
        <w:t xml:space="preserve"> P</w:t>
      </w:r>
      <w:r w:rsidRPr="00F46CD5">
        <w:rPr>
          <w:rFonts w:asciiTheme="minorHAnsi" w:hAnsiTheme="minorHAnsi" w:cstheme="minorHAnsi"/>
          <w:spacing w:val="-1"/>
          <w:sz w:val="22"/>
        </w:rPr>
        <w:t>rognostic, or Site Specific)</w:t>
      </w:r>
      <w:r w:rsidRPr="00F46CD5">
        <w:rPr>
          <w:rFonts w:asciiTheme="minorHAnsi" w:hAnsiTheme="minorHAnsi" w:cstheme="minorHAnsi"/>
          <w:sz w:val="22"/>
        </w:rPr>
        <w:t xml:space="preserve">. CT DEEP will provide NWS processed Met </w:t>
      </w:r>
      <w:proofErr w:type="gramStart"/>
      <w:r w:rsidRPr="00F46CD5">
        <w:rPr>
          <w:rFonts w:asciiTheme="minorHAnsi" w:hAnsiTheme="minorHAnsi" w:cstheme="minorHAnsi"/>
          <w:sz w:val="22"/>
        </w:rPr>
        <w:t>data</w:t>
      </w:r>
      <w:proofErr w:type="gramEnd"/>
    </w:p>
    <w:p w14:paraId="0328638A" w14:textId="2A9DB493" w:rsidR="00596D57" w:rsidRPr="00F46CD5" w:rsidRDefault="00596D57" w:rsidP="008F2030">
      <w:pPr>
        <w:pStyle w:val="BodyText"/>
        <w:numPr>
          <w:ilvl w:val="0"/>
          <w:numId w:val="41"/>
        </w:numPr>
        <w:jc w:val="left"/>
        <w:rPr>
          <w:rFonts w:asciiTheme="minorHAnsi" w:hAnsiTheme="minorHAnsi" w:cstheme="minorHAnsi"/>
          <w:sz w:val="22"/>
        </w:rPr>
      </w:pPr>
      <w:r w:rsidRPr="00F46CD5">
        <w:rPr>
          <w:rFonts w:asciiTheme="minorHAnsi" w:hAnsiTheme="minorHAnsi" w:cstheme="minorHAnsi"/>
          <w:spacing w:val="-1"/>
          <w:sz w:val="22"/>
        </w:rPr>
        <w:t xml:space="preserve">Other major/minor </w:t>
      </w:r>
      <w:r w:rsidRPr="00F46CD5">
        <w:rPr>
          <w:rFonts w:asciiTheme="minorHAnsi" w:hAnsiTheme="minorHAnsi" w:cstheme="minorHAnsi"/>
          <w:sz w:val="22"/>
        </w:rPr>
        <w:t>existing</w:t>
      </w:r>
      <w:r w:rsidRPr="00F46CD5">
        <w:rPr>
          <w:rFonts w:asciiTheme="minorHAnsi" w:hAnsiTheme="minorHAnsi" w:cstheme="minorHAnsi"/>
          <w:spacing w:val="-3"/>
          <w:sz w:val="22"/>
        </w:rPr>
        <w:t xml:space="preserve"> </w:t>
      </w:r>
      <w:r w:rsidRPr="00F46CD5">
        <w:rPr>
          <w:rFonts w:asciiTheme="minorHAnsi" w:hAnsiTheme="minorHAnsi" w:cstheme="minorHAnsi"/>
          <w:spacing w:val="-1"/>
          <w:sz w:val="22"/>
        </w:rPr>
        <w:t>sources on premises</w:t>
      </w:r>
    </w:p>
    <w:p w14:paraId="3F7F4820" w14:textId="745DD49C" w:rsidR="00596D57" w:rsidRPr="00F46CD5" w:rsidRDefault="00596D57" w:rsidP="008F2030">
      <w:pPr>
        <w:pStyle w:val="BodyText"/>
        <w:numPr>
          <w:ilvl w:val="0"/>
          <w:numId w:val="41"/>
        </w:numPr>
        <w:jc w:val="left"/>
        <w:rPr>
          <w:rFonts w:asciiTheme="minorHAnsi" w:hAnsiTheme="minorHAnsi" w:cstheme="minorHAnsi"/>
          <w:spacing w:val="-1"/>
          <w:sz w:val="22"/>
        </w:rPr>
      </w:pPr>
      <w:r w:rsidRPr="00F46CD5">
        <w:rPr>
          <w:rFonts w:asciiTheme="minorHAnsi" w:hAnsiTheme="minorHAnsi" w:cstheme="minorHAnsi"/>
          <w:spacing w:val="-1"/>
          <w:sz w:val="22"/>
        </w:rPr>
        <w:t>Emissions</w:t>
      </w:r>
      <w:r w:rsidRPr="00F46CD5">
        <w:rPr>
          <w:rFonts w:asciiTheme="minorHAnsi" w:hAnsiTheme="minorHAnsi" w:cstheme="minorHAnsi"/>
          <w:sz w:val="22"/>
        </w:rPr>
        <w:t xml:space="preserve"> inventory</w:t>
      </w:r>
      <w:r w:rsidRPr="00F46CD5">
        <w:rPr>
          <w:rFonts w:asciiTheme="minorHAnsi" w:hAnsiTheme="minorHAnsi" w:cstheme="minorHAnsi"/>
          <w:spacing w:val="-1"/>
          <w:sz w:val="22"/>
        </w:rPr>
        <w:t xml:space="preserve">–CT DEEP will provide data as </w:t>
      </w:r>
      <w:proofErr w:type="gramStart"/>
      <w:r w:rsidRPr="00F46CD5">
        <w:rPr>
          <w:rFonts w:asciiTheme="minorHAnsi" w:hAnsiTheme="minorHAnsi" w:cstheme="minorHAnsi"/>
          <w:spacing w:val="-1"/>
          <w:sz w:val="22"/>
        </w:rPr>
        <w:t>appropriate</w:t>
      </w:r>
      <w:proofErr w:type="gramEnd"/>
    </w:p>
    <w:p w14:paraId="10FEC6CD" w14:textId="74D4A070" w:rsidR="00596D57" w:rsidRPr="00F46CD5" w:rsidRDefault="00596D57" w:rsidP="008F2030">
      <w:pPr>
        <w:pStyle w:val="BodyText"/>
        <w:numPr>
          <w:ilvl w:val="0"/>
          <w:numId w:val="41"/>
        </w:numPr>
        <w:jc w:val="left"/>
        <w:rPr>
          <w:rFonts w:asciiTheme="minorHAnsi" w:hAnsiTheme="minorHAnsi" w:cstheme="minorHAnsi"/>
          <w:sz w:val="22"/>
        </w:rPr>
      </w:pPr>
      <w:r w:rsidRPr="00F46CD5">
        <w:rPr>
          <w:rFonts w:asciiTheme="minorHAnsi" w:hAnsiTheme="minorHAnsi" w:cstheme="minorHAnsi"/>
          <w:sz w:val="22"/>
        </w:rPr>
        <w:t>PSD</w:t>
      </w:r>
      <w:r w:rsidRPr="00F46CD5">
        <w:rPr>
          <w:rFonts w:asciiTheme="minorHAnsi" w:hAnsiTheme="minorHAnsi" w:cstheme="minorHAnsi"/>
          <w:spacing w:val="-1"/>
          <w:sz w:val="22"/>
        </w:rPr>
        <w:t xml:space="preserve"> Class</w:t>
      </w:r>
      <w:r w:rsidRPr="00F46CD5">
        <w:rPr>
          <w:rFonts w:asciiTheme="minorHAnsi" w:hAnsiTheme="minorHAnsi" w:cstheme="minorHAnsi"/>
          <w:spacing w:val="2"/>
          <w:sz w:val="22"/>
        </w:rPr>
        <w:t xml:space="preserve"> </w:t>
      </w:r>
      <w:r w:rsidRPr="00F46CD5">
        <w:rPr>
          <w:rFonts w:asciiTheme="minorHAnsi" w:hAnsiTheme="minorHAnsi" w:cstheme="minorHAnsi"/>
          <w:sz w:val="22"/>
        </w:rPr>
        <w:t>I</w:t>
      </w:r>
      <w:r w:rsidRPr="00F46CD5">
        <w:rPr>
          <w:rFonts w:asciiTheme="minorHAnsi" w:hAnsiTheme="minorHAnsi" w:cstheme="minorHAnsi"/>
          <w:spacing w:val="-4"/>
          <w:sz w:val="22"/>
        </w:rPr>
        <w:t xml:space="preserve"> </w:t>
      </w:r>
      <w:r w:rsidRPr="00F46CD5">
        <w:rPr>
          <w:rFonts w:asciiTheme="minorHAnsi" w:hAnsiTheme="minorHAnsi" w:cstheme="minorHAnsi"/>
          <w:spacing w:val="-1"/>
          <w:sz w:val="22"/>
        </w:rPr>
        <w:t>areas</w:t>
      </w:r>
    </w:p>
    <w:p w14:paraId="17556257" w14:textId="31B7C0BB" w:rsidR="00596D57" w:rsidRPr="00F46CD5" w:rsidRDefault="00596D57" w:rsidP="008F2030">
      <w:pPr>
        <w:pStyle w:val="BodyText"/>
        <w:numPr>
          <w:ilvl w:val="0"/>
          <w:numId w:val="41"/>
        </w:numPr>
        <w:jc w:val="left"/>
        <w:rPr>
          <w:rFonts w:asciiTheme="minorHAnsi" w:hAnsiTheme="minorHAnsi" w:cstheme="minorHAnsi"/>
          <w:sz w:val="22"/>
        </w:rPr>
      </w:pPr>
      <w:r w:rsidRPr="00F46CD5">
        <w:rPr>
          <w:rFonts w:asciiTheme="minorHAnsi" w:hAnsiTheme="minorHAnsi" w:cstheme="minorHAnsi"/>
          <w:spacing w:val="-1"/>
          <w:sz w:val="22"/>
        </w:rPr>
        <w:t>Environmental</w:t>
      </w:r>
      <w:r w:rsidRPr="00F46CD5">
        <w:rPr>
          <w:rFonts w:asciiTheme="minorHAnsi" w:hAnsiTheme="minorHAnsi" w:cstheme="minorHAnsi"/>
          <w:sz w:val="22"/>
        </w:rPr>
        <w:t xml:space="preserve"> </w:t>
      </w:r>
      <w:r w:rsidRPr="00F46CD5">
        <w:rPr>
          <w:rFonts w:asciiTheme="minorHAnsi" w:hAnsiTheme="minorHAnsi" w:cstheme="minorHAnsi"/>
          <w:spacing w:val="-1"/>
          <w:sz w:val="22"/>
        </w:rPr>
        <w:t>Justice areas</w:t>
      </w:r>
    </w:p>
    <w:p w14:paraId="2C2E126E" w14:textId="1A4701A0" w:rsidR="00596D57" w:rsidRPr="00EF1185" w:rsidRDefault="00596D57" w:rsidP="00E21EDD">
      <w:pPr>
        <w:pStyle w:val="BodyText"/>
        <w:keepNext w:val="0"/>
        <w:widowControl/>
        <w:numPr>
          <w:ilvl w:val="0"/>
          <w:numId w:val="16"/>
        </w:numPr>
        <w:spacing w:before="240" w:line="252" w:lineRule="auto"/>
        <w:ind w:left="270" w:right="190"/>
        <w:jc w:val="left"/>
        <w:rPr>
          <w:rFonts w:asciiTheme="minorHAnsi" w:hAnsiTheme="minorHAnsi" w:cstheme="minorHAnsi"/>
          <w:b/>
          <w:bCs/>
          <w:spacing w:val="-1"/>
          <w:szCs w:val="28"/>
          <w:u w:val="single"/>
        </w:rPr>
      </w:pPr>
      <w:bookmarkStart w:id="52" w:name="III._Preconstruction_Ambient_Air_Monitor"/>
      <w:bookmarkStart w:id="53" w:name="IV._Modeling_Protocol"/>
      <w:bookmarkStart w:id="54" w:name="_Hlk140046084"/>
      <w:bookmarkEnd w:id="52"/>
      <w:bookmarkEnd w:id="53"/>
      <w:r w:rsidRPr="00EF1185">
        <w:rPr>
          <w:rFonts w:asciiTheme="minorHAnsi" w:hAnsiTheme="minorHAnsi" w:cstheme="minorHAnsi"/>
          <w:b/>
          <w:bCs/>
          <w:spacing w:val="-1"/>
          <w:szCs w:val="28"/>
        </w:rPr>
        <w:t>Modeling Procedures</w:t>
      </w:r>
      <w:bookmarkEnd w:id="54"/>
    </w:p>
    <w:p w14:paraId="70E78D24" w14:textId="36FA745C" w:rsidR="00596D57" w:rsidRPr="00EF1185" w:rsidRDefault="00596D57" w:rsidP="00E21EDD">
      <w:pPr>
        <w:spacing w:after="0"/>
        <w:jc w:val="left"/>
        <w:rPr>
          <w:rFonts w:cstheme="minorHAnsi"/>
        </w:rPr>
      </w:pPr>
      <w:r w:rsidRPr="00EF1185">
        <w:rPr>
          <w:rFonts w:cstheme="minorHAnsi"/>
        </w:rPr>
        <w:t>When modeling, please consider/ account for the following:</w:t>
      </w:r>
      <w:bookmarkStart w:id="55" w:name="Project_Description"/>
      <w:bookmarkEnd w:id="55"/>
    </w:p>
    <w:p w14:paraId="7E1E9DFA" w14:textId="77777777" w:rsidR="00596D57" w:rsidRPr="00EF1185" w:rsidRDefault="00596D57" w:rsidP="00E21EDD">
      <w:pPr>
        <w:spacing w:after="0"/>
        <w:jc w:val="left"/>
        <w:rPr>
          <w:rFonts w:eastAsia="Times New Roman" w:cstheme="minorHAnsi"/>
        </w:rPr>
      </w:pPr>
      <w:bookmarkStart w:id="56" w:name="Source_Characterization"/>
      <w:bookmarkEnd w:id="56"/>
      <w:r w:rsidRPr="00EF1185">
        <w:rPr>
          <w:rFonts w:eastAsia="Times New Roman" w:cstheme="minorHAnsi"/>
          <w:spacing w:val="-1"/>
        </w:rPr>
        <w:t>Source</w:t>
      </w:r>
      <w:r w:rsidRPr="00EF1185">
        <w:rPr>
          <w:rFonts w:eastAsia="Times New Roman" w:cstheme="minorHAnsi"/>
        </w:rPr>
        <w:t xml:space="preserve"> </w:t>
      </w:r>
      <w:r w:rsidRPr="00EF1185">
        <w:rPr>
          <w:rFonts w:eastAsia="Times New Roman" w:cstheme="minorHAnsi"/>
          <w:spacing w:val="-1"/>
        </w:rPr>
        <w:t>Characterization</w:t>
      </w:r>
    </w:p>
    <w:p w14:paraId="779F826B" w14:textId="5DDE3DBD" w:rsidR="00596D57" w:rsidRPr="00EF1185" w:rsidRDefault="00596D57" w:rsidP="008F2030">
      <w:pPr>
        <w:pStyle w:val="BodyText"/>
        <w:numPr>
          <w:ilvl w:val="0"/>
          <w:numId w:val="42"/>
        </w:numPr>
        <w:jc w:val="left"/>
        <w:rPr>
          <w:rFonts w:asciiTheme="minorHAnsi" w:eastAsiaTheme="minorHAnsi" w:hAnsiTheme="minorHAnsi" w:cstheme="minorHAnsi"/>
          <w:sz w:val="22"/>
          <w:szCs w:val="22"/>
        </w:rPr>
      </w:pPr>
      <w:r w:rsidRPr="00EF1185">
        <w:rPr>
          <w:rFonts w:asciiTheme="minorHAnsi" w:hAnsiTheme="minorHAnsi" w:cstheme="minorHAnsi"/>
          <w:spacing w:val="-1"/>
          <w:sz w:val="22"/>
          <w:szCs w:val="22"/>
        </w:rPr>
        <w:t>Source type,</w:t>
      </w:r>
      <w:r w:rsidRPr="00EF1185">
        <w:rPr>
          <w:rFonts w:asciiTheme="minorHAnsi" w:hAnsiTheme="minorHAnsi" w:cstheme="minorHAnsi"/>
          <w:spacing w:val="2"/>
          <w:sz w:val="22"/>
          <w:szCs w:val="22"/>
        </w:rPr>
        <w:t xml:space="preserve"> </w:t>
      </w:r>
      <w:r w:rsidRPr="00EF1185">
        <w:rPr>
          <w:rFonts w:asciiTheme="minorHAnsi" w:hAnsiTheme="minorHAnsi" w:cstheme="minorHAnsi"/>
          <w:spacing w:val="-1"/>
          <w:sz w:val="22"/>
          <w:szCs w:val="22"/>
        </w:rPr>
        <w:t>fuel</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type,</w:t>
      </w:r>
      <w:r w:rsidRPr="00EF1185">
        <w:rPr>
          <w:rFonts w:asciiTheme="minorHAnsi" w:hAnsiTheme="minorHAnsi" w:cstheme="minorHAnsi"/>
          <w:sz w:val="22"/>
          <w:szCs w:val="22"/>
        </w:rPr>
        <w:t xml:space="preserve"> size, </w:t>
      </w:r>
      <w:r w:rsidRPr="00EF1185">
        <w:rPr>
          <w:rFonts w:asciiTheme="minorHAnsi" w:hAnsiTheme="minorHAnsi" w:cstheme="minorHAnsi"/>
          <w:spacing w:val="-1"/>
          <w:sz w:val="22"/>
          <w:szCs w:val="22"/>
        </w:rPr>
        <w:t xml:space="preserve">number </w:t>
      </w:r>
      <w:r w:rsidRPr="00EF1185">
        <w:rPr>
          <w:rFonts w:asciiTheme="minorHAnsi" w:hAnsiTheme="minorHAnsi" w:cstheme="minorHAnsi"/>
          <w:sz w:val="22"/>
          <w:szCs w:val="22"/>
        </w:rPr>
        <w:t>of</w:t>
      </w:r>
      <w:r w:rsidRPr="00EF1185">
        <w:rPr>
          <w:rFonts w:asciiTheme="minorHAnsi" w:hAnsiTheme="minorHAnsi" w:cstheme="minorHAnsi"/>
          <w:spacing w:val="-1"/>
          <w:sz w:val="22"/>
          <w:szCs w:val="22"/>
        </w:rPr>
        <w:t xml:space="preserve"> </w:t>
      </w:r>
      <w:r w:rsidRPr="00EF1185">
        <w:rPr>
          <w:rFonts w:asciiTheme="minorHAnsi" w:hAnsiTheme="minorHAnsi" w:cstheme="minorHAnsi"/>
          <w:sz w:val="22"/>
          <w:szCs w:val="22"/>
        </w:rPr>
        <w:t xml:space="preserve">units, </w:t>
      </w:r>
      <w:r w:rsidRPr="00EF1185">
        <w:rPr>
          <w:rFonts w:asciiTheme="minorHAnsi" w:hAnsiTheme="minorHAnsi" w:cstheme="minorHAnsi"/>
          <w:spacing w:val="-1"/>
          <w:sz w:val="22"/>
          <w:szCs w:val="22"/>
        </w:rPr>
        <w:t>location</w:t>
      </w:r>
      <w:r w:rsidRPr="00EF1185">
        <w:rPr>
          <w:rFonts w:asciiTheme="minorHAnsi" w:hAnsiTheme="minorHAnsi" w:cstheme="minorHAnsi"/>
          <w:sz w:val="22"/>
          <w:szCs w:val="22"/>
        </w:rPr>
        <w:t xml:space="preserve"> of</w:t>
      </w:r>
      <w:r w:rsidRPr="00EF1185">
        <w:rPr>
          <w:rFonts w:asciiTheme="minorHAnsi" w:hAnsiTheme="minorHAnsi" w:cstheme="minorHAnsi"/>
          <w:spacing w:val="-1"/>
          <w:sz w:val="22"/>
          <w:szCs w:val="22"/>
        </w:rPr>
        <w:t xml:space="preserve"> source(s)</w:t>
      </w:r>
    </w:p>
    <w:p w14:paraId="3D5B33CA" w14:textId="705BAEF1" w:rsidR="00596D57" w:rsidRPr="00EF1185" w:rsidRDefault="00596D57" w:rsidP="008F2030">
      <w:pPr>
        <w:pStyle w:val="BodyText"/>
        <w:numPr>
          <w:ilvl w:val="0"/>
          <w:numId w:val="42"/>
        </w:numPr>
        <w:jc w:val="left"/>
        <w:rPr>
          <w:rFonts w:asciiTheme="minorHAnsi" w:hAnsiTheme="minorHAnsi" w:cstheme="minorHAnsi"/>
          <w:sz w:val="22"/>
          <w:szCs w:val="22"/>
        </w:rPr>
      </w:pPr>
      <w:r w:rsidRPr="00EF1185">
        <w:rPr>
          <w:rFonts w:asciiTheme="minorHAnsi" w:hAnsiTheme="minorHAnsi" w:cstheme="minorHAnsi"/>
          <w:spacing w:val="-1"/>
          <w:sz w:val="22"/>
          <w:szCs w:val="22"/>
        </w:rPr>
        <w:t>Auxiliary</w:t>
      </w:r>
      <w:r w:rsidRPr="00EF1185">
        <w:rPr>
          <w:rFonts w:asciiTheme="minorHAnsi" w:hAnsiTheme="minorHAnsi" w:cstheme="minorHAnsi"/>
          <w:spacing w:val="-3"/>
          <w:sz w:val="22"/>
          <w:szCs w:val="22"/>
        </w:rPr>
        <w:t xml:space="preserve"> </w:t>
      </w:r>
      <w:r w:rsidRPr="00EF1185">
        <w:rPr>
          <w:rFonts w:asciiTheme="minorHAnsi" w:hAnsiTheme="minorHAnsi" w:cstheme="minorHAnsi"/>
          <w:spacing w:val="-1"/>
          <w:sz w:val="22"/>
          <w:szCs w:val="22"/>
        </w:rPr>
        <w:t>equipment</w:t>
      </w:r>
      <w:r w:rsidRPr="00EF1185">
        <w:rPr>
          <w:rFonts w:asciiTheme="minorHAnsi" w:hAnsiTheme="minorHAnsi" w:cstheme="minorHAnsi"/>
          <w:sz w:val="22"/>
          <w:szCs w:val="22"/>
        </w:rPr>
        <w:t xml:space="preserve"> (</w:t>
      </w:r>
      <w:r w:rsidRPr="00EF1185">
        <w:rPr>
          <w:rFonts w:asciiTheme="minorHAnsi" w:hAnsiTheme="minorHAnsi" w:cstheme="minorHAnsi"/>
          <w:i/>
          <w:iCs/>
          <w:sz w:val="22"/>
          <w:szCs w:val="22"/>
        </w:rPr>
        <w:t>e.g.</w:t>
      </w:r>
      <w:r w:rsidRPr="00EF1185">
        <w:rPr>
          <w:rFonts w:asciiTheme="minorHAnsi" w:hAnsiTheme="minorHAnsi" w:cstheme="minorHAnsi"/>
          <w:sz w:val="22"/>
          <w:szCs w:val="22"/>
        </w:rPr>
        <w:t>, emergency</w:t>
      </w:r>
      <w:r w:rsidRPr="00EF1185">
        <w:rPr>
          <w:rFonts w:asciiTheme="minorHAnsi" w:hAnsiTheme="minorHAnsi" w:cstheme="minorHAnsi"/>
          <w:spacing w:val="-3"/>
          <w:sz w:val="22"/>
          <w:szCs w:val="22"/>
        </w:rPr>
        <w:t xml:space="preserve"> </w:t>
      </w:r>
      <w:r w:rsidRPr="00EF1185">
        <w:rPr>
          <w:rFonts w:asciiTheme="minorHAnsi" w:hAnsiTheme="minorHAnsi" w:cstheme="minorHAnsi"/>
          <w:spacing w:val="-1"/>
          <w:sz w:val="22"/>
          <w:szCs w:val="22"/>
        </w:rPr>
        <w:t>generators,</w:t>
      </w:r>
      <w:r w:rsidRPr="00EF1185">
        <w:rPr>
          <w:rFonts w:asciiTheme="minorHAnsi" w:hAnsiTheme="minorHAnsi" w:cstheme="minorHAnsi"/>
          <w:spacing w:val="2"/>
          <w:sz w:val="22"/>
          <w:szCs w:val="22"/>
        </w:rPr>
        <w:t xml:space="preserve"> </w:t>
      </w:r>
      <w:r w:rsidRPr="00EF1185">
        <w:rPr>
          <w:rFonts w:asciiTheme="minorHAnsi" w:hAnsiTheme="minorHAnsi" w:cstheme="minorHAnsi"/>
          <w:spacing w:val="-1"/>
          <w:sz w:val="22"/>
          <w:szCs w:val="22"/>
        </w:rPr>
        <w:t xml:space="preserve">fire </w:t>
      </w:r>
      <w:r w:rsidRPr="00EF1185">
        <w:rPr>
          <w:rFonts w:asciiTheme="minorHAnsi" w:hAnsiTheme="minorHAnsi" w:cstheme="minorHAnsi"/>
          <w:sz w:val="22"/>
          <w:szCs w:val="22"/>
        </w:rPr>
        <w:t>pumps</w:t>
      </w:r>
      <w:r w:rsidRPr="00EF1185">
        <w:rPr>
          <w:rFonts w:asciiTheme="minorHAnsi" w:hAnsiTheme="minorHAnsi" w:cstheme="minorHAnsi"/>
          <w:spacing w:val="-1"/>
          <w:sz w:val="22"/>
          <w:szCs w:val="22"/>
        </w:rPr>
        <w:t>)</w:t>
      </w:r>
    </w:p>
    <w:p w14:paraId="6EDE9C07" w14:textId="5EBC65D3" w:rsidR="00596D57" w:rsidRPr="00EF1185" w:rsidRDefault="00596D57" w:rsidP="00E21EDD">
      <w:pPr>
        <w:pStyle w:val="BodyText"/>
        <w:spacing w:line="252" w:lineRule="auto"/>
        <w:ind w:right="350"/>
        <w:jc w:val="left"/>
        <w:rPr>
          <w:rFonts w:asciiTheme="minorHAnsi" w:hAnsiTheme="minorHAnsi" w:cstheme="minorHAnsi"/>
          <w:sz w:val="22"/>
          <w:szCs w:val="22"/>
        </w:rPr>
      </w:pPr>
      <w:r w:rsidRPr="00EF1185">
        <w:rPr>
          <w:rFonts w:asciiTheme="minorHAnsi" w:hAnsiTheme="minorHAnsi" w:cstheme="minorHAnsi"/>
          <w:spacing w:val="-1"/>
          <w:sz w:val="22"/>
          <w:szCs w:val="22"/>
        </w:rPr>
        <w:t>Source location</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maps</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identifying</w:t>
      </w:r>
      <w:r w:rsidRPr="00EF1185">
        <w:rPr>
          <w:rFonts w:asciiTheme="minorHAnsi" w:hAnsiTheme="minorHAnsi" w:cstheme="minorHAnsi"/>
          <w:spacing w:val="-3"/>
          <w:sz w:val="22"/>
          <w:szCs w:val="22"/>
        </w:rPr>
        <w:t xml:space="preserve"> </w:t>
      </w:r>
      <w:r w:rsidRPr="00EF1185">
        <w:rPr>
          <w:rFonts w:asciiTheme="minorHAnsi" w:hAnsiTheme="minorHAnsi" w:cstheme="minorHAnsi"/>
          <w:spacing w:val="-1"/>
          <w:sz w:val="22"/>
          <w:szCs w:val="22"/>
        </w:rPr>
        <w:t>topographic</w:t>
      </w:r>
      <w:r w:rsidRPr="00EF1185">
        <w:rPr>
          <w:rFonts w:asciiTheme="minorHAnsi" w:hAnsiTheme="minorHAnsi" w:cstheme="minorHAnsi"/>
          <w:spacing w:val="1"/>
          <w:sz w:val="22"/>
          <w:szCs w:val="22"/>
        </w:rPr>
        <w:t xml:space="preserve"> </w:t>
      </w:r>
      <w:r w:rsidRPr="00EF1185">
        <w:rPr>
          <w:rFonts w:asciiTheme="minorHAnsi" w:hAnsiTheme="minorHAnsi" w:cstheme="minorHAnsi"/>
          <w:spacing w:val="-1"/>
          <w:sz w:val="22"/>
          <w:szCs w:val="22"/>
        </w:rPr>
        <w:t>features,</w:t>
      </w:r>
      <w:r w:rsidRPr="00EF1185">
        <w:rPr>
          <w:rFonts w:asciiTheme="minorHAnsi" w:hAnsiTheme="minorHAnsi" w:cstheme="minorHAnsi"/>
          <w:sz w:val="22"/>
          <w:szCs w:val="22"/>
        </w:rPr>
        <w:t xml:space="preserve"> other</w:t>
      </w:r>
      <w:r w:rsidRPr="00EF1185">
        <w:rPr>
          <w:rFonts w:asciiTheme="minorHAnsi" w:hAnsiTheme="minorHAnsi" w:cstheme="minorHAnsi"/>
          <w:spacing w:val="-1"/>
          <w:sz w:val="22"/>
          <w:szCs w:val="22"/>
        </w:rPr>
        <w:t xml:space="preserve"> </w:t>
      </w:r>
      <w:r w:rsidRPr="00EF1185">
        <w:rPr>
          <w:rFonts w:asciiTheme="minorHAnsi" w:hAnsiTheme="minorHAnsi" w:cstheme="minorHAnsi"/>
          <w:sz w:val="22"/>
          <w:szCs w:val="22"/>
        </w:rPr>
        <w:t xml:space="preserve">sources, </w:t>
      </w:r>
      <w:r w:rsidRPr="00EF1185">
        <w:rPr>
          <w:rFonts w:asciiTheme="minorHAnsi" w:hAnsiTheme="minorHAnsi" w:cstheme="minorHAnsi"/>
          <w:spacing w:val="-1"/>
          <w:sz w:val="22"/>
          <w:szCs w:val="22"/>
        </w:rPr>
        <w:t>monitoring</w:t>
      </w:r>
      <w:r w:rsidRPr="00EF1185">
        <w:rPr>
          <w:rFonts w:asciiTheme="minorHAnsi" w:hAnsiTheme="minorHAnsi" w:cstheme="minorHAnsi"/>
          <w:spacing w:val="-3"/>
          <w:sz w:val="22"/>
          <w:szCs w:val="22"/>
        </w:rPr>
        <w:t xml:space="preserve"> </w:t>
      </w:r>
      <w:r w:rsidRPr="00EF1185">
        <w:rPr>
          <w:rFonts w:asciiTheme="minorHAnsi" w:hAnsiTheme="minorHAnsi" w:cstheme="minorHAnsi"/>
          <w:spacing w:val="-1"/>
          <w:sz w:val="22"/>
          <w:szCs w:val="22"/>
        </w:rPr>
        <w:t>locations,</w:t>
      </w:r>
      <w:r w:rsidRPr="00EF1185">
        <w:rPr>
          <w:rFonts w:asciiTheme="minorHAnsi" w:hAnsiTheme="minorHAnsi" w:cstheme="minorHAnsi"/>
          <w:sz w:val="22"/>
          <w:szCs w:val="22"/>
        </w:rPr>
        <w:t xml:space="preserve"> and </w:t>
      </w:r>
      <w:r w:rsidRPr="00EF1185">
        <w:rPr>
          <w:rFonts w:asciiTheme="minorHAnsi" w:hAnsiTheme="minorHAnsi" w:cstheme="minorHAnsi"/>
          <w:spacing w:val="-1"/>
          <w:sz w:val="22"/>
          <w:szCs w:val="22"/>
        </w:rPr>
        <w:t>met</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 xml:space="preserve">site </w:t>
      </w:r>
      <w:proofErr w:type="gramStart"/>
      <w:r w:rsidRPr="00EF1185">
        <w:rPr>
          <w:rFonts w:asciiTheme="minorHAnsi" w:hAnsiTheme="minorHAnsi" w:cstheme="minorHAnsi"/>
          <w:spacing w:val="-1"/>
          <w:sz w:val="22"/>
          <w:szCs w:val="22"/>
        </w:rPr>
        <w:t>used</w:t>
      </w:r>
      <w:proofErr w:type="gramEnd"/>
      <w:r w:rsidRPr="00EF1185">
        <w:rPr>
          <w:rFonts w:asciiTheme="minorHAnsi" w:hAnsiTheme="minorHAnsi" w:cstheme="minorHAnsi"/>
          <w:sz w:val="22"/>
          <w:szCs w:val="22"/>
        </w:rPr>
        <w:t xml:space="preserve"> </w:t>
      </w:r>
    </w:p>
    <w:p w14:paraId="6D14BBF7" w14:textId="7C9B4A4E" w:rsidR="00596D57" w:rsidRPr="00EF1185" w:rsidRDefault="00596D57" w:rsidP="008F2030">
      <w:pPr>
        <w:pStyle w:val="BodyText"/>
        <w:numPr>
          <w:ilvl w:val="0"/>
          <w:numId w:val="43"/>
        </w:numPr>
        <w:jc w:val="left"/>
        <w:rPr>
          <w:rFonts w:asciiTheme="minorHAnsi" w:hAnsiTheme="minorHAnsi" w:cstheme="minorHAnsi"/>
          <w:sz w:val="22"/>
          <w:szCs w:val="22"/>
        </w:rPr>
      </w:pPr>
      <w:r w:rsidRPr="00EF1185">
        <w:rPr>
          <w:rFonts w:asciiTheme="minorHAnsi" w:hAnsiTheme="minorHAnsi" w:cstheme="minorHAnsi"/>
          <w:spacing w:val="-1"/>
          <w:sz w:val="22"/>
          <w:szCs w:val="22"/>
        </w:rPr>
        <w:t>Building</w:t>
      </w:r>
      <w:r w:rsidRPr="00EF1185">
        <w:rPr>
          <w:rFonts w:asciiTheme="minorHAnsi" w:hAnsiTheme="minorHAnsi" w:cstheme="minorHAnsi"/>
          <w:spacing w:val="-3"/>
          <w:sz w:val="22"/>
          <w:szCs w:val="22"/>
        </w:rPr>
        <w:t xml:space="preserve"> </w:t>
      </w:r>
      <w:r w:rsidRPr="00EF1185">
        <w:rPr>
          <w:rFonts w:asciiTheme="minorHAnsi" w:hAnsiTheme="minorHAnsi" w:cstheme="minorHAnsi"/>
          <w:spacing w:val="-1"/>
          <w:sz w:val="22"/>
          <w:szCs w:val="22"/>
        </w:rPr>
        <w:t>dimensions</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and</w:t>
      </w:r>
      <w:r w:rsidRPr="00EF1185">
        <w:rPr>
          <w:rFonts w:asciiTheme="minorHAnsi" w:hAnsiTheme="minorHAnsi" w:cstheme="minorHAnsi"/>
          <w:spacing w:val="2"/>
          <w:sz w:val="22"/>
          <w:szCs w:val="22"/>
        </w:rPr>
        <w:t xml:space="preserve"> </w:t>
      </w:r>
      <w:r w:rsidRPr="00EF1185">
        <w:rPr>
          <w:rFonts w:asciiTheme="minorHAnsi" w:hAnsiTheme="minorHAnsi" w:cstheme="minorHAnsi"/>
          <w:spacing w:val="-1"/>
          <w:sz w:val="22"/>
          <w:szCs w:val="22"/>
        </w:rPr>
        <w:t>location</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included</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 xml:space="preserve">for GEP </w:t>
      </w:r>
      <w:proofErr w:type="gramStart"/>
      <w:r w:rsidRPr="00EF1185">
        <w:rPr>
          <w:rFonts w:asciiTheme="minorHAnsi" w:hAnsiTheme="minorHAnsi" w:cstheme="minorHAnsi"/>
          <w:spacing w:val="-1"/>
          <w:sz w:val="22"/>
          <w:szCs w:val="22"/>
        </w:rPr>
        <w:t>analysis</w:t>
      </w:r>
      <w:proofErr w:type="gramEnd"/>
    </w:p>
    <w:p w14:paraId="4F7BE3A6" w14:textId="6C7E9FCC" w:rsidR="00596D57" w:rsidRPr="00EF1185" w:rsidRDefault="00596D57" w:rsidP="008F2030">
      <w:pPr>
        <w:pStyle w:val="BodyText"/>
        <w:numPr>
          <w:ilvl w:val="0"/>
          <w:numId w:val="43"/>
        </w:numPr>
        <w:jc w:val="left"/>
        <w:rPr>
          <w:rFonts w:asciiTheme="minorHAnsi" w:hAnsiTheme="minorHAnsi" w:cstheme="minorHAnsi"/>
          <w:spacing w:val="-1"/>
          <w:sz w:val="22"/>
          <w:szCs w:val="22"/>
        </w:rPr>
      </w:pPr>
      <w:r w:rsidRPr="00EF1185">
        <w:rPr>
          <w:rFonts w:asciiTheme="minorHAnsi" w:hAnsiTheme="minorHAnsi" w:cstheme="minorHAnsi"/>
          <w:spacing w:val="-1"/>
          <w:sz w:val="22"/>
          <w:szCs w:val="22"/>
        </w:rPr>
        <w:t>Stack</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Parameters</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 xml:space="preserve">for </w:t>
      </w:r>
      <w:r w:rsidRPr="00EF1185">
        <w:rPr>
          <w:rFonts w:asciiTheme="minorHAnsi" w:hAnsiTheme="minorHAnsi" w:cstheme="minorHAnsi"/>
          <w:sz w:val="22"/>
          <w:szCs w:val="22"/>
        </w:rPr>
        <w:t>varying</w:t>
      </w:r>
      <w:r w:rsidRPr="00EF1185">
        <w:rPr>
          <w:rFonts w:asciiTheme="minorHAnsi" w:hAnsiTheme="minorHAnsi" w:cstheme="minorHAnsi"/>
          <w:spacing w:val="-3"/>
          <w:sz w:val="22"/>
          <w:szCs w:val="22"/>
        </w:rPr>
        <w:t xml:space="preserve"> </w:t>
      </w:r>
      <w:r w:rsidRPr="00EF1185">
        <w:rPr>
          <w:rFonts w:asciiTheme="minorHAnsi" w:hAnsiTheme="minorHAnsi" w:cstheme="minorHAnsi"/>
          <w:spacing w:val="-1"/>
          <w:sz w:val="22"/>
          <w:szCs w:val="22"/>
        </w:rPr>
        <w:t>loads/scenarios</w:t>
      </w:r>
    </w:p>
    <w:p w14:paraId="5ED926F4" w14:textId="50C552EA" w:rsidR="00596D57" w:rsidRPr="00EF1185" w:rsidRDefault="00596D57" w:rsidP="008F2030">
      <w:pPr>
        <w:pStyle w:val="BodyText"/>
        <w:numPr>
          <w:ilvl w:val="0"/>
          <w:numId w:val="43"/>
        </w:numPr>
        <w:jc w:val="left"/>
        <w:rPr>
          <w:rFonts w:asciiTheme="minorHAnsi" w:hAnsiTheme="minorHAnsi" w:cstheme="minorHAnsi"/>
          <w:sz w:val="22"/>
          <w:szCs w:val="22"/>
        </w:rPr>
      </w:pPr>
      <w:r w:rsidRPr="00EF1185">
        <w:rPr>
          <w:rFonts w:asciiTheme="minorHAnsi" w:hAnsiTheme="minorHAnsi" w:cstheme="minorHAnsi"/>
          <w:spacing w:val="-1"/>
          <w:sz w:val="22"/>
          <w:szCs w:val="22"/>
        </w:rPr>
        <w:t>Urban/Rural</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determination</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consistent</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with</w:t>
      </w:r>
      <w:r w:rsidRPr="00EF1185">
        <w:rPr>
          <w:rFonts w:asciiTheme="minorHAnsi" w:hAnsiTheme="minorHAnsi" w:cstheme="minorHAnsi"/>
          <w:sz w:val="22"/>
          <w:szCs w:val="22"/>
        </w:rPr>
        <w:t xml:space="preserve"> AIAG</w:t>
      </w:r>
    </w:p>
    <w:p w14:paraId="4BB83BB4" w14:textId="3D0AB3F3" w:rsidR="00596D57" w:rsidRPr="00EF1185" w:rsidRDefault="00596D57" w:rsidP="008F2030">
      <w:pPr>
        <w:pStyle w:val="BodyText"/>
        <w:numPr>
          <w:ilvl w:val="0"/>
          <w:numId w:val="43"/>
        </w:numPr>
        <w:jc w:val="left"/>
        <w:rPr>
          <w:rFonts w:asciiTheme="minorHAnsi" w:hAnsiTheme="minorHAnsi" w:cstheme="minorHAnsi"/>
          <w:spacing w:val="-1"/>
          <w:sz w:val="22"/>
          <w:szCs w:val="22"/>
        </w:rPr>
      </w:pPr>
      <w:r w:rsidRPr="00EF1185">
        <w:rPr>
          <w:rFonts w:asciiTheme="minorHAnsi" w:hAnsiTheme="minorHAnsi" w:cstheme="minorHAnsi"/>
          <w:spacing w:val="-1"/>
          <w:sz w:val="22"/>
          <w:szCs w:val="22"/>
        </w:rPr>
        <w:t>Startup/shutdown</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emissions</w:t>
      </w:r>
      <w:r w:rsidRPr="00EF1185">
        <w:rPr>
          <w:rFonts w:asciiTheme="minorHAnsi" w:hAnsiTheme="minorHAnsi" w:cstheme="minorHAnsi"/>
          <w:sz w:val="22"/>
          <w:szCs w:val="22"/>
        </w:rPr>
        <w:t xml:space="preserve"> appropriately</w:t>
      </w:r>
      <w:r w:rsidRPr="00EF1185">
        <w:rPr>
          <w:rFonts w:asciiTheme="minorHAnsi" w:hAnsiTheme="minorHAnsi" w:cstheme="minorHAnsi"/>
          <w:spacing w:val="-3"/>
          <w:sz w:val="22"/>
          <w:szCs w:val="22"/>
        </w:rPr>
        <w:t xml:space="preserve"> </w:t>
      </w:r>
      <w:r w:rsidRPr="00EF1185">
        <w:rPr>
          <w:rFonts w:asciiTheme="minorHAnsi" w:hAnsiTheme="minorHAnsi" w:cstheme="minorHAnsi"/>
          <w:spacing w:val="-1"/>
          <w:sz w:val="22"/>
          <w:szCs w:val="22"/>
        </w:rPr>
        <w:t>addressed,</w:t>
      </w:r>
      <w:r w:rsidRPr="00EF1185">
        <w:rPr>
          <w:rFonts w:asciiTheme="minorHAnsi" w:hAnsiTheme="minorHAnsi" w:cstheme="minorHAnsi"/>
          <w:sz w:val="22"/>
          <w:szCs w:val="22"/>
        </w:rPr>
        <w:t xml:space="preserve"> if</w:t>
      </w:r>
      <w:r w:rsidRPr="00EF1185">
        <w:rPr>
          <w:rFonts w:asciiTheme="minorHAnsi" w:hAnsiTheme="minorHAnsi" w:cstheme="minorHAnsi"/>
          <w:spacing w:val="1"/>
          <w:sz w:val="22"/>
          <w:szCs w:val="22"/>
        </w:rPr>
        <w:t xml:space="preserve"> </w:t>
      </w:r>
      <w:r w:rsidRPr="00EF1185">
        <w:rPr>
          <w:rFonts w:asciiTheme="minorHAnsi" w:hAnsiTheme="minorHAnsi" w:cstheme="minorHAnsi"/>
          <w:spacing w:val="-1"/>
          <w:sz w:val="22"/>
          <w:szCs w:val="22"/>
        </w:rPr>
        <w:t>applicable</w:t>
      </w:r>
    </w:p>
    <w:p w14:paraId="75D732CB" w14:textId="1CE75621" w:rsidR="00596D57" w:rsidRPr="00EF1185" w:rsidRDefault="00596D57" w:rsidP="008F2030">
      <w:pPr>
        <w:pStyle w:val="BodyText"/>
        <w:numPr>
          <w:ilvl w:val="0"/>
          <w:numId w:val="43"/>
        </w:numPr>
        <w:jc w:val="left"/>
        <w:rPr>
          <w:rFonts w:asciiTheme="minorHAnsi" w:hAnsiTheme="minorHAnsi" w:cstheme="minorHAnsi"/>
          <w:spacing w:val="-1"/>
          <w:sz w:val="22"/>
          <w:szCs w:val="22"/>
        </w:rPr>
      </w:pPr>
      <w:r w:rsidRPr="00EF1185">
        <w:rPr>
          <w:rFonts w:asciiTheme="minorHAnsi" w:hAnsiTheme="minorHAnsi" w:cstheme="minorHAnsi"/>
          <w:spacing w:val="-1"/>
          <w:sz w:val="22"/>
          <w:szCs w:val="22"/>
        </w:rPr>
        <w:t xml:space="preserve">Indicate </w:t>
      </w:r>
      <w:r w:rsidR="009A2280" w:rsidRPr="00EF1185">
        <w:rPr>
          <w:rFonts w:asciiTheme="minorHAnsi" w:hAnsiTheme="minorHAnsi" w:cstheme="minorHAnsi"/>
          <w:spacing w:val="-1"/>
          <w:sz w:val="22"/>
          <w:szCs w:val="22"/>
        </w:rPr>
        <w:t>any of</w:t>
      </w:r>
      <w:r w:rsidRPr="00EF1185">
        <w:rPr>
          <w:rFonts w:asciiTheme="minorHAnsi" w:hAnsiTheme="minorHAnsi" w:cstheme="minorHAnsi"/>
          <w:spacing w:val="-1"/>
          <w:sz w:val="22"/>
          <w:szCs w:val="22"/>
        </w:rPr>
        <w:t xml:space="preserve"> the following:</w:t>
      </w:r>
    </w:p>
    <w:p w14:paraId="5BC47DBF" w14:textId="77777777" w:rsidR="00596D57" w:rsidRPr="00EF1185" w:rsidRDefault="00596D57" w:rsidP="00017003">
      <w:pPr>
        <w:pStyle w:val="BodyText"/>
        <w:numPr>
          <w:ilvl w:val="1"/>
          <w:numId w:val="17"/>
        </w:numPr>
        <w:spacing w:line="252" w:lineRule="auto"/>
        <w:ind w:right="101"/>
        <w:jc w:val="left"/>
        <w:rPr>
          <w:rFonts w:asciiTheme="minorHAnsi" w:hAnsiTheme="minorHAnsi" w:cstheme="minorHAnsi"/>
          <w:sz w:val="22"/>
          <w:szCs w:val="22"/>
        </w:rPr>
      </w:pPr>
      <w:r w:rsidRPr="00EF1185">
        <w:rPr>
          <w:rFonts w:asciiTheme="minorHAnsi" w:hAnsiTheme="minorHAnsi" w:cstheme="minorHAnsi"/>
          <w:sz w:val="22"/>
          <w:szCs w:val="22"/>
        </w:rPr>
        <w:t xml:space="preserve">Point </w:t>
      </w:r>
      <w:r w:rsidRPr="00EF1185">
        <w:rPr>
          <w:rFonts w:asciiTheme="minorHAnsi" w:hAnsiTheme="minorHAnsi" w:cstheme="minorHAnsi"/>
          <w:spacing w:val="-1"/>
          <w:sz w:val="22"/>
          <w:szCs w:val="22"/>
        </w:rPr>
        <w:t>Sources</w:t>
      </w:r>
      <w:r w:rsidRPr="00EF1185">
        <w:rPr>
          <w:rFonts w:asciiTheme="minorHAnsi" w:hAnsiTheme="minorHAnsi" w:cstheme="minorHAnsi"/>
          <w:sz w:val="22"/>
          <w:szCs w:val="22"/>
        </w:rPr>
        <w:t xml:space="preserve"> – </w:t>
      </w:r>
      <w:r w:rsidRPr="00EF1185">
        <w:rPr>
          <w:rFonts w:asciiTheme="minorHAnsi" w:hAnsiTheme="minorHAnsi" w:cstheme="minorHAnsi"/>
          <w:spacing w:val="-1"/>
          <w:sz w:val="22"/>
          <w:szCs w:val="22"/>
        </w:rPr>
        <w:t>location</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(UTM’s</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with</w:t>
      </w:r>
      <w:r w:rsidRPr="00EF1185">
        <w:rPr>
          <w:rFonts w:asciiTheme="minorHAnsi" w:hAnsiTheme="minorHAnsi" w:cstheme="minorHAnsi"/>
          <w:sz w:val="22"/>
          <w:szCs w:val="22"/>
        </w:rPr>
        <w:t xml:space="preserve"> zone</w:t>
      </w:r>
      <w:r w:rsidRPr="00EF1185">
        <w:rPr>
          <w:rFonts w:asciiTheme="minorHAnsi" w:hAnsiTheme="minorHAnsi" w:cstheme="minorHAnsi"/>
          <w:spacing w:val="-1"/>
          <w:sz w:val="22"/>
          <w:szCs w:val="22"/>
        </w:rPr>
        <w:t xml:space="preserve"> and</w:t>
      </w:r>
      <w:r w:rsidRPr="00EF1185">
        <w:rPr>
          <w:rFonts w:asciiTheme="minorHAnsi" w:hAnsiTheme="minorHAnsi" w:cstheme="minorHAnsi"/>
          <w:sz w:val="22"/>
          <w:szCs w:val="22"/>
        </w:rPr>
        <w:t xml:space="preserve"> datum </w:t>
      </w:r>
      <w:r w:rsidRPr="00EF1185">
        <w:rPr>
          <w:rFonts w:asciiTheme="minorHAnsi" w:hAnsiTheme="minorHAnsi" w:cstheme="minorHAnsi"/>
          <w:spacing w:val="-1"/>
          <w:sz w:val="22"/>
          <w:szCs w:val="22"/>
        </w:rPr>
        <w:t>identified),</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stack</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height,</w:t>
      </w:r>
      <w:r w:rsidRPr="00EF1185">
        <w:rPr>
          <w:rFonts w:asciiTheme="minorHAnsi" w:hAnsiTheme="minorHAnsi" w:cstheme="minorHAnsi"/>
          <w:sz w:val="22"/>
          <w:szCs w:val="22"/>
        </w:rPr>
        <w:t xml:space="preserve"> inside</w:t>
      </w:r>
      <w:r w:rsidRPr="00EF1185">
        <w:rPr>
          <w:rFonts w:asciiTheme="minorHAnsi" w:hAnsiTheme="minorHAnsi" w:cstheme="minorHAnsi"/>
          <w:spacing w:val="71"/>
          <w:sz w:val="22"/>
          <w:szCs w:val="22"/>
        </w:rPr>
        <w:t xml:space="preserve"> </w:t>
      </w:r>
      <w:r w:rsidRPr="00EF1185">
        <w:rPr>
          <w:rFonts w:asciiTheme="minorHAnsi" w:hAnsiTheme="minorHAnsi" w:cstheme="minorHAnsi"/>
          <w:spacing w:val="-1"/>
          <w:sz w:val="22"/>
          <w:szCs w:val="22"/>
        </w:rPr>
        <w:t>stack</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diameter,</w:t>
      </w:r>
      <w:r w:rsidRPr="00EF1185">
        <w:rPr>
          <w:rFonts w:asciiTheme="minorHAnsi" w:hAnsiTheme="minorHAnsi" w:cstheme="minorHAnsi"/>
          <w:spacing w:val="2"/>
          <w:sz w:val="22"/>
          <w:szCs w:val="22"/>
        </w:rPr>
        <w:t xml:space="preserve"> </w:t>
      </w:r>
      <w:r w:rsidRPr="00EF1185">
        <w:rPr>
          <w:rFonts w:asciiTheme="minorHAnsi" w:hAnsiTheme="minorHAnsi" w:cstheme="minorHAnsi"/>
          <w:sz w:val="22"/>
          <w:szCs w:val="22"/>
        </w:rPr>
        <w:t xml:space="preserve">exit </w:t>
      </w:r>
      <w:r w:rsidRPr="00EF1185">
        <w:rPr>
          <w:rFonts w:asciiTheme="minorHAnsi" w:hAnsiTheme="minorHAnsi" w:cstheme="minorHAnsi"/>
          <w:spacing w:val="-1"/>
          <w:sz w:val="22"/>
          <w:szCs w:val="22"/>
        </w:rPr>
        <w:t>velocity,</w:t>
      </w:r>
      <w:r w:rsidRPr="00EF1185">
        <w:rPr>
          <w:rFonts w:asciiTheme="minorHAnsi" w:hAnsiTheme="minorHAnsi" w:cstheme="minorHAnsi"/>
          <w:sz w:val="22"/>
          <w:szCs w:val="22"/>
        </w:rPr>
        <w:t xml:space="preserve"> exit </w:t>
      </w:r>
      <w:r w:rsidRPr="00EF1185">
        <w:rPr>
          <w:rFonts w:asciiTheme="minorHAnsi" w:hAnsiTheme="minorHAnsi" w:cstheme="minorHAnsi"/>
          <w:spacing w:val="-1"/>
          <w:sz w:val="22"/>
          <w:szCs w:val="22"/>
        </w:rPr>
        <w:t>temperature,</w:t>
      </w:r>
      <w:r w:rsidRPr="00EF1185">
        <w:rPr>
          <w:rFonts w:asciiTheme="minorHAnsi" w:hAnsiTheme="minorHAnsi" w:cstheme="minorHAnsi"/>
          <w:sz w:val="22"/>
          <w:szCs w:val="22"/>
        </w:rPr>
        <w:t xml:space="preserve"> base</w:t>
      </w:r>
      <w:r w:rsidRPr="00EF1185">
        <w:rPr>
          <w:rFonts w:asciiTheme="minorHAnsi" w:hAnsiTheme="minorHAnsi" w:cstheme="minorHAnsi"/>
          <w:spacing w:val="-1"/>
          <w:sz w:val="22"/>
          <w:szCs w:val="22"/>
        </w:rPr>
        <w:t xml:space="preserve"> elevation.</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 xml:space="preserve">Note </w:t>
      </w:r>
      <w:r w:rsidRPr="00EF1185">
        <w:rPr>
          <w:rFonts w:asciiTheme="minorHAnsi" w:hAnsiTheme="minorHAnsi" w:cstheme="minorHAnsi"/>
          <w:sz w:val="22"/>
          <w:szCs w:val="22"/>
        </w:rPr>
        <w:t>if</w:t>
      </w:r>
      <w:r w:rsidRPr="00EF1185">
        <w:rPr>
          <w:rFonts w:asciiTheme="minorHAnsi" w:hAnsiTheme="minorHAnsi" w:cstheme="minorHAnsi"/>
          <w:spacing w:val="-1"/>
          <w:sz w:val="22"/>
          <w:szCs w:val="22"/>
        </w:rPr>
        <w:t xml:space="preserve"> </w:t>
      </w:r>
      <w:r w:rsidRPr="00EF1185">
        <w:rPr>
          <w:rFonts w:asciiTheme="minorHAnsi" w:hAnsiTheme="minorHAnsi" w:cstheme="minorHAnsi"/>
          <w:sz w:val="22"/>
          <w:szCs w:val="22"/>
        </w:rPr>
        <w:t>stacks</w:t>
      </w:r>
      <w:r w:rsidRPr="00EF1185">
        <w:rPr>
          <w:rFonts w:asciiTheme="minorHAnsi" w:hAnsiTheme="minorHAnsi" w:cstheme="minorHAnsi"/>
          <w:spacing w:val="67"/>
          <w:sz w:val="22"/>
          <w:szCs w:val="22"/>
        </w:rPr>
        <w:t xml:space="preserve"> </w:t>
      </w:r>
      <w:r w:rsidRPr="00EF1185">
        <w:rPr>
          <w:rFonts w:asciiTheme="minorHAnsi" w:hAnsiTheme="minorHAnsi" w:cstheme="minorHAnsi"/>
          <w:spacing w:val="-1"/>
          <w:sz w:val="22"/>
          <w:szCs w:val="22"/>
        </w:rPr>
        <w:t>are obstructed</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with</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rain</w:t>
      </w:r>
      <w:r w:rsidRPr="00EF1185">
        <w:rPr>
          <w:rFonts w:asciiTheme="minorHAnsi" w:hAnsiTheme="minorHAnsi" w:cstheme="minorHAnsi"/>
          <w:sz w:val="22"/>
          <w:szCs w:val="22"/>
        </w:rPr>
        <w:t xml:space="preserve"> caps or</w:t>
      </w:r>
      <w:r w:rsidRPr="00EF1185">
        <w:rPr>
          <w:rFonts w:asciiTheme="minorHAnsi" w:hAnsiTheme="minorHAnsi" w:cstheme="minorHAnsi"/>
          <w:spacing w:val="-1"/>
          <w:sz w:val="22"/>
          <w:szCs w:val="22"/>
        </w:rPr>
        <w:t xml:space="preserve"> feature</w:t>
      </w:r>
      <w:r w:rsidRPr="00EF1185">
        <w:rPr>
          <w:rFonts w:asciiTheme="minorHAnsi" w:hAnsiTheme="minorHAnsi" w:cstheme="minorHAnsi"/>
          <w:spacing w:val="1"/>
          <w:sz w:val="22"/>
          <w:szCs w:val="22"/>
        </w:rPr>
        <w:t xml:space="preserve"> </w:t>
      </w:r>
      <w:r w:rsidRPr="00EF1185">
        <w:rPr>
          <w:rFonts w:asciiTheme="minorHAnsi" w:hAnsiTheme="minorHAnsi" w:cstheme="minorHAnsi"/>
          <w:sz w:val="22"/>
          <w:szCs w:val="22"/>
        </w:rPr>
        <w:t>a</w:t>
      </w:r>
      <w:r w:rsidRPr="00EF1185">
        <w:rPr>
          <w:rFonts w:asciiTheme="minorHAnsi" w:hAnsiTheme="minorHAnsi" w:cstheme="minorHAnsi"/>
          <w:spacing w:val="-1"/>
          <w:sz w:val="22"/>
          <w:szCs w:val="22"/>
        </w:rPr>
        <w:t xml:space="preserve"> downward/horizontal</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release.</w:t>
      </w:r>
    </w:p>
    <w:p w14:paraId="1C18E6B9" w14:textId="77777777" w:rsidR="00596D57" w:rsidRPr="00EF1185" w:rsidRDefault="00596D57" w:rsidP="00017003">
      <w:pPr>
        <w:pStyle w:val="BodyText"/>
        <w:numPr>
          <w:ilvl w:val="1"/>
          <w:numId w:val="17"/>
        </w:numPr>
        <w:jc w:val="left"/>
        <w:rPr>
          <w:rFonts w:asciiTheme="minorHAnsi" w:hAnsiTheme="minorHAnsi" w:cstheme="minorHAnsi"/>
          <w:sz w:val="22"/>
          <w:szCs w:val="22"/>
        </w:rPr>
      </w:pPr>
      <w:r w:rsidRPr="00EF1185">
        <w:rPr>
          <w:rFonts w:asciiTheme="minorHAnsi" w:hAnsiTheme="minorHAnsi" w:cstheme="minorHAnsi"/>
          <w:spacing w:val="-1"/>
          <w:sz w:val="22"/>
          <w:szCs w:val="22"/>
        </w:rPr>
        <w:t>Area</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Sources</w:t>
      </w:r>
      <w:r w:rsidRPr="00EF1185">
        <w:rPr>
          <w:rFonts w:asciiTheme="minorHAnsi" w:hAnsiTheme="minorHAnsi" w:cstheme="minorHAnsi"/>
          <w:spacing w:val="1"/>
          <w:sz w:val="22"/>
          <w:szCs w:val="22"/>
        </w:rPr>
        <w:t xml:space="preserve"> </w:t>
      </w:r>
      <w:r w:rsidRPr="00EF1185">
        <w:rPr>
          <w:rFonts w:asciiTheme="minorHAnsi" w:hAnsiTheme="minorHAnsi" w:cstheme="minorHAnsi"/>
          <w:sz w:val="22"/>
          <w:szCs w:val="22"/>
        </w:rPr>
        <w:t>– size</w:t>
      </w:r>
      <w:r w:rsidRPr="00EF1185">
        <w:rPr>
          <w:rFonts w:asciiTheme="minorHAnsi" w:hAnsiTheme="minorHAnsi" w:cstheme="minorHAnsi"/>
          <w:spacing w:val="-1"/>
          <w:sz w:val="22"/>
          <w:szCs w:val="22"/>
        </w:rPr>
        <w:t xml:space="preserve"> and</w:t>
      </w:r>
      <w:r w:rsidRPr="00EF1185">
        <w:rPr>
          <w:rFonts w:asciiTheme="minorHAnsi" w:hAnsiTheme="minorHAnsi" w:cstheme="minorHAnsi"/>
          <w:sz w:val="22"/>
          <w:szCs w:val="22"/>
        </w:rPr>
        <w:t xml:space="preserve"> location of</w:t>
      </w:r>
      <w:r w:rsidRPr="00EF1185">
        <w:rPr>
          <w:rFonts w:asciiTheme="minorHAnsi" w:hAnsiTheme="minorHAnsi" w:cstheme="minorHAnsi"/>
          <w:spacing w:val="-1"/>
          <w:sz w:val="22"/>
          <w:szCs w:val="22"/>
        </w:rPr>
        <w:t xml:space="preserve"> area,</w:t>
      </w:r>
      <w:r w:rsidRPr="00EF1185">
        <w:rPr>
          <w:rFonts w:asciiTheme="minorHAnsi" w:hAnsiTheme="minorHAnsi" w:cstheme="minorHAnsi"/>
          <w:sz w:val="22"/>
          <w:szCs w:val="22"/>
        </w:rPr>
        <w:t xml:space="preserve"> release</w:t>
      </w:r>
      <w:r w:rsidRPr="00EF1185">
        <w:rPr>
          <w:rFonts w:asciiTheme="minorHAnsi" w:hAnsiTheme="minorHAnsi" w:cstheme="minorHAnsi"/>
          <w:spacing w:val="-1"/>
          <w:sz w:val="22"/>
          <w:szCs w:val="22"/>
        </w:rPr>
        <w:t xml:space="preserve"> height</w:t>
      </w:r>
    </w:p>
    <w:p w14:paraId="1865A638" w14:textId="77777777" w:rsidR="00F46CD5" w:rsidRPr="00EF1185" w:rsidRDefault="00596D57" w:rsidP="00017003">
      <w:pPr>
        <w:pStyle w:val="BodyText"/>
        <w:numPr>
          <w:ilvl w:val="1"/>
          <w:numId w:val="17"/>
        </w:numPr>
        <w:jc w:val="left"/>
        <w:rPr>
          <w:rFonts w:asciiTheme="minorHAnsi" w:hAnsiTheme="minorHAnsi" w:cstheme="minorHAnsi"/>
          <w:sz w:val="22"/>
          <w:szCs w:val="22"/>
        </w:rPr>
      </w:pPr>
      <w:r w:rsidRPr="00EF1185">
        <w:rPr>
          <w:rFonts w:asciiTheme="minorHAnsi" w:hAnsiTheme="minorHAnsi" w:cstheme="minorHAnsi"/>
          <w:spacing w:val="-1"/>
          <w:sz w:val="22"/>
          <w:szCs w:val="22"/>
        </w:rPr>
        <w:t>Volume Sources</w:t>
      </w:r>
      <w:r w:rsidRPr="00EF1185">
        <w:rPr>
          <w:rFonts w:asciiTheme="minorHAnsi" w:hAnsiTheme="minorHAnsi" w:cstheme="minorHAnsi"/>
          <w:sz w:val="22"/>
          <w:szCs w:val="22"/>
        </w:rPr>
        <w:t xml:space="preserve"> – size</w:t>
      </w:r>
      <w:r w:rsidRPr="00EF1185">
        <w:rPr>
          <w:rFonts w:asciiTheme="minorHAnsi" w:hAnsiTheme="minorHAnsi" w:cstheme="minorHAnsi"/>
          <w:spacing w:val="-1"/>
          <w:sz w:val="22"/>
          <w:szCs w:val="22"/>
        </w:rPr>
        <w:t xml:space="preserve"> </w:t>
      </w:r>
      <w:r w:rsidRPr="00EF1185">
        <w:rPr>
          <w:rFonts w:asciiTheme="minorHAnsi" w:hAnsiTheme="minorHAnsi" w:cstheme="minorHAnsi"/>
          <w:sz w:val="22"/>
          <w:szCs w:val="22"/>
        </w:rPr>
        <w:t xml:space="preserve">and </w:t>
      </w:r>
      <w:r w:rsidRPr="00EF1185">
        <w:rPr>
          <w:rFonts w:asciiTheme="minorHAnsi" w:hAnsiTheme="minorHAnsi" w:cstheme="minorHAnsi"/>
          <w:spacing w:val="-1"/>
          <w:sz w:val="22"/>
          <w:szCs w:val="22"/>
        </w:rPr>
        <w:t>location</w:t>
      </w:r>
      <w:r w:rsidRPr="00EF1185">
        <w:rPr>
          <w:rFonts w:asciiTheme="minorHAnsi" w:hAnsiTheme="minorHAnsi" w:cstheme="minorHAnsi"/>
          <w:sz w:val="22"/>
          <w:szCs w:val="22"/>
        </w:rPr>
        <w:t xml:space="preserve"> of</w:t>
      </w:r>
      <w:r w:rsidRPr="00EF1185">
        <w:rPr>
          <w:rFonts w:asciiTheme="minorHAnsi" w:hAnsiTheme="minorHAnsi" w:cstheme="minorHAnsi"/>
          <w:spacing w:val="-1"/>
          <w:sz w:val="22"/>
          <w:szCs w:val="22"/>
        </w:rPr>
        <w:t xml:space="preserve"> volume,</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release height,</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 xml:space="preserve">sigma </w:t>
      </w:r>
      <w:r w:rsidRPr="00EF1185">
        <w:rPr>
          <w:rFonts w:asciiTheme="minorHAnsi" w:hAnsiTheme="minorHAnsi" w:cstheme="minorHAnsi"/>
          <w:sz w:val="22"/>
          <w:szCs w:val="22"/>
        </w:rPr>
        <w:t>values</w:t>
      </w:r>
    </w:p>
    <w:p w14:paraId="45C27D36" w14:textId="77777777" w:rsidR="00F46CD5" w:rsidRPr="00EF1185" w:rsidRDefault="00596D57" w:rsidP="00017003">
      <w:pPr>
        <w:pStyle w:val="BodyText"/>
        <w:numPr>
          <w:ilvl w:val="1"/>
          <w:numId w:val="17"/>
        </w:numPr>
        <w:jc w:val="left"/>
        <w:rPr>
          <w:rFonts w:asciiTheme="minorHAnsi" w:hAnsiTheme="minorHAnsi" w:cstheme="minorHAnsi"/>
          <w:sz w:val="22"/>
          <w:szCs w:val="22"/>
        </w:rPr>
      </w:pPr>
      <w:r w:rsidRPr="00EF1185">
        <w:rPr>
          <w:rFonts w:asciiTheme="minorHAnsi" w:hAnsiTheme="minorHAnsi" w:cstheme="minorHAnsi"/>
          <w:spacing w:val="-1"/>
          <w:sz w:val="22"/>
          <w:szCs w:val="22"/>
        </w:rPr>
        <w:t xml:space="preserve">Table </w:t>
      </w:r>
      <w:r w:rsidRPr="00EF1185">
        <w:rPr>
          <w:rFonts w:asciiTheme="minorHAnsi" w:hAnsiTheme="minorHAnsi" w:cstheme="minorHAnsi"/>
          <w:sz w:val="22"/>
          <w:szCs w:val="22"/>
        </w:rPr>
        <w:t>of</w:t>
      </w:r>
      <w:r w:rsidRPr="00EF1185">
        <w:rPr>
          <w:rFonts w:asciiTheme="minorHAnsi" w:hAnsiTheme="minorHAnsi" w:cstheme="minorHAnsi"/>
          <w:spacing w:val="-1"/>
          <w:sz w:val="22"/>
          <w:szCs w:val="22"/>
        </w:rPr>
        <w:t xml:space="preserve"> short-term</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and</w:t>
      </w:r>
      <w:r w:rsidRPr="00EF1185">
        <w:rPr>
          <w:rFonts w:asciiTheme="minorHAnsi" w:hAnsiTheme="minorHAnsi" w:cstheme="minorHAnsi"/>
          <w:sz w:val="22"/>
          <w:szCs w:val="22"/>
        </w:rPr>
        <w:t xml:space="preserve"> annual </w:t>
      </w:r>
      <w:r w:rsidRPr="00EF1185">
        <w:rPr>
          <w:rFonts w:asciiTheme="minorHAnsi" w:hAnsiTheme="minorHAnsi" w:cstheme="minorHAnsi"/>
          <w:spacing w:val="-1"/>
          <w:sz w:val="22"/>
          <w:szCs w:val="22"/>
        </w:rPr>
        <w:t>emission</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rates</w:t>
      </w:r>
      <w:r w:rsidRPr="00EF1185">
        <w:rPr>
          <w:rFonts w:asciiTheme="minorHAnsi" w:hAnsiTheme="minorHAnsi" w:cstheme="minorHAnsi"/>
          <w:sz w:val="22"/>
          <w:szCs w:val="22"/>
        </w:rPr>
        <w:t xml:space="preserve"> </w:t>
      </w:r>
      <w:r w:rsidRPr="00EF1185">
        <w:rPr>
          <w:rFonts w:asciiTheme="minorHAnsi" w:hAnsiTheme="minorHAnsi" w:cstheme="minorHAnsi"/>
          <w:spacing w:val="-1"/>
          <w:sz w:val="22"/>
          <w:szCs w:val="22"/>
        </w:rPr>
        <w:t>for</w:t>
      </w:r>
      <w:r w:rsidRPr="00EF1185">
        <w:rPr>
          <w:rFonts w:asciiTheme="minorHAnsi" w:hAnsiTheme="minorHAnsi" w:cstheme="minorHAnsi"/>
          <w:spacing w:val="1"/>
          <w:sz w:val="22"/>
          <w:szCs w:val="22"/>
        </w:rPr>
        <w:t xml:space="preserve"> </w:t>
      </w:r>
      <w:r w:rsidRPr="00EF1185">
        <w:rPr>
          <w:rFonts w:asciiTheme="minorHAnsi" w:hAnsiTheme="minorHAnsi" w:cstheme="minorHAnsi"/>
          <w:spacing w:val="-1"/>
          <w:sz w:val="22"/>
          <w:szCs w:val="22"/>
        </w:rPr>
        <w:t>criteria</w:t>
      </w:r>
      <w:r w:rsidRPr="00EF1185">
        <w:rPr>
          <w:rFonts w:asciiTheme="minorHAnsi" w:hAnsiTheme="minorHAnsi" w:cstheme="minorHAnsi"/>
          <w:spacing w:val="1"/>
          <w:sz w:val="22"/>
          <w:szCs w:val="22"/>
        </w:rPr>
        <w:t xml:space="preserve"> </w:t>
      </w:r>
      <w:r w:rsidRPr="00EF1185">
        <w:rPr>
          <w:rFonts w:asciiTheme="minorHAnsi" w:hAnsiTheme="minorHAnsi" w:cstheme="minorHAnsi"/>
          <w:spacing w:val="-1"/>
          <w:sz w:val="22"/>
          <w:szCs w:val="22"/>
        </w:rPr>
        <w:t>pollutants</w:t>
      </w:r>
      <w:r w:rsidRPr="00EF1185">
        <w:rPr>
          <w:rFonts w:asciiTheme="minorHAnsi" w:hAnsiTheme="minorHAnsi" w:cstheme="minorHAnsi"/>
          <w:sz w:val="22"/>
          <w:szCs w:val="22"/>
        </w:rPr>
        <w:t xml:space="preserve"> to be </w:t>
      </w:r>
      <w:proofErr w:type="gramStart"/>
      <w:r w:rsidRPr="00EF1185">
        <w:rPr>
          <w:rFonts w:asciiTheme="minorHAnsi" w:hAnsiTheme="minorHAnsi" w:cstheme="minorHAnsi"/>
          <w:spacing w:val="-1"/>
          <w:sz w:val="22"/>
          <w:szCs w:val="22"/>
        </w:rPr>
        <w:t>modeled</w:t>
      </w:r>
      <w:bookmarkStart w:id="57" w:name="Meteorological_Input_Data"/>
      <w:bookmarkEnd w:id="57"/>
      <w:proofErr w:type="gramEnd"/>
    </w:p>
    <w:p w14:paraId="72DE7752" w14:textId="3794CAB3" w:rsidR="00E21EDD" w:rsidRPr="00E21EDD" w:rsidRDefault="00596D57" w:rsidP="00017003">
      <w:pPr>
        <w:pStyle w:val="BodyText"/>
        <w:numPr>
          <w:ilvl w:val="1"/>
          <w:numId w:val="17"/>
        </w:numPr>
        <w:jc w:val="left"/>
        <w:rPr>
          <w:rFonts w:asciiTheme="minorHAnsi" w:hAnsiTheme="minorHAnsi" w:cstheme="minorHAnsi"/>
          <w:sz w:val="22"/>
          <w:szCs w:val="22"/>
        </w:rPr>
      </w:pPr>
      <w:r w:rsidRPr="00EF1185">
        <w:rPr>
          <w:rFonts w:asciiTheme="minorHAnsi" w:hAnsiTheme="minorHAnsi" w:cstheme="minorHAnsi"/>
          <w:spacing w:val="-1"/>
          <w:sz w:val="22"/>
          <w:szCs w:val="22"/>
        </w:rPr>
        <w:t>Consideration</w:t>
      </w:r>
      <w:r w:rsidRPr="00EF1185">
        <w:rPr>
          <w:rFonts w:asciiTheme="minorHAnsi" w:hAnsiTheme="minorHAnsi" w:cstheme="minorHAnsi"/>
          <w:sz w:val="22"/>
          <w:szCs w:val="22"/>
        </w:rPr>
        <w:t xml:space="preserve"> of</w:t>
      </w:r>
      <w:r w:rsidRPr="00EF1185">
        <w:rPr>
          <w:rFonts w:asciiTheme="minorHAnsi" w:hAnsiTheme="minorHAnsi" w:cstheme="minorHAnsi"/>
          <w:spacing w:val="-1"/>
          <w:sz w:val="22"/>
          <w:szCs w:val="22"/>
        </w:rPr>
        <w:t xml:space="preserve"> fugitive emissions</w:t>
      </w:r>
    </w:p>
    <w:p w14:paraId="2148942B" w14:textId="77777777" w:rsidR="00017003" w:rsidRPr="00017003" w:rsidRDefault="009A2280" w:rsidP="00017003">
      <w:pPr>
        <w:pStyle w:val="ListParagraph"/>
        <w:numPr>
          <w:ilvl w:val="0"/>
          <w:numId w:val="16"/>
        </w:numPr>
        <w:spacing w:before="240" w:after="0"/>
        <w:ind w:left="270"/>
        <w:jc w:val="left"/>
        <w:rPr>
          <w:rFonts w:cstheme="minorHAnsi"/>
          <w:sz w:val="20"/>
        </w:rPr>
      </w:pPr>
      <w:bookmarkStart w:id="58" w:name="Air_Quality_Model_Selection"/>
      <w:bookmarkEnd w:id="58"/>
      <w:r w:rsidRPr="00EF1185">
        <w:rPr>
          <w:rFonts w:cstheme="minorHAnsi"/>
          <w:b/>
          <w:bCs/>
          <w:spacing w:val="-1"/>
          <w:sz w:val="24"/>
          <w:szCs w:val="28"/>
        </w:rPr>
        <w:t>AERMOD Model Options</w:t>
      </w:r>
    </w:p>
    <w:p w14:paraId="50627E8D" w14:textId="77777777" w:rsidR="00017003" w:rsidRPr="00017003" w:rsidRDefault="00596D57" w:rsidP="00017003">
      <w:pPr>
        <w:pStyle w:val="ListParagraph"/>
        <w:numPr>
          <w:ilvl w:val="0"/>
          <w:numId w:val="45"/>
        </w:numPr>
        <w:spacing w:before="240" w:after="0"/>
        <w:jc w:val="left"/>
        <w:rPr>
          <w:rFonts w:cstheme="minorHAnsi"/>
          <w:sz w:val="20"/>
        </w:rPr>
      </w:pPr>
      <w:r w:rsidRPr="00017003">
        <w:rPr>
          <w:rFonts w:cstheme="minorHAnsi"/>
        </w:rPr>
        <w:t>Regulatory Default (including ARM2 for NO</w:t>
      </w:r>
      <w:r w:rsidRPr="00017003">
        <w:rPr>
          <w:rFonts w:cstheme="minorHAnsi"/>
          <w:vertAlign w:val="subscript"/>
        </w:rPr>
        <w:t>2</w:t>
      </w:r>
      <w:r w:rsidRPr="00017003">
        <w:rPr>
          <w:rFonts w:cstheme="minorHAnsi"/>
        </w:rPr>
        <w:t xml:space="preserve"> modeling)</w:t>
      </w:r>
    </w:p>
    <w:p w14:paraId="3150CD92" w14:textId="77777777" w:rsidR="00017003" w:rsidRPr="00017003" w:rsidRDefault="00596D57" w:rsidP="00017003">
      <w:pPr>
        <w:pStyle w:val="ListParagraph"/>
        <w:numPr>
          <w:ilvl w:val="0"/>
          <w:numId w:val="45"/>
        </w:numPr>
        <w:spacing w:before="240" w:after="0"/>
        <w:jc w:val="left"/>
        <w:rPr>
          <w:rFonts w:cstheme="minorHAnsi"/>
          <w:sz w:val="20"/>
        </w:rPr>
      </w:pPr>
      <w:r w:rsidRPr="00017003">
        <w:rPr>
          <w:rFonts w:cstheme="minorHAnsi"/>
          <w:spacing w:val="-1"/>
        </w:rPr>
        <w:t>For nitrogen</w:t>
      </w:r>
      <w:r w:rsidRPr="00017003">
        <w:rPr>
          <w:rFonts w:cstheme="minorHAnsi"/>
        </w:rPr>
        <w:t xml:space="preserve"> dioxide, which </w:t>
      </w:r>
      <w:r w:rsidRPr="00017003">
        <w:rPr>
          <w:rFonts w:cstheme="minorHAnsi"/>
          <w:spacing w:val="-1"/>
        </w:rPr>
        <w:t>multi-tiered</w:t>
      </w:r>
      <w:r w:rsidRPr="00017003">
        <w:rPr>
          <w:rFonts w:cstheme="minorHAnsi"/>
        </w:rPr>
        <w:t xml:space="preserve"> screening</w:t>
      </w:r>
      <w:r w:rsidRPr="00017003">
        <w:rPr>
          <w:rFonts w:cstheme="minorHAnsi"/>
          <w:spacing w:val="-3"/>
        </w:rPr>
        <w:t xml:space="preserve"> </w:t>
      </w:r>
      <w:r w:rsidRPr="00017003">
        <w:rPr>
          <w:rFonts w:cstheme="minorHAnsi"/>
          <w:spacing w:val="-1"/>
        </w:rPr>
        <w:t>approach</w:t>
      </w:r>
      <w:r w:rsidRPr="00017003">
        <w:rPr>
          <w:rFonts w:cstheme="minorHAnsi"/>
        </w:rPr>
        <w:t xml:space="preserve"> was used to determine </w:t>
      </w:r>
      <w:r w:rsidR="00C24410" w:rsidRPr="00017003">
        <w:rPr>
          <w:rFonts w:cstheme="minorHAnsi"/>
        </w:rPr>
        <w:t>the 1-</w:t>
      </w:r>
      <w:r w:rsidRPr="00017003">
        <w:rPr>
          <w:rFonts w:cstheme="minorHAnsi"/>
        </w:rPr>
        <w:t>hour and annual a</w:t>
      </w:r>
      <w:r w:rsidRPr="00017003">
        <w:rPr>
          <w:rFonts w:cstheme="minorHAnsi"/>
          <w:spacing w:val="-1"/>
        </w:rPr>
        <w:t>verage</w:t>
      </w:r>
      <w:r w:rsidRPr="00017003">
        <w:rPr>
          <w:rFonts w:cstheme="minorHAnsi"/>
          <w:spacing w:val="1"/>
        </w:rPr>
        <w:t xml:space="preserve"> impacts ARM2, OLM or PVMRM.</w:t>
      </w:r>
    </w:p>
    <w:p w14:paraId="0999CDF3" w14:textId="03EB3109" w:rsidR="00596D57" w:rsidRPr="00017003" w:rsidRDefault="00596D57" w:rsidP="00017003">
      <w:pPr>
        <w:pStyle w:val="ListParagraph"/>
        <w:numPr>
          <w:ilvl w:val="0"/>
          <w:numId w:val="45"/>
        </w:numPr>
        <w:spacing w:before="240" w:after="0"/>
        <w:jc w:val="left"/>
        <w:rPr>
          <w:rFonts w:cstheme="minorHAnsi"/>
          <w:sz w:val="20"/>
        </w:rPr>
      </w:pPr>
      <w:r w:rsidRPr="00017003">
        <w:rPr>
          <w:rFonts w:cstheme="minorHAnsi"/>
          <w:spacing w:val="-2"/>
        </w:rPr>
        <w:t>If</w:t>
      </w:r>
      <w:r w:rsidRPr="00017003">
        <w:rPr>
          <w:rFonts w:cstheme="minorHAnsi"/>
          <w:spacing w:val="1"/>
        </w:rPr>
        <w:t xml:space="preserve"> </w:t>
      </w:r>
      <w:r w:rsidRPr="00017003">
        <w:rPr>
          <w:rFonts w:cstheme="minorHAnsi"/>
        </w:rPr>
        <w:t>a</w:t>
      </w:r>
      <w:r w:rsidRPr="00017003">
        <w:rPr>
          <w:rFonts w:cstheme="minorHAnsi"/>
          <w:spacing w:val="-1"/>
        </w:rPr>
        <w:t xml:space="preserve"> </w:t>
      </w:r>
      <w:r w:rsidRPr="00017003">
        <w:rPr>
          <w:rFonts w:cstheme="minorHAnsi"/>
        </w:rPr>
        <w:t>Tier</w:t>
      </w:r>
      <w:r w:rsidRPr="00017003">
        <w:rPr>
          <w:rFonts w:cstheme="minorHAnsi"/>
          <w:spacing w:val="-1"/>
        </w:rPr>
        <w:t xml:space="preserve"> </w:t>
      </w:r>
      <w:r w:rsidRPr="00017003">
        <w:rPr>
          <w:rFonts w:cstheme="minorHAnsi"/>
        </w:rPr>
        <w:t>1 secondarily</w:t>
      </w:r>
      <w:r w:rsidRPr="00017003">
        <w:rPr>
          <w:rFonts w:cstheme="minorHAnsi"/>
          <w:spacing w:val="-3"/>
        </w:rPr>
        <w:t xml:space="preserve"> </w:t>
      </w:r>
      <w:r w:rsidRPr="00017003">
        <w:rPr>
          <w:rFonts w:cstheme="minorHAnsi"/>
          <w:spacing w:val="-1"/>
        </w:rPr>
        <w:t>formed</w:t>
      </w:r>
      <w:r w:rsidRPr="00017003">
        <w:rPr>
          <w:rFonts w:cstheme="minorHAnsi"/>
        </w:rPr>
        <w:t xml:space="preserve"> particulate</w:t>
      </w:r>
      <w:r w:rsidRPr="00017003">
        <w:rPr>
          <w:rFonts w:cstheme="minorHAnsi"/>
          <w:spacing w:val="-1"/>
        </w:rPr>
        <w:t xml:space="preserve"> matter assessment</w:t>
      </w:r>
      <w:r w:rsidRPr="00017003">
        <w:rPr>
          <w:rFonts w:cstheme="minorHAnsi"/>
        </w:rPr>
        <w:t xml:space="preserve"> is </w:t>
      </w:r>
      <w:r w:rsidRPr="00017003">
        <w:rPr>
          <w:rFonts w:cstheme="minorHAnsi"/>
          <w:spacing w:val="-1"/>
        </w:rPr>
        <w:t>required,</w:t>
      </w:r>
      <w:r w:rsidRPr="00017003">
        <w:rPr>
          <w:rFonts w:cstheme="minorHAnsi"/>
        </w:rPr>
        <w:t xml:space="preserve"> </w:t>
      </w:r>
      <w:r w:rsidRPr="00EF1185">
        <w:rPr>
          <w:rFonts w:cstheme="minorHAnsi"/>
          <w:spacing w:val="-1"/>
        </w:rPr>
        <w:t xml:space="preserve">EPA’s </w:t>
      </w:r>
      <w:r w:rsidRPr="00635995">
        <w:rPr>
          <w:rFonts w:cstheme="minorHAnsi"/>
          <w:b/>
          <w:bCs/>
          <w:spacing w:val="-1"/>
        </w:rPr>
        <w:t>MERPs Guidance</w:t>
      </w:r>
      <w:r w:rsidR="00EF1185" w:rsidRPr="00635995">
        <w:rPr>
          <w:rFonts w:cstheme="minorHAnsi"/>
          <w:b/>
          <w:bCs/>
          <w:spacing w:val="-1"/>
        </w:rPr>
        <w:t xml:space="preserve"> </w:t>
      </w:r>
      <w:r w:rsidRPr="00635995">
        <w:rPr>
          <w:rFonts w:cstheme="minorHAnsi"/>
          <w:b/>
          <w:bCs/>
          <w:spacing w:val="-1"/>
        </w:rPr>
        <w:t>should</w:t>
      </w:r>
      <w:r w:rsidR="0087166D" w:rsidRPr="00635995">
        <w:rPr>
          <w:rFonts w:cstheme="minorHAnsi"/>
          <w:b/>
          <w:bCs/>
          <w:spacing w:val="-1"/>
        </w:rPr>
        <w:t xml:space="preserve"> </w:t>
      </w:r>
      <w:r w:rsidRPr="00635995">
        <w:rPr>
          <w:rFonts w:cstheme="minorHAnsi"/>
          <w:b/>
          <w:bCs/>
          <w:spacing w:val="-1"/>
        </w:rPr>
        <w:lastRenderedPageBreak/>
        <w:t xml:space="preserve">be </w:t>
      </w:r>
      <w:r w:rsidRPr="00017003">
        <w:rPr>
          <w:rFonts w:cstheme="minorHAnsi"/>
          <w:spacing w:val="-1"/>
        </w:rPr>
        <w:t>followed</w:t>
      </w:r>
      <w:r w:rsidRPr="00017003">
        <w:rPr>
          <w:rFonts w:cstheme="minorHAnsi"/>
        </w:rPr>
        <w:t xml:space="preserve"> in addition to CT DEEP </w:t>
      </w:r>
      <w:proofErr w:type="gramStart"/>
      <w:r w:rsidRPr="00017003">
        <w:rPr>
          <w:rFonts w:cstheme="minorHAnsi"/>
          <w:spacing w:val="-1"/>
        </w:rPr>
        <w:t>consultation</w:t>
      </w:r>
      <w:proofErr w:type="gramEnd"/>
      <w:r w:rsidRPr="00017003">
        <w:rPr>
          <w:rFonts w:cstheme="minorHAnsi"/>
        </w:rPr>
        <w:t xml:space="preserve"> </w:t>
      </w:r>
    </w:p>
    <w:p w14:paraId="500854AC" w14:textId="00DA386F" w:rsidR="00596D57" w:rsidRPr="00E43542" w:rsidRDefault="00DE41B2" w:rsidP="00E21EDD">
      <w:pPr>
        <w:pStyle w:val="BodyText"/>
        <w:numPr>
          <w:ilvl w:val="0"/>
          <w:numId w:val="16"/>
        </w:numPr>
        <w:spacing w:line="252" w:lineRule="auto"/>
        <w:ind w:left="270" w:right="283"/>
        <w:jc w:val="left"/>
        <w:rPr>
          <w:rFonts w:asciiTheme="minorHAnsi" w:hAnsiTheme="minorHAnsi" w:cstheme="minorHAnsi"/>
        </w:rPr>
      </w:pPr>
      <w:r w:rsidRPr="00E43542">
        <w:rPr>
          <w:rFonts w:asciiTheme="minorHAnsi" w:hAnsiTheme="minorHAnsi" w:cstheme="minorHAnsi"/>
          <w:b/>
          <w:bCs/>
          <w:spacing w:val="-1"/>
          <w:sz w:val="28"/>
          <w:szCs w:val="28"/>
        </w:rPr>
        <w:t>Modeling Domain and Receptors</w:t>
      </w:r>
    </w:p>
    <w:p w14:paraId="6AA52778" w14:textId="3EE47CCC" w:rsidR="00596D57" w:rsidRPr="00635995" w:rsidRDefault="00596D57" w:rsidP="00E21EDD">
      <w:pPr>
        <w:pStyle w:val="BodyText"/>
        <w:numPr>
          <w:ilvl w:val="1"/>
          <w:numId w:val="22"/>
        </w:numPr>
        <w:jc w:val="left"/>
        <w:rPr>
          <w:rFonts w:asciiTheme="minorHAnsi" w:eastAsiaTheme="minorHAnsi" w:hAnsiTheme="minorHAnsi" w:cstheme="minorHAnsi"/>
          <w:sz w:val="22"/>
        </w:rPr>
      </w:pPr>
      <w:r w:rsidRPr="00635995">
        <w:rPr>
          <w:rFonts w:asciiTheme="minorHAnsi" w:hAnsiTheme="minorHAnsi" w:cstheme="minorHAnsi"/>
          <w:spacing w:val="-1"/>
          <w:sz w:val="22"/>
        </w:rPr>
        <w:t>Scaled</w:t>
      </w:r>
      <w:r w:rsidRPr="00635995">
        <w:rPr>
          <w:rFonts w:asciiTheme="minorHAnsi" w:hAnsiTheme="minorHAnsi" w:cstheme="minorHAnsi"/>
          <w:sz w:val="22"/>
        </w:rPr>
        <w:t xml:space="preserve"> </w:t>
      </w:r>
      <w:r w:rsidRPr="00635995">
        <w:rPr>
          <w:rFonts w:asciiTheme="minorHAnsi" w:hAnsiTheme="minorHAnsi" w:cstheme="minorHAnsi"/>
          <w:spacing w:val="-1"/>
          <w:sz w:val="22"/>
        </w:rPr>
        <w:t>maps</w:t>
      </w:r>
      <w:r w:rsidRPr="00635995">
        <w:rPr>
          <w:rFonts w:asciiTheme="minorHAnsi" w:hAnsiTheme="minorHAnsi" w:cstheme="minorHAnsi"/>
          <w:sz w:val="22"/>
        </w:rPr>
        <w:t xml:space="preserve"> of</w:t>
      </w:r>
      <w:r w:rsidRPr="00635995">
        <w:rPr>
          <w:rFonts w:asciiTheme="minorHAnsi" w:hAnsiTheme="minorHAnsi" w:cstheme="minorHAnsi"/>
          <w:spacing w:val="-1"/>
          <w:sz w:val="22"/>
        </w:rPr>
        <w:t xml:space="preserve"> </w:t>
      </w:r>
      <w:r w:rsidRPr="00635995">
        <w:rPr>
          <w:rFonts w:asciiTheme="minorHAnsi" w:hAnsiTheme="minorHAnsi" w:cstheme="minorHAnsi"/>
          <w:sz w:val="22"/>
        </w:rPr>
        <w:t>nearby</w:t>
      </w:r>
      <w:r w:rsidRPr="00635995">
        <w:rPr>
          <w:rFonts w:asciiTheme="minorHAnsi" w:hAnsiTheme="minorHAnsi" w:cstheme="minorHAnsi"/>
          <w:spacing w:val="-5"/>
          <w:sz w:val="22"/>
        </w:rPr>
        <w:t xml:space="preserve"> </w:t>
      </w:r>
      <w:r w:rsidRPr="00635995">
        <w:rPr>
          <w:rFonts w:asciiTheme="minorHAnsi" w:hAnsiTheme="minorHAnsi" w:cstheme="minorHAnsi"/>
          <w:spacing w:val="-1"/>
          <w:sz w:val="22"/>
        </w:rPr>
        <w:t>terrain</w:t>
      </w:r>
      <w:r w:rsidRPr="00635995">
        <w:rPr>
          <w:rFonts w:asciiTheme="minorHAnsi" w:hAnsiTheme="minorHAnsi" w:cstheme="minorHAnsi"/>
          <w:sz w:val="22"/>
        </w:rPr>
        <w:t xml:space="preserve"> showing</w:t>
      </w:r>
      <w:r w:rsidRPr="00635995">
        <w:rPr>
          <w:rFonts w:asciiTheme="minorHAnsi" w:hAnsiTheme="minorHAnsi" w:cstheme="minorHAnsi"/>
          <w:spacing w:val="-3"/>
          <w:sz w:val="22"/>
        </w:rPr>
        <w:t xml:space="preserve"> </w:t>
      </w:r>
      <w:r w:rsidRPr="00635995">
        <w:rPr>
          <w:rFonts w:asciiTheme="minorHAnsi" w:hAnsiTheme="minorHAnsi" w:cstheme="minorHAnsi"/>
          <w:spacing w:val="-1"/>
          <w:sz w:val="22"/>
        </w:rPr>
        <w:t>areas</w:t>
      </w:r>
      <w:r w:rsidRPr="00635995">
        <w:rPr>
          <w:rFonts w:asciiTheme="minorHAnsi" w:hAnsiTheme="minorHAnsi" w:cstheme="minorHAnsi"/>
          <w:sz w:val="22"/>
        </w:rPr>
        <w:t xml:space="preserve"> of</w:t>
      </w:r>
      <w:r w:rsidRPr="00635995">
        <w:rPr>
          <w:rFonts w:asciiTheme="minorHAnsi" w:hAnsiTheme="minorHAnsi" w:cstheme="minorHAnsi"/>
          <w:spacing w:val="1"/>
          <w:sz w:val="22"/>
        </w:rPr>
        <w:t xml:space="preserve"> </w:t>
      </w:r>
      <w:r w:rsidRPr="00635995">
        <w:rPr>
          <w:rFonts w:asciiTheme="minorHAnsi" w:hAnsiTheme="minorHAnsi" w:cstheme="minorHAnsi"/>
          <w:sz w:val="22"/>
        </w:rPr>
        <w:t>complex</w:t>
      </w:r>
      <w:r w:rsidRPr="00635995">
        <w:rPr>
          <w:rFonts w:asciiTheme="minorHAnsi" w:hAnsiTheme="minorHAnsi" w:cstheme="minorHAnsi"/>
          <w:spacing w:val="2"/>
          <w:sz w:val="22"/>
        </w:rPr>
        <w:t xml:space="preserve"> </w:t>
      </w:r>
      <w:r w:rsidRPr="00635995">
        <w:rPr>
          <w:rFonts w:asciiTheme="minorHAnsi" w:hAnsiTheme="minorHAnsi" w:cstheme="minorHAnsi"/>
          <w:spacing w:val="-1"/>
          <w:sz w:val="22"/>
        </w:rPr>
        <w:t>terrain.</w:t>
      </w:r>
    </w:p>
    <w:p w14:paraId="5CE81064" w14:textId="5E94862F" w:rsidR="00596D57" w:rsidRPr="00635995" w:rsidRDefault="00596D57" w:rsidP="00E21EDD">
      <w:pPr>
        <w:pStyle w:val="BodyText"/>
        <w:numPr>
          <w:ilvl w:val="1"/>
          <w:numId w:val="22"/>
        </w:numPr>
        <w:jc w:val="left"/>
        <w:rPr>
          <w:rFonts w:asciiTheme="minorHAnsi" w:hAnsiTheme="minorHAnsi" w:cstheme="minorHAnsi"/>
          <w:sz w:val="22"/>
        </w:rPr>
      </w:pPr>
      <w:r w:rsidRPr="00635995">
        <w:rPr>
          <w:rFonts w:asciiTheme="minorHAnsi" w:hAnsiTheme="minorHAnsi" w:cstheme="minorHAnsi"/>
          <w:sz w:val="22"/>
        </w:rPr>
        <w:t>Plot of</w:t>
      </w:r>
      <w:r w:rsidRPr="00635995">
        <w:rPr>
          <w:rFonts w:asciiTheme="minorHAnsi" w:hAnsiTheme="minorHAnsi" w:cstheme="minorHAnsi"/>
          <w:spacing w:val="-1"/>
          <w:sz w:val="22"/>
        </w:rPr>
        <w:t xml:space="preserve"> receptor</w:t>
      </w:r>
      <w:r w:rsidRPr="00635995">
        <w:rPr>
          <w:rFonts w:asciiTheme="minorHAnsi" w:hAnsiTheme="minorHAnsi" w:cstheme="minorHAnsi"/>
          <w:spacing w:val="1"/>
          <w:sz w:val="22"/>
        </w:rPr>
        <w:t xml:space="preserve"> </w:t>
      </w:r>
      <w:r w:rsidRPr="00635995">
        <w:rPr>
          <w:rFonts w:asciiTheme="minorHAnsi" w:hAnsiTheme="minorHAnsi" w:cstheme="minorHAnsi"/>
          <w:spacing w:val="-1"/>
          <w:sz w:val="22"/>
        </w:rPr>
        <w:t xml:space="preserve">grid(s) </w:t>
      </w:r>
      <w:r w:rsidRPr="00635995">
        <w:rPr>
          <w:rFonts w:asciiTheme="minorHAnsi" w:hAnsiTheme="minorHAnsi" w:cstheme="minorHAnsi"/>
          <w:sz w:val="22"/>
        </w:rPr>
        <w:t xml:space="preserve">with </w:t>
      </w:r>
      <w:r w:rsidRPr="00635995">
        <w:rPr>
          <w:rFonts w:asciiTheme="minorHAnsi" w:hAnsiTheme="minorHAnsi" w:cstheme="minorHAnsi"/>
          <w:spacing w:val="-1"/>
          <w:sz w:val="22"/>
        </w:rPr>
        <w:t>corresponding</w:t>
      </w:r>
      <w:r w:rsidRPr="00635995">
        <w:rPr>
          <w:rFonts w:asciiTheme="minorHAnsi" w:hAnsiTheme="minorHAnsi" w:cstheme="minorHAnsi"/>
          <w:spacing w:val="-3"/>
          <w:sz w:val="22"/>
        </w:rPr>
        <w:t xml:space="preserve"> </w:t>
      </w:r>
      <w:r w:rsidRPr="00635995">
        <w:rPr>
          <w:rFonts w:asciiTheme="minorHAnsi" w:hAnsiTheme="minorHAnsi" w:cstheme="minorHAnsi"/>
          <w:spacing w:val="-1"/>
          <w:sz w:val="22"/>
        </w:rPr>
        <w:t>coordinates.</w:t>
      </w:r>
    </w:p>
    <w:p w14:paraId="4DC9B873" w14:textId="02EC9E62" w:rsidR="00596D57" w:rsidRPr="00635995" w:rsidRDefault="00596D57" w:rsidP="00E21EDD">
      <w:pPr>
        <w:pStyle w:val="BodyText"/>
        <w:numPr>
          <w:ilvl w:val="1"/>
          <w:numId w:val="22"/>
        </w:numPr>
        <w:spacing w:line="252" w:lineRule="auto"/>
        <w:ind w:right="555"/>
        <w:jc w:val="left"/>
        <w:rPr>
          <w:rFonts w:asciiTheme="minorHAnsi" w:hAnsiTheme="minorHAnsi" w:cstheme="minorHAnsi"/>
          <w:sz w:val="22"/>
        </w:rPr>
      </w:pPr>
      <w:r w:rsidRPr="00635995">
        <w:rPr>
          <w:rFonts w:asciiTheme="minorHAnsi" w:hAnsiTheme="minorHAnsi" w:cstheme="minorHAnsi"/>
          <w:spacing w:val="-1"/>
          <w:sz w:val="22"/>
        </w:rPr>
        <w:t>Ensure receptors</w:t>
      </w:r>
      <w:r w:rsidRPr="00635995">
        <w:rPr>
          <w:rFonts w:asciiTheme="minorHAnsi" w:hAnsiTheme="minorHAnsi" w:cstheme="minorHAnsi"/>
          <w:spacing w:val="2"/>
          <w:sz w:val="22"/>
        </w:rPr>
        <w:t xml:space="preserve"> </w:t>
      </w:r>
      <w:r w:rsidRPr="00635995">
        <w:rPr>
          <w:rFonts w:asciiTheme="minorHAnsi" w:hAnsiTheme="minorHAnsi" w:cstheme="minorHAnsi"/>
          <w:spacing w:val="-1"/>
          <w:sz w:val="22"/>
        </w:rPr>
        <w:t>are</w:t>
      </w:r>
      <w:r w:rsidRPr="00635995">
        <w:rPr>
          <w:rFonts w:asciiTheme="minorHAnsi" w:hAnsiTheme="minorHAnsi" w:cstheme="minorHAnsi"/>
          <w:spacing w:val="1"/>
          <w:sz w:val="22"/>
        </w:rPr>
        <w:t xml:space="preserve"> </w:t>
      </w:r>
      <w:r w:rsidRPr="00635995">
        <w:rPr>
          <w:rFonts w:asciiTheme="minorHAnsi" w:hAnsiTheme="minorHAnsi" w:cstheme="minorHAnsi"/>
          <w:spacing w:val="-1"/>
          <w:sz w:val="22"/>
        </w:rPr>
        <w:t>appropriately</w:t>
      </w:r>
      <w:r w:rsidRPr="00635995">
        <w:rPr>
          <w:rFonts w:asciiTheme="minorHAnsi" w:hAnsiTheme="minorHAnsi" w:cstheme="minorHAnsi"/>
          <w:spacing w:val="-5"/>
          <w:sz w:val="22"/>
        </w:rPr>
        <w:t xml:space="preserve"> </w:t>
      </w:r>
      <w:r w:rsidRPr="00635995">
        <w:rPr>
          <w:rFonts w:asciiTheme="minorHAnsi" w:hAnsiTheme="minorHAnsi" w:cstheme="minorHAnsi"/>
          <w:sz w:val="22"/>
        </w:rPr>
        <w:t xml:space="preserve">included </w:t>
      </w:r>
      <w:r w:rsidRPr="00635995">
        <w:rPr>
          <w:rFonts w:asciiTheme="minorHAnsi" w:hAnsiTheme="minorHAnsi" w:cstheme="minorHAnsi"/>
          <w:spacing w:val="-1"/>
          <w:sz w:val="22"/>
        </w:rPr>
        <w:t>for</w:t>
      </w:r>
      <w:r w:rsidRPr="00635995">
        <w:rPr>
          <w:rFonts w:asciiTheme="minorHAnsi" w:hAnsiTheme="minorHAnsi" w:cstheme="minorHAnsi"/>
          <w:spacing w:val="1"/>
          <w:sz w:val="22"/>
        </w:rPr>
        <w:t xml:space="preserve"> </w:t>
      </w:r>
      <w:r w:rsidRPr="00635995">
        <w:rPr>
          <w:rFonts w:asciiTheme="minorHAnsi" w:hAnsiTheme="minorHAnsi" w:cstheme="minorHAnsi"/>
          <w:spacing w:val="-1"/>
          <w:sz w:val="22"/>
        </w:rPr>
        <w:t>all</w:t>
      </w:r>
      <w:r w:rsidRPr="00635995">
        <w:rPr>
          <w:rFonts w:asciiTheme="minorHAnsi" w:hAnsiTheme="minorHAnsi" w:cstheme="minorHAnsi"/>
          <w:sz w:val="22"/>
        </w:rPr>
        <w:t xml:space="preserve"> </w:t>
      </w:r>
      <w:r w:rsidRPr="00635995">
        <w:rPr>
          <w:rFonts w:asciiTheme="minorHAnsi" w:hAnsiTheme="minorHAnsi" w:cstheme="minorHAnsi"/>
          <w:spacing w:val="-1"/>
          <w:sz w:val="22"/>
        </w:rPr>
        <w:t xml:space="preserve">accessible </w:t>
      </w:r>
      <w:r w:rsidRPr="00635995">
        <w:rPr>
          <w:rFonts w:asciiTheme="minorHAnsi" w:hAnsiTheme="minorHAnsi" w:cstheme="minorHAnsi"/>
          <w:sz w:val="22"/>
        </w:rPr>
        <w:t>locations</w:t>
      </w:r>
      <w:r w:rsidRPr="00635995">
        <w:rPr>
          <w:rFonts w:asciiTheme="minorHAnsi" w:hAnsiTheme="minorHAnsi" w:cstheme="minorHAnsi"/>
          <w:spacing w:val="75"/>
          <w:sz w:val="22"/>
        </w:rPr>
        <w:t xml:space="preserve"> </w:t>
      </w:r>
      <w:r w:rsidRPr="00635995">
        <w:rPr>
          <w:rFonts w:asciiTheme="minorHAnsi" w:hAnsiTheme="minorHAnsi" w:cstheme="minorHAnsi"/>
          <w:spacing w:val="-1"/>
          <w:sz w:val="22"/>
        </w:rPr>
        <w:t>(ambient</w:t>
      </w:r>
      <w:r w:rsidRPr="00635995">
        <w:rPr>
          <w:rFonts w:asciiTheme="minorHAnsi" w:hAnsiTheme="minorHAnsi" w:cstheme="minorHAnsi"/>
          <w:sz w:val="22"/>
        </w:rPr>
        <w:t xml:space="preserve"> </w:t>
      </w:r>
      <w:r w:rsidRPr="00635995">
        <w:rPr>
          <w:rFonts w:asciiTheme="minorHAnsi" w:hAnsiTheme="minorHAnsi" w:cstheme="minorHAnsi"/>
          <w:spacing w:val="-1"/>
          <w:sz w:val="22"/>
        </w:rPr>
        <w:t>air).</w:t>
      </w:r>
    </w:p>
    <w:p w14:paraId="4EB5F1BD" w14:textId="4A84B8E4" w:rsidR="00596D57" w:rsidRPr="00635995" w:rsidRDefault="00596D57" w:rsidP="00E21EDD">
      <w:pPr>
        <w:pStyle w:val="BodyText"/>
        <w:numPr>
          <w:ilvl w:val="1"/>
          <w:numId w:val="22"/>
        </w:numPr>
        <w:jc w:val="left"/>
        <w:rPr>
          <w:rFonts w:asciiTheme="minorHAnsi" w:hAnsiTheme="minorHAnsi" w:cstheme="minorHAnsi"/>
          <w:sz w:val="22"/>
        </w:rPr>
      </w:pPr>
      <w:r w:rsidRPr="00635995">
        <w:rPr>
          <w:rFonts w:asciiTheme="minorHAnsi" w:hAnsiTheme="minorHAnsi" w:cstheme="minorHAnsi"/>
          <w:spacing w:val="-1"/>
          <w:sz w:val="22"/>
        </w:rPr>
        <w:t xml:space="preserve">Receptor coordinate </w:t>
      </w:r>
      <w:r w:rsidRPr="00635995">
        <w:rPr>
          <w:rFonts w:asciiTheme="minorHAnsi" w:hAnsiTheme="minorHAnsi" w:cstheme="minorHAnsi"/>
          <w:sz w:val="22"/>
        </w:rPr>
        <w:t xml:space="preserve">system </w:t>
      </w:r>
      <w:r w:rsidRPr="00635995">
        <w:rPr>
          <w:rFonts w:asciiTheme="minorHAnsi" w:hAnsiTheme="minorHAnsi" w:cstheme="minorHAnsi"/>
          <w:spacing w:val="-1"/>
          <w:sz w:val="22"/>
        </w:rPr>
        <w:t>consistent</w:t>
      </w:r>
      <w:r w:rsidRPr="00635995">
        <w:rPr>
          <w:rFonts w:asciiTheme="minorHAnsi" w:hAnsiTheme="minorHAnsi" w:cstheme="minorHAnsi"/>
          <w:sz w:val="22"/>
        </w:rPr>
        <w:t xml:space="preserve"> </w:t>
      </w:r>
      <w:r w:rsidRPr="00635995">
        <w:rPr>
          <w:rFonts w:asciiTheme="minorHAnsi" w:hAnsiTheme="minorHAnsi" w:cstheme="minorHAnsi"/>
          <w:spacing w:val="-1"/>
          <w:sz w:val="22"/>
        </w:rPr>
        <w:t>with</w:t>
      </w:r>
      <w:r w:rsidRPr="00635995">
        <w:rPr>
          <w:rFonts w:asciiTheme="minorHAnsi" w:hAnsiTheme="minorHAnsi" w:cstheme="minorHAnsi"/>
          <w:sz w:val="22"/>
        </w:rPr>
        <w:t xml:space="preserve"> source</w:t>
      </w:r>
      <w:r w:rsidRPr="00635995">
        <w:rPr>
          <w:rFonts w:asciiTheme="minorHAnsi" w:hAnsiTheme="minorHAnsi" w:cstheme="minorHAnsi"/>
          <w:spacing w:val="-1"/>
          <w:sz w:val="22"/>
        </w:rPr>
        <w:t xml:space="preserve"> coordinate system?</w:t>
      </w:r>
    </w:p>
    <w:p w14:paraId="3507B0F5" w14:textId="60B5F1DF" w:rsidR="00596D57" w:rsidRPr="00635995" w:rsidRDefault="00596D57" w:rsidP="00E21EDD">
      <w:pPr>
        <w:pStyle w:val="BodyText"/>
        <w:numPr>
          <w:ilvl w:val="1"/>
          <w:numId w:val="22"/>
        </w:numPr>
        <w:spacing w:line="252" w:lineRule="auto"/>
        <w:ind w:right="358"/>
        <w:jc w:val="left"/>
        <w:rPr>
          <w:rFonts w:asciiTheme="minorHAnsi" w:hAnsiTheme="minorHAnsi" w:cstheme="minorHAnsi"/>
          <w:sz w:val="22"/>
        </w:rPr>
      </w:pPr>
      <w:r w:rsidRPr="00635995">
        <w:rPr>
          <w:rFonts w:asciiTheme="minorHAnsi" w:hAnsiTheme="minorHAnsi" w:cstheme="minorHAnsi"/>
          <w:spacing w:val="-1"/>
          <w:sz w:val="22"/>
        </w:rPr>
        <w:t xml:space="preserve">Fence </w:t>
      </w:r>
      <w:r w:rsidRPr="00635995">
        <w:rPr>
          <w:rFonts w:asciiTheme="minorHAnsi" w:hAnsiTheme="minorHAnsi" w:cstheme="minorHAnsi"/>
          <w:sz w:val="22"/>
        </w:rPr>
        <w:t>line</w:t>
      </w:r>
      <w:r w:rsidRPr="00635995">
        <w:rPr>
          <w:rFonts w:asciiTheme="minorHAnsi" w:hAnsiTheme="minorHAnsi" w:cstheme="minorHAnsi"/>
          <w:spacing w:val="-1"/>
          <w:sz w:val="22"/>
        </w:rPr>
        <w:t xml:space="preserve"> receptors</w:t>
      </w:r>
      <w:r w:rsidRPr="00635995">
        <w:rPr>
          <w:rFonts w:asciiTheme="minorHAnsi" w:hAnsiTheme="minorHAnsi" w:cstheme="minorHAnsi"/>
          <w:sz w:val="22"/>
        </w:rPr>
        <w:t xml:space="preserve"> </w:t>
      </w:r>
      <w:r w:rsidRPr="00635995">
        <w:rPr>
          <w:rFonts w:asciiTheme="minorHAnsi" w:hAnsiTheme="minorHAnsi" w:cstheme="minorHAnsi"/>
          <w:spacing w:val="-1"/>
          <w:sz w:val="22"/>
        </w:rPr>
        <w:t>with</w:t>
      </w:r>
      <w:r w:rsidRPr="00635995">
        <w:rPr>
          <w:rFonts w:asciiTheme="minorHAnsi" w:hAnsiTheme="minorHAnsi" w:cstheme="minorHAnsi"/>
          <w:spacing w:val="2"/>
          <w:sz w:val="22"/>
        </w:rPr>
        <w:t xml:space="preserve"> </w:t>
      </w:r>
      <w:r w:rsidRPr="00635995">
        <w:rPr>
          <w:rFonts w:asciiTheme="minorHAnsi" w:hAnsiTheme="minorHAnsi" w:cstheme="minorHAnsi"/>
          <w:sz w:val="22"/>
        </w:rPr>
        <w:t>appropriately</w:t>
      </w:r>
      <w:r w:rsidRPr="00635995">
        <w:rPr>
          <w:rFonts w:asciiTheme="minorHAnsi" w:hAnsiTheme="minorHAnsi" w:cstheme="minorHAnsi"/>
          <w:spacing w:val="-5"/>
          <w:sz w:val="22"/>
        </w:rPr>
        <w:t xml:space="preserve"> </w:t>
      </w:r>
      <w:r w:rsidRPr="00635995">
        <w:rPr>
          <w:rFonts w:asciiTheme="minorHAnsi" w:hAnsiTheme="minorHAnsi" w:cstheme="minorHAnsi"/>
          <w:spacing w:val="-1"/>
          <w:sz w:val="22"/>
        </w:rPr>
        <w:t xml:space="preserve">representative </w:t>
      </w:r>
      <w:r w:rsidRPr="00635995">
        <w:rPr>
          <w:rFonts w:asciiTheme="minorHAnsi" w:hAnsiTheme="minorHAnsi" w:cstheme="minorHAnsi"/>
          <w:sz w:val="22"/>
        </w:rPr>
        <w:t>spacing</w:t>
      </w:r>
      <w:r w:rsidRPr="00635995">
        <w:rPr>
          <w:rFonts w:asciiTheme="minorHAnsi" w:hAnsiTheme="minorHAnsi" w:cstheme="minorHAnsi"/>
          <w:spacing w:val="-3"/>
          <w:sz w:val="22"/>
        </w:rPr>
        <w:t xml:space="preserve"> </w:t>
      </w:r>
      <w:r w:rsidRPr="00635995">
        <w:rPr>
          <w:rFonts w:asciiTheme="minorHAnsi" w:hAnsiTheme="minorHAnsi" w:cstheme="minorHAnsi"/>
          <w:spacing w:val="-1"/>
          <w:sz w:val="22"/>
        </w:rPr>
        <w:t>(</w:t>
      </w:r>
      <w:r w:rsidRPr="00635995">
        <w:rPr>
          <w:rFonts w:asciiTheme="minorHAnsi" w:hAnsiTheme="minorHAnsi" w:cstheme="minorHAnsi"/>
          <w:i/>
          <w:iCs/>
          <w:spacing w:val="-1"/>
          <w:sz w:val="22"/>
        </w:rPr>
        <w:t>e.g.</w:t>
      </w:r>
      <w:r w:rsidRPr="00635995">
        <w:rPr>
          <w:rFonts w:asciiTheme="minorHAnsi" w:hAnsiTheme="minorHAnsi" w:cstheme="minorHAnsi"/>
          <w:spacing w:val="-1"/>
          <w:sz w:val="22"/>
        </w:rPr>
        <w:t>,</w:t>
      </w:r>
      <w:r w:rsidRPr="00635995">
        <w:rPr>
          <w:rFonts w:asciiTheme="minorHAnsi" w:hAnsiTheme="minorHAnsi" w:cstheme="minorHAnsi"/>
          <w:sz w:val="22"/>
        </w:rPr>
        <w:t xml:space="preserve"> no</w:t>
      </w:r>
      <w:r w:rsidRPr="00635995">
        <w:rPr>
          <w:rFonts w:asciiTheme="minorHAnsi" w:hAnsiTheme="minorHAnsi" w:cstheme="minorHAnsi"/>
          <w:spacing w:val="2"/>
          <w:sz w:val="22"/>
        </w:rPr>
        <w:t xml:space="preserve"> </w:t>
      </w:r>
      <w:r w:rsidRPr="00635995">
        <w:rPr>
          <w:rFonts w:asciiTheme="minorHAnsi" w:hAnsiTheme="minorHAnsi" w:cstheme="minorHAnsi"/>
          <w:spacing w:val="-1"/>
          <w:sz w:val="22"/>
        </w:rPr>
        <w:t>greater than</w:t>
      </w:r>
      <w:r w:rsidRPr="00635995">
        <w:rPr>
          <w:rFonts w:asciiTheme="minorHAnsi" w:hAnsiTheme="minorHAnsi" w:cstheme="minorHAnsi"/>
          <w:spacing w:val="75"/>
          <w:sz w:val="22"/>
        </w:rPr>
        <w:t xml:space="preserve"> </w:t>
      </w:r>
      <w:r w:rsidRPr="00635995">
        <w:rPr>
          <w:rFonts w:asciiTheme="minorHAnsi" w:hAnsiTheme="minorHAnsi" w:cstheme="minorHAnsi"/>
          <w:sz w:val="22"/>
        </w:rPr>
        <w:t>25m)</w:t>
      </w:r>
    </w:p>
    <w:p w14:paraId="031C83EB" w14:textId="3F0CF032" w:rsidR="00596D57" w:rsidRPr="00635995" w:rsidRDefault="00596D57" w:rsidP="00E21EDD">
      <w:pPr>
        <w:pStyle w:val="BodyText"/>
        <w:numPr>
          <w:ilvl w:val="1"/>
          <w:numId w:val="22"/>
        </w:numPr>
        <w:jc w:val="left"/>
        <w:rPr>
          <w:rFonts w:asciiTheme="minorHAnsi" w:hAnsiTheme="minorHAnsi" w:cstheme="minorHAnsi"/>
          <w:sz w:val="22"/>
        </w:rPr>
      </w:pPr>
      <w:r w:rsidRPr="00635995">
        <w:rPr>
          <w:rFonts w:asciiTheme="minorHAnsi" w:hAnsiTheme="minorHAnsi" w:cstheme="minorHAnsi"/>
          <w:spacing w:val="-1"/>
          <w:sz w:val="22"/>
        </w:rPr>
        <w:t>Discrete receptors</w:t>
      </w:r>
      <w:r w:rsidRPr="00635995">
        <w:rPr>
          <w:rFonts w:asciiTheme="minorHAnsi" w:hAnsiTheme="minorHAnsi" w:cstheme="minorHAnsi"/>
          <w:sz w:val="22"/>
        </w:rPr>
        <w:t xml:space="preserve"> </w:t>
      </w:r>
      <w:r w:rsidRPr="00635995">
        <w:rPr>
          <w:rFonts w:asciiTheme="minorHAnsi" w:hAnsiTheme="minorHAnsi" w:cstheme="minorHAnsi"/>
          <w:spacing w:val="-1"/>
          <w:sz w:val="22"/>
        </w:rPr>
        <w:t>placed</w:t>
      </w:r>
      <w:r w:rsidRPr="00635995">
        <w:rPr>
          <w:rFonts w:asciiTheme="minorHAnsi" w:hAnsiTheme="minorHAnsi" w:cstheme="minorHAnsi"/>
          <w:spacing w:val="2"/>
          <w:sz w:val="22"/>
        </w:rPr>
        <w:t xml:space="preserve"> </w:t>
      </w:r>
      <w:r w:rsidRPr="00635995">
        <w:rPr>
          <w:rFonts w:asciiTheme="minorHAnsi" w:hAnsiTheme="minorHAnsi" w:cstheme="minorHAnsi"/>
          <w:sz w:val="22"/>
        </w:rPr>
        <w:t xml:space="preserve">in </w:t>
      </w:r>
      <w:r w:rsidRPr="00635995">
        <w:rPr>
          <w:rFonts w:asciiTheme="minorHAnsi" w:hAnsiTheme="minorHAnsi" w:cstheme="minorHAnsi"/>
          <w:spacing w:val="-1"/>
          <w:sz w:val="22"/>
        </w:rPr>
        <w:t>sensitive areas</w:t>
      </w:r>
      <w:r w:rsidRPr="00635995">
        <w:rPr>
          <w:rFonts w:asciiTheme="minorHAnsi" w:hAnsiTheme="minorHAnsi" w:cstheme="minorHAnsi"/>
          <w:spacing w:val="2"/>
          <w:sz w:val="22"/>
        </w:rPr>
        <w:t xml:space="preserve"> </w:t>
      </w:r>
      <w:r w:rsidRPr="00635995">
        <w:rPr>
          <w:rFonts w:asciiTheme="minorHAnsi" w:hAnsiTheme="minorHAnsi" w:cstheme="minorHAnsi"/>
          <w:spacing w:val="-1"/>
          <w:sz w:val="22"/>
        </w:rPr>
        <w:t>and/or</w:t>
      </w:r>
      <w:r w:rsidRPr="00635995">
        <w:rPr>
          <w:rFonts w:asciiTheme="minorHAnsi" w:hAnsiTheme="minorHAnsi" w:cstheme="minorHAnsi"/>
          <w:spacing w:val="1"/>
          <w:sz w:val="22"/>
        </w:rPr>
        <w:t xml:space="preserve"> </w:t>
      </w:r>
      <w:r w:rsidRPr="00635995">
        <w:rPr>
          <w:rFonts w:asciiTheme="minorHAnsi" w:hAnsiTheme="minorHAnsi" w:cstheme="minorHAnsi"/>
          <w:spacing w:val="-1"/>
          <w:sz w:val="22"/>
        </w:rPr>
        <w:t>above</w:t>
      </w:r>
      <w:r w:rsidRPr="00635995">
        <w:rPr>
          <w:rFonts w:asciiTheme="minorHAnsi" w:hAnsiTheme="minorHAnsi" w:cstheme="minorHAnsi"/>
          <w:spacing w:val="1"/>
          <w:sz w:val="22"/>
        </w:rPr>
        <w:t xml:space="preserve"> </w:t>
      </w:r>
      <w:r w:rsidRPr="00635995">
        <w:rPr>
          <w:rFonts w:asciiTheme="minorHAnsi" w:hAnsiTheme="minorHAnsi" w:cstheme="minorHAnsi"/>
          <w:spacing w:val="-1"/>
          <w:sz w:val="22"/>
        </w:rPr>
        <w:t>ground</w:t>
      </w:r>
      <w:r w:rsidRPr="00635995">
        <w:rPr>
          <w:rFonts w:asciiTheme="minorHAnsi" w:hAnsiTheme="minorHAnsi" w:cstheme="minorHAnsi"/>
          <w:sz w:val="22"/>
        </w:rPr>
        <w:t xml:space="preserve"> </w:t>
      </w:r>
      <w:r w:rsidRPr="00635995">
        <w:rPr>
          <w:rFonts w:asciiTheme="minorHAnsi" w:hAnsiTheme="minorHAnsi" w:cstheme="minorHAnsi"/>
          <w:spacing w:val="-1"/>
          <w:sz w:val="22"/>
        </w:rPr>
        <w:t>(flagpole)</w:t>
      </w:r>
      <w:r w:rsidRPr="00635995">
        <w:rPr>
          <w:rFonts w:asciiTheme="minorHAnsi" w:hAnsiTheme="minorHAnsi" w:cstheme="minorHAnsi"/>
          <w:spacing w:val="1"/>
          <w:sz w:val="22"/>
        </w:rPr>
        <w:t xml:space="preserve"> </w:t>
      </w:r>
      <w:r w:rsidRPr="00635995">
        <w:rPr>
          <w:rFonts w:asciiTheme="minorHAnsi" w:hAnsiTheme="minorHAnsi" w:cstheme="minorHAnsi"/>
          <w:spacing w:val="-1"/>
          <w:sz w:val="22"/>
        </w:rPr>
        <w:t>used?</w:t>
      </w:r>
    </w:p>
    <w:p w14:paraId="77FD8AD6" w14:textId="6E67957D" w:rsidR="00596D57" w:rsidRPr="00635995" w:rsidRDefault="00596D57" w:rsidP="00E21EDD">
      <w:pPr>
        <w:pStyle w:val="BodyText"/>
        <w:numPr>
          <w:ilvl w:val="1"/>
          <w:numId w:val="22"/>
        </w:numPr>
        <w:jc w:val="left"/>
        <w:rPr>
          <w:rFonts w:asciiTheme="minorHAnsi" w:hAnsiTheme="minorHAnsi" w:cstheme="minorHAnsi"/>
          <w:sz w:val="22"/>
        </w:rPr>
      </w:pPr>
      <w:r w:rsidRPr="00635995">
        <w:rPr>
          <w:rFonts w:asciiTheme="minorHAnsi" w:hAnsiTheme="minorHAnsi" w:cstheme="minorHAnsi"/>
          <w:spacing w:val="-1"/>
          <w:sz w:val="22"/>
        </w:rPr>
        <w:t>Terrain</w:t>
      </w:r>
      <w:r w:rsidRPr="00635995">
        <w:rPr>
          <w:rFonts w:asciiTheme="minorHAnsi" w:hAnsiTheme="minorHAnsi" w:cstheme="minorHAnsi"/>
          <w:sz w:val="22"/>
        </w:rPr>
        <w:t xml:space="preserve"> data</w:t>
      </w:r>
      <w:r w:rsidRPr="00635995">
        <w:rPr>
          <w:rFonts w:asciiTheme="minorHAnsi" w:hAnsiTheme="minorHAnsi" w:cstheme="minorHAnsi"/>
          <w:spacing w:val="-1"/>
          <w:sz w:val="22"/>
        </w:rPr>
        <w:t xml:space="preserve"> </w:t>
      </w:r>
      <w:r w:rsidRPr="00635995">
        <w:rPr>
          <w:rFonts w:asciiTheme="minorHAnsi" w:hAnsiTheme="minorHAnsi" w:cstheme="minorHAnsi"/>
          <w:sz w:val="22"/>
        </w:rPr>
        <w:t>to be</w:t>
      </w:r>
      <w:r w:rsidRPr="00635995">
        <w:rPr>
          <w:rFonts w:asciiTheme="minorHAnsi" w:hAnsiTheme="minorHAnsi" w:cstheme="minorHAnsi"/>
          <w:spacing w:val="-1"/>
          <w:sz w:val="22"/>
        </w:rPr>
        <w:t xml:space="preserve"> used</w:t>
      </w:r>
      <w:r w:rsidRPr="00635995">
        <w:rPr>
          <w:rFonts w:asciiTheme="minorHAnsi" w:hAnsiTheme="minorHAnsi" w:cstheme="minorHAnsi"/>
          <w:sz w:val="22"/>
        </w:rPr>
        <w:t xml:space="preserve"> –</w:t>
      </w:r>
      <w:r w:rsidRPr="00635995">
        <w:rPr>
          <w:rFonts w:asciiTheme="minorHAnsi" w:hAnsiTheme="minorHAnsi" w:cstheme="minorHAnsi"/>
          <w:spacing w:val="2"/>
          <w:sz w:val="22"/>
        </w:rPr>
        <w:t xml:space="preserve"> </w:t>
      </w:r>
      <w:r w:rsidRPr="00635995">
        <w:rPr>
          <w:rFonts w:asciiTheme="minorHAnsi" w:hAnsiTheme="minorHAnsi" w:cstheme="minorHAnsi"/>
          <w:spacing w:val="-1"/>
          <w:sz w:val="22"/>
        </w:rPr>
        <w:t>latest version of NED and</w:t>
      </w:r>
      <w:r w:rsidRPr="00635995">
        <w:rPr>
          <w:rFonts w:asciiTheme="minorHAnsi" w:hAnsiTheme="minorHAnsi" w:cstheme="minorHAnsi"/>
          <w:sz w:val="22"/>
        </w:rPr>
        <w:t xml:space="preserve"> </w:t>
      </w:r>
      <w:r w:rsidRPr="00635995">
        <w:rPr>
          <w:rFonts w:asciiTheme="minorHAnsi" w:hAnsiTheme="minorHAnsi" w:cstheme="minorHAnsi"/>
          <w:spacing w:val="-1"/>
          <w:sz w:val="22"/>
        </w:rPr>
        <w:t>resolution?</w:t>
      </w:r>
    </w:p>
    <w:p w14:paraId="03A56F37" w14:textId="0AA33448" w:rsidR="00596D57" w:rsidRPr="00635995" w:rsidRDefault="00596D57" w:rsidP="00E21EDD">
      <w:pPr>
        <w:pStyle w:val="BodyText"/>
        <w:numPr>
          <w:ilvl w:val="1"/>
          <w:numId w:val="22"/>
        </w:numPr>
        <w:spacing w:line="252" w:lineRule="auto"/>
        <w:ind w:right="952"/>
        <w:jc w:val="left"/>
        <w:rPr>
          <w:rFonts w:asciiTheme="minorHAnsi" w:hAnsiTheme="minorHAnsi" w:cstheme="minorHAnsi"/>
          <w:sz w:val="22"/>
        </w:rPr>
      </w:pPr>
      <w:r w:rsidRPr="00635995">
        <w:rPr>
          <w:rFonts w:asciiTheme="minorHAnsi" w:hAnsiTheme="minorHAnsi" w:cstheme="minorHAnsi"/>
          <w:spacing w:val="-1"/>
          <w:sz w:val="22"/>
        </w:rPr>
        <w:t>Modeling</w:t>
      </w:r>
      <w:r w:rsidRPr="00635995">
        <w:rPr>
          <w:rFonts w:asciiTheme="minorHAnsi" w:hAnsiTheme="minorHAnsi" w:cstheme="minorHAnsi"/>
          <w:spacing w:val="-3"/>
          <w:sz w:val="22"/>
        </w:rPr>
        <w:t xml:space="preserve"> </w:t>
      </w:r>
      <w:r w:rsidRPr="00635995">
        <w:rPr>
          <w:rFonts w:asciiTheme="minorHAnsi" w:hAnsiTheme="minorHAnsi" w:cstheme="minorHAnsi"/>
          <w:spacing w:val="-1"/>
          <w:sz w:val="22"/>
        </w:rPr>
        <w:t>domain</w:t>
      </w:r>
      <w:r w:rsidRPr="00635995">
        <w:rPr>
          <w:rFonts w:asciiTheme="minorHAnsi" w:hAnsiTheme="minorHAnsi" w:cstheme="minorHAnsi"/>
          <w:sz w:val="22"/>
        </w:rPr>
        <w:t xml:space="preserve"> includes </w:t>
      </w:r>
      <w:r w:rsidRPr="00635995">
        <w:rPr>
          <w:rFonts w:asciiTheme="minorHAnsi" w:hAnsiTheme="minorHAnsi" w:cstheme="minorHAnsi"/>
          <w:spacing w:val="-1"/>
          <w:sz w:val="22"/>
        </w:rPr>
        <w:t>all</w:t>
      </w:r>
      <w:r w:rsidRPr="00635995">
        <w:rPr>
          <w:rFonts w:asciiTheme="minorHAnsi" w:hAnsiTheme="minorHAnsi" w:cstheme="minorHAnsi"/>
          <w:sz w:val="22"/>
        </w:rPr>
        <w:t xml:space="preserve"> receptors (within the SIA) </w:t>
      </w:r>
      <w:r w:rsidRPr="00635995">
        <w:rPr>
          <w:rFonts w:asciiTheme="minorHAnsi" w:hAnsiTheme="minorHAnsi" w:cstheme="minorHAnsi"/>
          <w:spacing w:val="-1"/>
          <w:sz w:val="22"/>
        </w:rPr>
        <w:t>where emissions</w:t>
      </w:r>
      <w:r w:rsidRPr="00635995">
        <w:rPr>
          <w:rFonts w:asciiTheme="minorHAnsi" w:hAnsiTheme="minorHAnsi" w:cstheme="minorHAnsi"/>
          <w:sz w:val="22"/>
        </w:rPr>
        <w:t xml:space="preserve"> </w:t>
      </w:r>
      <w:r w:rsidRPr="00635995">
        <w:rPr>
          <w:rFonts w:asciiTheme="minorHAnsi" w:hAnsiTheme="minorHAnsi" w:cstheme="minorHAnsi"/>
          <w:spacing w:val="-1"/>
          <w:sz w:val="22"/>
        </w:rPr>
        <w:t>from</w:t>
      </w:r>
      <w:r w:rsidRPr="00635995">
        <w:rPr>
          <w:rFonts w:asciiTheme="minorHAnsi" w:hAnsiTheme="minorHAnsi" w:cstheme="minorHAnsi"/>
          <w:sz w:val="22"/>
        </w:rPr>
        <w:t xml:space="preserve"> the</w:t>
      </w:r>
      <w:r w:rsidRPr="00635995">
        <w:rPr>
          <w:rFonts w:asciiTheme="minorHAnsi" w:hAnsiTheme="minorHAnsi" w:cstheme="minorHAnsi"/>
          <w:spacing w:val="-1"/>
          <w:sz w:val="22"/>
        </w:rPr>
        <w:t xml:space="preserve"> new</w:t>
      </w:r>
      <w:r w:rsidRPr="00635995">
        <w:rPr>
          <w:rFonts w:asciiTheme="minorHAnsi" w:hAnsiTheme="minorHAnsi" w:cstheme="minorHAnsi"/>
          <w:spacing w:val="1"/>
          <w:sz w:val="22"/>
        </w:rPr>
        <w:t xml:space="preserve"> </w:t>
      </w:r>
      <w:r w:rsidRPr="00635995">
        <w:rPr>
          <w:rFonts w:asciiTheme="minorHAnsi" w:hAnsiTheme="minorHAnsi" w:cstheme="minorHAnsi"/>
          <w:sz w:val="22"/>
        </w:rPr>
        <w:t>or</w:t>
      </w:r>
      <w:r w:rsidRPr="00635995">
        <w:rPr>
          <w:rFonts w:asciiTheme="minorHAnsi" w:hAnsiTheme="minorHAnsi" w:cstheme="minorHAnsi"/>
          <w:spacing w:val="75"/>
          <w:sz w:val="22"/>
        </w:rPr>
        <w:t xml:space="preserve"> </w:t>
      </w:r>
      <w:r w:rsidRPr="00635995">
        <w:rPr>
          <w:rFonts w:asciiTheme="minorHAnsi" w:hAnsiTheme="minorHAnsi" w:cstheme="minorHAnsi"/>
          <w:spacing w:val="-1"/>
          <w:sz w:val="22"/>
        </w:rPr>
        <w:t>modifying</w:t>
      </w:r>
      <w:r w:rsidRPr="00635995">
        <w:rPr>
          <w:rFonts w:asciiTheme="minorHAnsi" w:hAnsiTheme="minorHAnsi" w:cstheme="minorHAnsi"/>
          <w:spacing w:val="-3"/>
          <w:sz w:val="22"/>
        </w:rPr>
        <w:t xml:space="preserve"> </w:t>
      </w:r>
      <w:r w:rsidRPr="00635995">
        <w:rPr>
          <w:rFonts w:asciiTheme="minorHAnsi" w:hAnsiTheme="minorHAnsi" w:cstheme="minorHAnsi"/>
          <w:spacing w:val="-1"/>
          <w:sz w:val="22"/>
        </w:rPr>
        <w:t xml:space="preserve">source(s) causes </w:t>
      </w:r>
      <w:r w:rsidRPr="00635995">
        <w:rPr>
          <w:rFonts w:asciiTheme="minorHAnsi" w:hAnsiTheme="minorHAnsi" w:cstheme="minorHAnsi"/>
          <w:sz w:val="22"/>
        </w:rPr>
        <w:t>a</w:t>
      </w:r>
      <w:r w:rsidRPr="00635995">
        <w:rPr>
          <w:rFonts w:asciiTheme="minorHAnsi" w:hAnsiTheme="minorHAnsi" w:cstheme="minorHAnsi"/>
          <w:spacing w:val="-1"/>
          <w:sz w:val="22"/>
        </w:rPr>
        <w:t xml:space="preserve"> significant</w:t>
      </w:r>
      <w:r w:rsidRPr="00635995">
        <w:rPr>
          <w:rFonts w:asciiTheme="minorHAnsi" w:hAnsiTheme="minorHAnsi" w:cstheme="minorHAnsi"/>
          <w:sz w:val="22"/>
        </w:rPr>
        <w:t xml:space="preserve"> ambient </w:t>
      </w:r>
      <w:r w:rsidRPr="00635995">
        <w:rPr>
          <w:rFonts w:asciiTheme="minorHAnsi" w:hAnsiTheme="minorHAnsi" w:cstheme="minorHAnsi"/>
          <w:spacing w:val="-1"/>
          <w:sz w:val="22"/>
        </w:rPr>
        <w:t>impact?</w:t>
      </w:r>
    </w:p>
    <w:p w14:paraId="7CA83D56" w14:textId="717D5713" w:rsidR="00596D57" w:rsidRPr="00E43542" w:rsidRDefault="00C24410" w:rsidP="00E21EDD">
      <w:pPr>
        <w:pStyle w:val="ListParagraph"/>
        <w:numPr>
          <w:ilvl w:val="0"/>
          <w:numId w:val="16"/>
        </w:numPr>
        <w:spacing w:before="240"/>
        <w:ind w:left="270"/>
        <w:jc w:val="left"/>
        <w:rPr>
          <w:rFonts w:cstheme="minorHAnsi"/>
          <w:sz w:val="24"/>
          <w:szCs w:val="24"/>
        </w:rPr>
      </w:pPr>
      <w:bookmarkStart w:id="59" w:name="Background_Concentration"/>
      <w:bookmarkEnd w:id="59"/>
      <w:r w:rsidRPr="00E43542">
        <w:rPr>
          <w:rFonts w:cstheme="minorHAnsi"/>
          <w:b/>
          <w:bCs/>
          <w:sz w:val="28"/>
          <w:szCs w:val="28"/>
        </w:rPr>
        <w:t>Meteorological</w:t>
      </w:r>
      <w:r w:rsidR="00DE41B2" w:rsidRPr="00E43542">
        <w:rPr>
          <w:rFonts w:cstheme="minorHAnsi"/>
          <w:b/>
          <w:bCs/>
          <w:sz w:val="28"/>
          <w:szCs w:val="28"/>
        </w:rPr>
        <w:t xml:space="preserve"> Input Data</w:t>
      </w:r>
      <w:bookmarkStart w:id="60" w:name="Screening_Meteorology"/>
      <w:bookmarkStart w:id="61" w:name="Site-Specific_Meteorology"/>
      <w:bookmarkEnd w:id="60"/>
      <w:bookmarkEnd w:id="61"/>
    </w:p>
    <w:p w14:paraId="5D45FA76" w14:textId="77777777" w:rsidR="00596D57" w:rsidRPr="00017003" w:rsidRDefault="00596D57" w:rsidP="00017003">
      <w:pPr>
        <w:pStyle w:val="BodyText"/>
        <w:numPr>
          <w:ilvl w:val="0"/>
          <w:numId w:val="46"/>
        </w:numPr>
        <w:ind w:right="615"/>
        <w:jc w:val="left"/>
        <w:rPr>
          <w:rFonts w:asciiTheme="minorHAnsi" w:eastAsiaTheme="minorHAnsi" w:hAnsiTheme="minorHAnsi" w:cstheme="minorHAnsi"/>
          <w:sz w:val="22"/>
          <w:szCs w:val="18"/>
        </w:rPr>
      </w:pPr>
      <w:bookmarkStart w:id="62" w:name="NWS_Meteorology"/>
      <w:bookmarkEnd w:id="62"/>
      <w:r w:rsidRPr="00017003">
        <w:rPr>
          <w:rFonts w:asciiTheme="minorHAnsi" w:hAnsiTheme="minorHAnsi" w:cstheme="minorHAnsi"/>
          <w:sz w:val="22"/>
          <w:szCs w:val="18"/>
        </w:rPr>
        <w:t xml:space="preserve">NWS </w:t>
      </w:r>
      <w:r w:rsidRPr="00017003">
        <w:rPr>
          <w:rFonts w:asciiTheme="minorHAnsi" w:hAnsiTheme="minorHAnsi" w:cstheme="minorHAnsi"/>
          <w:spacing w:val="-1"/>
          <w:sz w:val="22"/>
          <w:szCs w:val="18"/>
        </w:rPr>
        <w:t>Meteorology</w:t>
      </w:r>
    </w:p>
    <w:p w14:paraId="60A66233" w14:textId="3DA6D6A2" w:rsidR="00596D57" w:rsidRPr="00017003" w:rsidRDefault="00596D57" w:rsidP="00017003">
      <w:pPr>
        <w:pStyle w:val="BodyText"/>
        <w:numPr>
          <w:ilvl w:val="0"/>
          <w:numId w:val="46"/>
        </w:numPr>
        <w:spacing w:line="252" w:lineRule="auto"/>
        <w:ind w:right="615"/>
        <w:jc w:val="left"/>
        <w:rPr>
          <w:rFonts w:asciiTheme="minorHAnsi" w:hAnsiTheme="minorHAnsi" w:cstheme="minorHAnsi"/>
          <w:sz w:val="22"/>
          <w:szCs w:val="18"/>
        </w:rPr>
      </w:pPr>
      <w:r w:rsidRPr="00017003">
        <w:rPr>
          <w:rFonts w:asciiTheme="minorHAnsi" w:hAnsiTheme="minorHAnsi" w:cstheme="minorHAnsi"/>
          <w:spacing w:val="-1"/>
          <w:sz w:val="22"/>
          <w:szCs w:val="18"/>
        </w:rPr>
        <w:t>Five</w:t>
      </w:r>
      <w:r w:rsidRPr="00017003">
        <w:rPr>
          <w:rFonts w:asciiTheme="minorHAnsi" w:hAnsiTheme="minorHAnsi" w:cstheme="minorHAnsi"/>
          <w:spacing w:val="3"/>
          <w:sz w:val="22"/>
          <w:szCs w:val="18"/>
        </w:rPr>
        <w:t xml:space="preserve"> (5) </w:t>
      </w:r>
      <w:r w:rsidRPr="00017003">
        <w:rPr>
          <w:rFonts w:asciiTheme="minorHAnsi" w:hAnsiTheme="minorHAnsi" w:cstheme="minorHAnsi"/>
          <w:spacing w:val="-2"/>
          <w:sz w:val="22"/>
          <w:szCs w:val="18"/>
        </w:rPr>
        <w:t>years</w:t>
      </w:r>
      <w:r w:rsidRPr="00017003">
        <w:rPr>
          <w:rFonts w:asciiTheme="minorHAnsi" w:hAnsiTheme="minorHAnsi" w:cstheme="minorHAnsi"/>
          <w:sz w:val="22"/>
          <w:szCs w:val="18"/>
        </w:rPr>
        <w:t xml:space="preserve"> of</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representative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 xml:space="preserve">NWS </w:t>
      </w:r>
      <w:r w:rsidRPr="00017003">
        <w:rPr>
          <w:rFonts w:asciiTheme="minorHAnsi" w:hAnsiTheme="minorHAnsi" w:cstheme="minorHAnsi"/>
          <w:spacing w:val="-1"/>
          <w:sz w:val="22"/>
          <w:szCs w:val="18"/>
        </w:rPr>
        <w:t xml:space="preserve">surface </w:t>
      </w:r>
      <w:r w:rsidRPr="00017003">
        <w:rPr>
          <w:rFonts w:asciiTheme="minorHAnsi" w:hAnsiTheme="minorHAnsi" w:cstheme="minorHAnsi"/>
          <w:sz w:val="22"/>
          <w:szCs w:val="18"/>
        </w:rPr>
        <w:t>data</w:t>
      </w:r>
      <w:r w:rsidRPr="00017003">
        <w:rPr>
          <w:rFonts w:asciiTheme="minorHAnsi" w:hAnsiTheme="minorHAnsi" w:cstheme="minorHAnsi"/>
          <w:spacing w:val="-1"/>
          <w:sz w:val="22"/>
          <w:szCs w:val="18"/>
        </w:rPr>
        <w:t xml:space="preserve"> and</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concurrent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representative</w:t>
      </w:r>
      <w:r w:rsidRPr="00017003">
        <w:rPr>
          <w:rFonts w:asciiTheme="minorHAnsi" w:hAnsiTheme="minorHAnsi" w:cstheme="minorHAnsi"/>
          <w:spacing w:val="61"/>
          <w:sz w:val="22"/>
          <w:szCs w:val="18"/>
        </w:rPr>
        <w:t xml:space="preserve"> </w:t>
      </w:r>
      <w:r w:rsidRPr="00017003">
        <w:rPr>
          <w:rFonts w:asciiTheme="minorHAnsi" w:hAnsiTheme="minorHAnsi" w:cstheme="minorHAnsi"/>
          <w:spacing w:val="-1"/>
          <w:sz w:val="22"/>
          <w:szCs w:val="18"/>
        </w:rPr>
        <w:t>upper air data (provided by CT DEEP)</w:t>
      </w:r>
    </w:p>
    <w:p w14:paraId="6A12167E" w14:textId="4484E3B6" w:rsidR="00596D57" w:rsidRPr="00017003" w:rsidRDefault="00596D57" w:rsidP="00017003">
      <w:pPr>
        <w:pStyle w:val="BodyText"/>
        <w:numPr>
          <w:ilvl w:val="0"/>
          <w:numId w:val="46"/>
        </w:numPr>
        <w:spacing w:line="252" w:lineRule="auto"/>
        <w:ind w:right="424"/>
        <w:jc w:val="left"/>
        <w:rPr>
          <w:rFonts w:asciiTheme="minorHAnsi" w:hAnsiTheme="minorHAnsi" w:cstheme="minorHAnsi"/>
          <w:sz w:val="22"/>
          <w:szCs w:val="18"/>
        </w:rPr>
      </w:pPr>
      <w:r w:rsidRPr="00017003">
        <w:rPr>
          <w:rFonts w:asciiTheme="minorHAnsi" w:hAnsiTheme="minorHAnsi" w:cstheme="minorHAnsi"/>
          <w:spacing w:val="-1"/>
          <w:sz w:val="22"/>
          <w:szCs w:val="18"/>
        </w:rPr>
        <w:t>Options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used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for filling</w:t>
      </w:r>
      <w:r w:rsidRPr="00017003">
        <w:rPr>
          <w:rFonts w:asciiTheme="minorHAnsi" w:hAnsiTheme="minorHAnsi" w:cstheme="minorHAnsi"/>
          <w:sz w:val="22"/>
          <w:szCs w:val="18"/>
        </w:rPr>
        <w:t xml:space="preserve"> missing</w:t>
      </w:r>
      <w:r w:rsidRPr="00017003">
        <w:rPr>
          <w:rFonts w:asciiTheme="minorHAnsi" w:hAnsiTheme="minorHAnsi" w:cstheme="minorHAnsi"/>
          <w:spacing w:val="-3"/>
          <w:sz w:val="22"/>
          <w:szCs w:val="18"/>
        </w:rPr>
        <w:t xml:space="preserve"> </w:t>
      </w:r>
      <w:r w:rsidRPr="00017003">
        <w:rPr>
          <w:rFonts w:asciiTheme="minorHAnsi" w:hAnsiTheme="minorHAnsi" w:cstheme="minorHAnsi"/>
          <w:sz w:val="22"/>
          <w:szCs w:val="18"/>
        </w:rPr>
        <w:t xml:space="preserve">NWS </w:t>
      </w:r>
      <w:r w:rsidRPr="00017003">
        <w:rPr>
          <w:rFonts w:asciiTheme="minorHAnsi" w:hAnsiTheme="minorHAnsi" w:cstheme="minorHAnsi"/>
          <w:spacing w:val="-1"/>
          <w:sz w:val="22"/>
          <w:szCs w:val="18"/>
        </w:rPr>
        <w:t>temperature and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cloud</w:t>
      </w:r>
      <w:r w:rsidRPr="00017003">
        <w:rPr>
          <w:rFonts w:asciiTheme="minorHAnsi" w:hAnsiTheme="minorHAnsi" w:cstheme="minorHAnsi"/>
          <w:sz w:val="22"/>
          <w:szCs w:val="18"/>
        </w:rPr>
        <w:t xml:space="preserve"> cover</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(SUB_CC,</w:t>
      </w:r>
      <w:r w:rsidRPr="00017003">
        <w:rPr>
          <w:rFonts w:asciiTheme="minorHAnsi" w:hAnsiTheme="minorHAnsi" w:cstheme="minorHAnsi"/>
          <w:spacing w:val="63"/>
          <w:sz w:val="22"/>
          <w:szCs w:val="18"/>
        </w:rPr>
        <w:t xml:space="preserve"> </w:t>
      </w:r>
      <w:r w:rsidRPr="00017003">
        <w:rPr>
          <w:rFonts w:asciiTheme="minorHAnsi" w:hAnsiTheme="minorHAnsi" w:cstheme="minorHAnsi"/>
          <w:spacing w:val="-1"/>
          <w:sz w:val="22"/>
          <w:szCs w:val="18"/>
        </w:rPr>
        <w:t>SUB_TT).</w:t>
      </w:r>
    </w:p>
    <w:p w14:paraId="52F5C30D" w14:textId="3920954F" w:rsidR="00596D57" w:rsidRPr="00017003" w:rsidRDefault="00596D57" w:rsidP="00017003">
      <w:pPr>
        <w:pStyle w:val="BodyText"/>
        <w:numPr>
          <w:ilvl w:val="2"/>
          <w:numId w:val="46"/>
        </w:numPr>
        <w:jc w:val="left"/>
        <w:rPr>
          <w:rFonts w:asciiTheme="minorHAnsi" w:hAnsiTheme="minorHAnsi" w:cstheme="minorHAnsi"/>
          <w:sz w:val="22"/>
          <w:szCs w:val="18"/>
        </w:rPr>
      </w:pPr>
      <w:r w:rsidRPr="00017003">
        <w:rPr>
          <w:rFonts w:asciiTheme="minorHAnsi" w:hAnsiTheme="minorHAnsi" w:cstheme="minorHAnsi"/>
          <w:sz w:val="22"/>
          <w:szCs w:val="18"/>
        </w:rPr>
        <w:t>W</w:t>
      </w:r>
      <w:r w:rsidRPr="00017003">
        <w:rPr>
          <w:rFonts w:asciiTheme="minorHAnsi" w:hAnsiTheme="minorHAnsi" w:cstheme="minorHAnsi"/>
          <w:spacing w:val="-1"/>
          <w:sz w:val="22"/>
          <w:szCs w:val="18"/>
        </w:rPr>
        <w:t>ind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speed</w:t>
      </w:r>
      <w:r w:rsidRPr="00017003">
        <w:rPr>
          <w:rFonts w:asciiTheme="minorHAnsi" w:hAnsiTheme="minorHAnsi" w:cstheme="minorHAnsi"/>
          <w:sz w:val="22"/>
          <w:szCs w:val="18"/>
        </w:rPr>
        <w:t xml:space="preserve"> threshold of 0.5m/s </w:t>
      </w:r>
      <w:r w:rsidRPr="00017003">
        <w:rPr>
          <w:rFonts w:asciiTheme="minorHAnsi" w:hAnsiTheme="minorHAnsi" w:cstheme="minorHAnsi"/>
          <w:spacing w:val="-1"/>
          <w:sz w:val="22"/>
          <w:szCs w:val="18"/>
        </w:rPr>
        <w:t>used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 xml:space="preserve">for </w:t>
      </w:r>
      <w:r w:rsidRPr="00017003">
        <w:rPr>
          <w:rFonts w:asciiTheme="minorHAnsi" w:hAnsiTheme="minorHAnsi" w:cstheme="minorHAnsi"/>
          <w:sz w:val="22"/>
          <w:szCs w:val="18"/>
        </w:rPr>
        <w:t>the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surface</w:t>
      </w:r>
      <w:r w:rsidRPr="00017003">
        <w:rPr>
          <w:rFonts w:asciiTheme="minorHAnsi" w:hAnsiTheme="minorHAnsi" w:cstheme="minorHAnsi"/>
          <w:spacing w:val="-1"/>
          <w:sz w:val="22"/>
          <w:szCs w:val="18"/>
        </w:rPr>
        <w:t xml:space="preserve"> </w:t>
      </w:r>
      <w:proofErr w:type="gramStart"/>
      <w:r w:rsidRPr="00017003">
        <w:rPr>
          <w:rFonts w:asciiTheme="minorHAnsi" w:hAnsiTheme="minorHAnsi" w:cstheme="minorHAnsi"/>
          <w:sz w:val="22"/>
          <w:szCs w:val="18"/>
        </w:rPr>
        <w:t>data</w:t>
      </w:r>
      <w:proofErr w:type="gramEnd"/>
    </w:p>
    <w:p w14:paraId="3948BD6A" w14:textId="320CC986" w:rsidR="00596D57" w:rsidRPr="00017003" w:rsidRDefault="00596D57" w:rsidP="00017003">
      <w:pPr>
        <w:pStyle w:val="BodyText"/>
        <w:numPr>
          <w:ilvl w:val="0"/>
          <w:numId w:val="46"/>
        </w:numPr>
        <w:spacing w:line="252" w:lineRule="auto"/>
        <w:ind w:right="254"/>
        <w:jc w:val="left"/>
        <w:rPr>
          <w:rFonts w:asciiTheme="minorHAnsi" w:hAnsiTheme="minorHAnsi" w:cstheme="minorHAnsi"/>
          <w:sz w:val="22"/>
          <w:szCs w:val="18"/>
        </w:rPr>
      </w:pPr>
      <w:r w:rsidRPr="00017003">
        <w:rPr>
          <w:rFonts w:asciiTheme="minorHAnsi" w:hAnsiTheme="minorHAnsi" w:cstheme="minorHAnsi"/>
          <w:sz w:val="22"/>
          <w:szCs w:val="18"/>
        </w:rPr>
        <w:t>A</w:t>
      </w:r>
      <w:r w:rsidRPr="00017003">
        <w:rPr>
          <w:rFonts w:asciiTheme="minorHAnsi" w:hAnsiTheme="minorHAnsi" w:cstheme="minorHAnsi"/>
          <w:spacing w:val="-1"/>
          <w:sz w:val="22"/>
          <w:szCs w:val="18"/>
        </w:rPr>
        <w:t>djusted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surface</w:t>
      </w:r>
      <w:r w:rsidRPr="00017003">
        <w:rPr>
          <w:rFonts w:asciiTheme="minorHAnsi" w:hAnsiTheme="minorHAnsi" w:cstheme="minorHAnsi"/>
          <w:spacing w:val="1"/>
          <w:sz w:val="22"/>
          <w:szCs w:val="18"/>
        </w:rPr>
        <w:t xml:space="preserve"> </w:t>
      </w:r>
      <w:r w:rsidRPr="00017003">
        <w:rPr>
          <w:rFonts w:asciiTheme="minorHAnsi" w:hAnsiTheme="minorHAnsi" w:cstheme="minorHAnsi"/>
          <w:spacing w:val="-1"/>
          <w:sz w:val="22"/>
          <w:szCs w:val="18"/>
        </w:rPr>
        <w:t>friction</w:t>
      </w:r>
      <w:r w:rsidRPr="00017003">
        <w:rPr>
          <w:rFonts w:asciiTheme="minorHAnsi" w:hAnsiTheme="minorHAnsi" w:cstheme="minorHAnsi"/>
          <w:sz w:val="22"/>
          <w:szCs w:val="18"/>
        </w:rPr>
        <w:t xml:space="preserve"> velocity</w:t>
      </w:r>
      <w:r w:rsidRPr="00017003">
        <w:rPr>
          <w:rFonts w:asciiTheme="minorHAnsi" w:hAnsiTheme="minorHAnsi" w:cstheme="minorHAnsi"/>
          <w:spacing w:val="-5"/>
          <w:sz w:val="22"/>
          <w:szCs w:val="18"/>
        </w:rPr>
        <w:t xml:space="preserve"> </w:t>
      </w:r>
      <w:r w:rsidRPr="00017003">
        <w:rPr>
          <w:rFonts w:asciiTheme="minorHAnsi" w:hAnsiTheme="minorHAnsi" w:cstheme="minorHAnsi"/>
          <w:spacing w:val="-1"/>
          <w:sz w:val="22"/>
          <w:szCs w:val="18"/>
        </w:rPr>
        <w:t xml:space="preserve">(u*) </w:t>
      </w:r>
      <w:r w:rsidRPr="00017003">
        <w:rPr>
          <w:rFonts w:asciiTheme="minorHAnsi" w:hAnsiTheme="minorHAnsi" w:cstheme="minorHAnsi"/>
          <w:sz w:val="22"/>
          <w:szCs w:val="18"/>
        </w:rPr>
        <w:t xml:space="preserve">option </w:t>
      </w:r>
      <w:proofErr w:type="gramStart"/>
      <w:r w:rsidRPr="00017003">
        <w:rPr>
          <w:rFonts w:asciiTheme="minorHAnsi" w:hAnsiTheme="minorHAnsi" w:cstheme="minorHAnsi"/>
          <w:spacing w:val="-1"/>
          <w:sz w:val="22"/>
          <w:szCs w:val="18"/>
        </w:rPr>
        <w:t>used</w:t>
      </w:r>
      <w:proofErr w:type="gramEnd"/>
      <w:r w:rsidRPr="00017003">
        <w:rPr>
          <w:rFonts w:asciiTheme="minorHAnsi" w:hAnsiTheme="minorHAnsi" w:cstheme="minorHAnsi"/>
          <w:spacing w:val="-1"/>
          <w:sz w:val="22"/>
          <w:szCs w:val="18"/>
        </w:rPr>
        <w:t xml:space="preserve"> </w:t>
      </w:r>
    </w:p>
    <w:p w14:paraId="3697505E" w14:textId="77777777" w:rsidR="00596D57" w:rsidRPr="00017003" w:rsidRDefault="00596D57" w:rsidP="00017003">
      <w:pPr>
        <w:pStyle w:val="BodyText"/>
        <w:spacing w:before="240"/>
        <w:ind w:left="100" w:right="615"/>
        <w:jc w:val="left"/>
        <w:rPr>
          <w:rFonts w:asciiTheme="minorHAnsi" w:hAnsiTheme="minorHAnsi" w:cstheme="minorHAnsi"/>
          <w:sz w:val="22"/>
          <w:szCs w:val="22"/>
        </w:rPr>
      </w:pPr>
      <w:bookmarkStart w:id="63" w:name="Prognostic_Meteorology"/>
      <w:bookmarkEnd w:id="63"/>
      <w:r w:rsidRPr="00017003">
        <w:rPr>
          <w:rFonts w:asciiTheme="minorHAnsi" w:hAnsiTheme="minorHAnsi" w:cstheme="minorHAnsi"/>
          <w:spacing w:val="-1"/>
          <w:sz w:val="22"/>
          <w:szCs w:val="22"/>
        </w:rPr>
        <w:t xml:space="preserve">Prognostic </w:t>
      </w:r>
      <w:r w:rsidRPr="00017003">
        <w:rPr>
          <w:rFonts w:asciiTheme="minorHAnsi" w:hAnsiTheme="minorHAnsi" w:cstheme="minorHAnsi"/>
          <w:sz w:val="22"/>
          <w:szCs w:val="22"/>
        </w:rPr>
        <w:t>Meteorology</w:t>
      </w:r>
    </w:p>
    <w:p w14:paraId="65F2FD37" w14:textId="502952C6" w:rsidR="00596D57" w:rsidRPr="00017003" w:rsidRDefault="00596D57" w:rsidP="00E21EDD">
      <w:pPr>
        <w:pStyle w:val="BodyText"/>
        <w:numPr>
          <w:ilvl w:val="1"/>
          <w:numId w:val="24"/>
        </w:numPr>
        <w:jc w:val="left"/>
        <w:rPr>
          <w:rFonts w:asciiTheme="minorHAnsi" w:hAnsiTheme="minorHAnsi" w:cstheme="minorHAnsi"/>
          <w:sz w:val="22"/>
          <w:szCs w:val="22"/>
        </w:rPr>
      </w:pPr>
      <w:r w:rsidRPr="00017003">
        <w:rPr>
          <w:rFonts w:asciiTheme="minorHAnsi" w:hAnsiTheme="minorHAnsi" w:cstheme="minorHAnsi"/>
          <w:spacing w:val="-1"/>
          <w:sz w:val="22"/>
          <w:szCs w:val="22"/>
        </w:rPr>
        <w:t>Three</w:t>
      </w:r>
      <w:r w:rsidRPr="00017003">
        <w:rPr>
          <w:rFonts w:asciiTheme="minorHAnsi" w:hAnsiTheme="minorHAnsi" w:cstheme="minorHAnsi"/>
          <w:spacing w:val="3"/>
          <w:sz w:val="22"/>
          <w:szCs w:val="22"/>
        </w:rPr>
        <w:t xml:space="preserve"> (3) </w:t>
      </w:r>
      <w:r w:rsidRPr="00017003">
        <w:rPr>
          <w:rFonts w:asciiTheme="minorHAnsi" w:hAnsiTheme="minorHAnsi" w:cstheme="minorHAnsi"/>
          <w:spacing w:val="-2"/>
          <w:sz w:val="22"/>
          <w:szCs w:val="22"/>
        </w:rPr>
        <w:t>years</w:t>
      </w:r>
      <w:r w:rsidRPr="00017003">
        <w:rPr>
          <w:rFonts w:asciiTheme="minorHAnsi" w:hAnsiTheme="minorHAnsi" w:cstheme="minorHAnsi"/>
          <w:sz w:val="22"/>
          <w:szCs w:val="22"/>
        </w:rPr>
        <w:t xml:space="preserve"> of</w:t>
      </w:r>
      <w:r w:rsidRPr="00017003">
        <w:rPr>
          <w:rFonts w:asciiTheme="minorHAnsi" w:hAnsiTheme="minorHAnsi" w:cstheme="minorHAnsi"/>
          <w:spacing w:val="1"/>
          <w:sz w:val="22"/>
          <w:szCs w:val="22"/>
        </w:rPr>
        <w:t xml:space="preserve"> </w:t>
      </w:r>
      <w:r w:rsidRPr="00017003">
        <w:rPr>
          <w:rFonts w:asciiTheme="minorHAnsi" w:hAnsiTheme="minorHAnsi" w:cstheme="minorHAnsi"/>
          <w:spacing w:val="-1"/>
          <w:sz w:val="22"/>
          <w:szCs w:val="22"/>
        </w:rPr>
        <w:t>representative prognostic</w:t>
      </w:r>
      <w:r w:rsidRPr="00017003">
        <w:rPr>
          <w:rFonts w:asciiTheme="minorHAnsi" w:hAnsiTheme="minorHAnsi" w:cstheme="minorHAnsi"/>
          <w:spacing w:val="1"/>
          <w:sz w:val="22"/>
          <w:szCs w:val="22"/>
        </w:rPr>
        <w:t xml:space="preserve"> </w:t>
      </w:r>
      <w:r w:rsidRPr="00017003">
        <w:rPr>
          <w:rFonts w:asciiTheme="minorHAnsi" w:hAnsiTheme="minorHAnsi" w:cstheme="minorHAnsi"/>
          <w:spacing w:val="-1"/>
          <w:sz w:val="22"/>
          <w:szCs w:val="22"/>
        </w:rPr>
        <w:t>meteorological</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data</w:t>
      </w:r>
    </w:p>
    <w:p w14:paraId="35E9035E" w14:textId="5C594E32" w:rsidR="00596D57" w:rsidRPr="00017003" w:rsidRDefault="00596D57" w:rsidP="00E21EDD">
      <w:pPr>
        <w:pStyle w:val="BodyText"/>
        <w:numPr>
          <w:ilvl w:val="1"/>
          <w:numId w:val="24"/>
        </w:numPr>
        <w:jc w:val="left"/>
        <w:rPr>
          <w:rFonts w:asciiTheme="minorHAnsi" w:hAnsiTheme="minorHAnsi" w:cstheme="minorHAnsi"/>
          <w:sz w:val="22"/>
          <w:szCs w:val="22"/>
        </w:rPr>
      </w:pPr>
      <w:r w:rsidRPr="00017003">
        <w:rPr>
          <w:rFonts w:asciiTheme="minorHAnsi" w:hAnsiTheme="minorHAnsi" w:cstheme="minorHAnsi"/>
          <w:sz w:val="22"/>
          <w:szCs w:val="22"/>
        </w:rPr>
        <w:t>G</w:t>
      </w:r>
      <w:r w:rsidRPr="00017003">
        <w:rPr>
          <w:rFonts w:asciiTheme="minorHAnsi" w:hAnsiTheme="minorHAnsi" w:cstheme="minorHAnsi"/>
          <w:spacing w:val="-1"/>
          <w:sz w:val="22"/>
          <w:szCs w:val="22"/>
        </w:rPr>
        <w:t>rid</w:t>
      </w:r>
      <w:r w:rsidRPr="00017003">
        <w:rPr>
          <w:rFonts w:asciiTheme="minorHAnsi" w:hAnsiTheme="minorHAnsi" w:cstheme="minorHAnsi"/>
          <w:sz w:val="22"/>
          <w:szCs w:val="22"/>
        </w:rPr>
        <w:t xml:space="preserve"> resolution of</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the</w:t>
      </w:r>
      <w:r w:rsidRPr="00017003">
        <w:rPr>
          <w:rFonts w:asciiTheme="minorHAnsi" w:hAnsiTheme="minorHAnsi" w:cstheme="minorHAnsi"/>
          <w:spacing w:val="-1"/>
          <w:sz w:val="22"/>
          <w:szCs w:val="22"/>
        </w:rPr>
        <w:t xml:space="preserve"> underlying</w:t>
      </w:r>
      <w:r w:rsidRPr="00017003">
        <w:rPr>
          <w:rFonts w:asciiTheme="minorHAnsi" w:hAnsiTheme="minorHAnsi" w:cstheme="minorHAnsi"/>
          <w:spacing w:val="-3"/>
          <w:sz w:val="22"/>
          <w:szCs w:val="22"/>
        </w:rPr>
        <w:t xml:space="preserve"> </w:t>
      </w:r>
      <w:r w:rsidRPr="00017003">
        <w:rPr>
          <w:rFonts w:asciiTheme="minorHAnsi" w:hAnsiTheme="minorHAnsi" w:cstheme="minorHAnsi"/>
          <w:sz w:val="22"/>
          <w:szCs w:val="22"/>
        </w:rPr>
        <w:t>prognostic</w:t>
      </w:r>
      <w:r w:rsidRPr="00017003">
        <w:rPr>
          <w:rFonts w:asciiTheme="minorHAnsi" w:hAnsiTheme="minorHAnsi" w:cstheme="minorHAnsi"/>
          <w:spacing w:val="-1"/>
          <w:sz w:val="22"/>
          <w:szCs w:val="22"/>
        </w:rPr>
        <w:t xml:space="preserve"> meteorological</w:t>
      </w:r>
      <w:r w:rsidRPr="00017003">
        <w:rPr>
          <w:rFonts w:asciiTheme="minorHAnsi" w:hAnsiTheme="minorHAnsi" w:cstheme="minorHAnsi"/>
          <w:spacing w:val="2"/>
          <w:sz w:val="22"/>
          <w:szCs w:val="22"/>
        </w:rPr>
        <w:t xml:space="preserve"> </w:t>
      </w:r>
      <w:r w:rsidRPr="00017003">
        <w:rPr>
          <w:rFonts w:asciiTheme="minorHAnsi" w:hAnsiTheme="minorHAnsi" w:cstheme="minorHAnsi"/>
          <w:spacing w:val="-1"/>
          <w:sz w:val="22"/>
          <w:szCs w:val="22"/>
        </w:rPr>
        <w:t>data</w:t>
      </w:r>
    </w:p>
    <w:p w14:paraId="47330590" w14:textId="6919ACF4" w:rsidR="00596D57" w:rsidRPr="00017003" w:rsidRDefault="00596D57" w:rsidP="00E21EDD">
      <w:pPr>
        <w:pStyle w:val="BodyText"/>
        <w:numPr>
          <w:ilvl w:val="1"/>
          <w:numId w:val="24"/>
        </w:numPr>
        <w:spacing w:line="252" w:lineRule="auto"/>
        <w:ind w:right="236"/>
        <w:jc w:val="left"/>
        <w:rPr>
          <w:rFonts w:asciiTheme="minorHAnsi" w:hAnsiTheme="minorHAnsi" w:cstheme="minorHAnsi"/>
          <w:sz w:val="22"/>
          <w:szCs w:val="22"/>
        </w:rPr>
      </w:pPr>
      <w:r w:rsidRPr="00017003">
        <w:rPr>
          <w:rFonts w:asciiTheme="minorHAnsi" w:hAnsiTheme="minorHAnsi" w:cstheme="minorHAnsi"/>
          <w:sz w:val="22"/>
          <w:szCs w:val="22"/>
        </w:rPr>
        <w:t>P</w:t>
      </w:r>
      <w:r w:rsidRPr="00017003">
        <w:rPr>
          <w:rFonts w:asciiTheme="minorHAnsi" w:hAnsiTheme="minorHAnsi" w:cstheme="minorHAnsi"/>
          <w:spacing w:val="-1"/>
          <w:sz w:val="22"/>
          <w:szCs w:val="22"/>
        </w:rPr>
        <w:t>rognostic data</w:t>
      </w:r>
      <w:r w:rsidRPr="00017003">
        <w:rPr>
          <w:rFonts w:asciiTheme="minorHAnsi" w:hAnsiTheme="minorHAnsi" w:cstheme="minorHAnsi"/>
          <w:spacing w:val="81"/>
          <w:sz w:val="22"/>
          <w:szCs w:val="22"/>
        </w:rPr>
        <w:t xml:space="preserve"> </w:t>
      </w:r>
      <w:r w:rsidRPr="00017003">
        <w:rPr>
          <w:rFonts w:asciiTheme="minorHAnsi" w:hAnsiTheme="minorHAnsi" w:cstheme="minorHAnsi"/>
          <w:spacing w:val="-1"/>
          <w:sz w:val="22"/>
          <w:szCs w:val="22"/>
        </w:rPr>
        <w:t>processed</w:t>
      </w:r>
      <w:r w:rsidRPr="00017003">
        <w:rPr>
          <w:rFonts w:asciiTheme="minorHAnsi" w:hAnsiTheme="minorHAnsi" w:cstheme="minorHAnsi"/>
          <w:sz w:val="22"/>
          <w:szCs w:val="22"/>
        </w:rPr>
        <w:t xml:space="preserve"> for input into </w:t>
      </w:r>
      <w:r w:rsidRPr="00017003">
        <w:rPr>
          <w:rFonts w:asciiTheme="minorHAnsi" w:hAnsiTheme="minorHAnsi" w:cstheme="minorHAnsi"/>
          <w:spacing w:val="-1"/>
          <w:sz w:val="22"/>
          <w:szCs w:val="22"/>
        </w:rPr>
        <w:t>AERMET,</w:t>
      </w:r>
      <w:r w:rsidRPr="00017003">
        <w:rPr>
          <w:rFonts w:asciiTheme="minorHAnsi" w:hAnsiTheme="minorHAnsi" w:cstheme="minorHAnsi"/>
          <w:sz w:val="22"/>
          <w:szCs w:val="22"/>
        </w:rPr>
        <w:t xml:space="preserve"> per </w:t>
      </w:r>
      <w:proofErr w:type="gramStart"/>
      <w:r w:rsidRPr="00017003">
        <w:rPr>
          <w:rFonts w:asciiTheme="minorHAnsi" w:hAnsiTheme="minorHAnsi" w:cstheme="minorHAnsi"/>
          <w:sz w:val="22"/>
          <w:szCs w:val="22"/>
        </w:rPr>
        <w:t>guidance</w:t>
      </w:r>
      <w:proofErr w:type="gramEnd"/>
    </w:p>
    <w:p w14:paraId="0B694C0B" w14:textId="190CEFD9" w:rsidR="00596D57" w:rsidRPr="00017003" w:rsidRDefault="00596D57" w:rsidP="00E21EDD">
      <w:pPr>
        <w:pStyle w:val="BodyText"/>
        <w:numPr>
          <w:ilvl w:val="1"/>
          <w:numId w:val="24"/>
        </w:numPr>
        <w:spacing w:line="252" w:lineRule="auto"/>
        <w:ind w:right="113"/>
        <w:jc w:val="left"/>
        <w:rPr>
          <w:rFonts w:asciiTheme="minorHAnsi" w:hAnsiTheme="minorHAnsi" w:cstheme="minorHAnsi"/>
          <w:sz w:val="22"/>
          <w:szCs w:val="22"/>
        </w:rPr>
      </w:pPr>
      <w:r w:rsidRPr="00017003">
        <w:rPr>
          <w:rFonts w:asciiTheme="minorHAnsi" w:hAnsiTheme="minorHAnsi" w:cstheme="minorHAnsi"/>
          <w:sz w:val="22"/>
          <w:szCs w:val="22"/>
        </w:rPr>
        <w:t>M</w:t>
      </w:r>
      <w:r w:rsidRPr="00017003">
        <w:rPr>
          <w:rFonts w:asciiTheme="minorHAnsi" w:hAnsiTheme="minorHAnsi" w:cstheme="minorHAnsi"/>
          <w:spacing w:val="-1"/>
          <w:sz w:val="22"/>
          <w:szCs w:val="22"/>
        </w:rPr>
        <w:t>odel</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performance evaluation</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performed</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on</w:t>
      </w:r>
      <w:r w:rsidRPr="00017003">
        <w:rPr>
          <w:rFonts w:asciiTheme="minorHAnsi" w:hAnsiTheme="minorHAnsi" w:cstheme="minorHAnsi"/>
          <w:sz w:val="22"/>
          <w:szCs w:val="22"/>
        </w:rPr>
        <w:t xml:space="preserve"> the</w:t>
      </w:r>
      <w:r w:rsidRPr="00017003">
        <w:rPr>
          <w:rFonts w:asciiTheme="minorHAnsi" w:hAnsiTheme="minorHAnsi" w:cstheme="minorHAnsi"/>
          <w:spacing w:val="-1"/>
          <w:sz w:val="22"/>
          <w:szCs w:val="22"/>
        </w:rPr>
        <w:t xml:space="preserve"> prognostic met data,</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consistent</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with</w:t>
      </w:r>
      <w:r w:rsidRPr="00017003">
        <w:rPr>
          <w:rFonts w:asciiTheme="minorHAnsi" w:hAnsiTheme="minorHAnsi" w:cstheme="minorHAnsi"/>
          <w:sz w:val="22"/>
          <w:szCs w:val="22"/>
        </w:rPr>
        <w:t xml:space="preserve"> the</w:t>
      </w:r>
      <w:r w:rsidRPr="00017003">
        <w:rPr>
          <w:rFonts w:asciiTheme="minorHAnsi" w:hAnsiTheme="minorHAnsi" w:cstheme="minorHAnsi"/>
          <w:spacing w:val="1"/>
          <w:sz w:val="22"/>
          <w:szCs w:val="22"/>
        </w:rPr>
        <w:t xml:space="preserve"> </w:t>
      </w:r>
      <w:r w:rsidRPr="00017003">
        <w:rPr>
          <w:rFonts w:asciiTheme="minorHAnsi" w:hAnsiTheme="minorHAnsi" w:cstheme="minorHAnsi"/>
          <w:spacing w:val="-1"/>
          <w:sz w:val="22"/>
          <w:szCs w:val="22"/>
        </w:rPr>
        <w:t>MMIF</w:t>
      </w:r>
      <w:r w:rsidRPr="00017003">
        <w:rPr>
          <w:rFonts w:asciiTheme="minorHAnsi" w:hAnsiTheme="minorHAnsi" w:cstheme="minorHAnsi"/>
          <w:sz w:val="22"/>
          <w:szCs w:val="22"/>
        </w:rPr>
        <w:t xml:space="preserve"> </w:t>
      </w:r>
      <w:proofErr w:type="gramStart"/>
      <w:r w:rsidRPr="00017003">
        <w:rPr>
          <w:rFonts w:asciiTheme="minorHAnsi" w:hAnsiTheme="minorHAnsi" w:cstheme="minorHAnsi"/>
          <w:spacing w:val="-1"/>
          <w:sz w:val="22"/>
          <w:szCs w:val="22"/>
        </w:rPr>
        <w:t>guidance</w:t>
      </w:r>
      <w:proofErr w:type="gramEnd"/>
    </w:p>
    <w:p w14:paraId="6196F698" w14:textId="205A1E31" w:rsidR="00596D57" w:rsidRPr="00017003" w:rsidRDefault="00596D57" w:rsidP="00E21EDD">
      <w:pPr>
        <w:pStyle w:val="BodyText"/>
        <w:numPr>
          <w:ilvl w:val="1"/>
          <w:numId w:val="24"/>
        </w:numPr>
        <w:spacing w:line="252" w:lineRule="auto"/>
        <w:ind w:right="640"/>
        <w:jc w:val="left"/>
        <w:rPr>
          <w:rFonts w:asciiTheme="minorHAnsi" w:hAnsiTheme="minorHAnsi" w:cstheme="minorHAnsi"/>
          <w:sz w:val="22"/>
          <w:szCs w:val="22"/>
        </w:rPr>
      </w:pPr>
      <w:r w:rsidRPr="00017003">
        <w:rPr>
          <w:rFonts w:asciiTheme="minorHAnsi" w:hAnsiTheme="minorHAnsi" w:cstheme="minorHAnsi"/>
          <w:spacing w:val="-1"/>
          <w:sz w:val="22"/>
          <w:szCs w:val="22"/>
        </w:rPr>
        <w:t>MMIF</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used</w:t>
      </w:r>
      <w:r w:rsidRPr="00017003">
        <w:rPr>
          <w:rFonts w:asciiTheme="minorHAnsi" w:hAnsiTheme="minorHAnsi" w:cstheme="minorHAnsi"/>
          <w:sz w:val="22"/>
          <w:szCs w:val="22"/>
        </w:rPr>
        <w:t xml:space="preserve"> to </w:t>
      </w:r>
      <w:r w:rsidRPr="00017003">
        <w:rPr>
          <w:rFonts w:asciiTheme="minorHAnsi" w:hAnsiTheme="minorHAnsi" w:cstheme="minorHAnsi"/>
          <w:spacing w:val="-1"/>
          <w:sz w:val="22"/>
          <w:szCs w:val="22"/>
        </w:rPr>
        <w:t>process</w:t>
      </w:r>
      <w:r w:rsidRPr="00017003">
        <w:rPr>
          <w:rFonts w:asciiTheme="minorHAnsi" w:hAnsiTheme="minorHAnsi" w:cstheme="minorHAnsi"/>
          <w:sz w:val="22"/>
          <w:szCs w:val="22"/>
        </w:rPr>
        <w:t xml:space="preserve"> the</w:t>
      </w:r>
      <w:r w:rsidRPr="00017003">
        <w:rPr>
          <w:rFonts w:asciiTheme="minorHAnsi" w:hAnsiTheme="minorHAnsi" w:cstheme="minorHAnsi"/>
          <w:spacing w:val="-1"/>
          <w:sz w:val="22"/>
          <w:szCs w:val="22"/>
        </w:rPr>
        <w:t xml:space="preserve"> prognostic </w:t>
      </w:r>
      <w:r w:rsidRPr="00017003">
        <w:rPr>
          <w:rFonts w:asciiTheme="minorHAnsi" w:hAnsiTheme="minorHAnsi" w:cstheme="minorHAnsi"/>
          <w:sz w:val="22"/>
          <w:szCs w:val="22"/>
        </w:rPr>
        <w:t>data</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for</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 xml:space="preserve">input into </w:t>
      </w:r>
      <w:r w:rsidRPr="00017003">
        <w:rPr>
          <w:rFonts w:asciiTheme="minorHAnsi" w:hAnsiTheme="minorHAnsi" w:cstheme="minorHAnsi"/>
          <w:spacing w:val="-1"/>
          <w:sz w:val="22"/>
          <w:szCs w:val="22"/>
        </w:rPr>
        <w:t>AERMET, as per MMIF</w:t>
      </w:r>
      <w:r w:rsidRPr="00017003">
        <w:rPr>
          <w:rFonts w:asciiTheme="minorHAnsi" w:hAnsiTheme="minorHAnsi" w:cstheme="minorHAnsi"/>
          <w:spacing w:val="47"/>
          <w:sz w:val="22"/>
          <w:szCs w:val="22"/>
        </w:rPr>
        <w:t xml:space="preserve"> </w:t>
      </w:r>
      <w:proofErr w:type="gramStart"/>
      <w:r w:rsidRPr="00017003">
        <w:rPr>
          <w:rFonts w:asciiTheme="minorHAnsi" w:hAnsiTheme="minorHAnsi" w:cstheme="minorHAnsi"/>
          <w:spacing w:val="-1"/>
          <w:sz w:val="22"/>
          <w:szCs w:val="22"/>
        </w:rPr>
        <w:t>guidance</w:t>
      </w:r>
      <w:proofErr w:type="gramEnd"/>
    </w:p>
    <w:p w14:paraId="777F12B0" w14:textId="3C4506C8" w:rsidR="00596D57" w:rsidRPr="00017003" w:rsidRDefault="00596D57" w:rsidP="00E21EDD">
      <w:pPr>
        <w:pStyle w:val="BodyText"/>
        <w:numPr>
          <w:ilvl w:val="1"/>
          <w:numId w:val="24"/>
        </w:numPr>
        <w:spacing w:line="252" w:lineRule="auto"/>
        <w:ind w:right="782"/>
        <w:jc w:val="left"/>
        <w:rPr>
          <w:rFonts w:asciiTheme="minorHAnsi" w:hAnsiTheme="minorHAnsi" w:cstheme="minorHAnsi"/>
          <w:spacing w:val="-1"/>
          <w:sz w:val="22"/>
          <w:szCs w:val="22"/>
        </w:rPr>
      </w:pPr>
      <w:r w:rsidRPr="00017003">
        <w:rPr>
          <w:rFonts w:asciiTheme="minorHAnsi" w:hAnsiTheme="minorHAnsi" w:cstheme="minorHAnsi"/>
          <w:sz w:val="22"/>
          <w:szCs w:val="22"/>
        </w:rPr>
        <w:t>A</w:t>
      </w:r>
      <w:r w:rsidRPr="00017003">
        <w:rPr>
          <w:rFonts w:asciiTheme="minorHAnsi" w:hAnsiTheme="minorHAnsi" w:cstheme="minorHAnsi"/>
          <w:spacing w:val="-1"/>
          <w:sz w:val="22"/>
          <w:szCs w:val="22"/>
        </w:rPr>
        <w:t>djusted</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surface</w:t>
      </w:r>
      <w:r w:rsidRPr="00017003">
        <w:rPr>
          <w:rFonts w:asciiTheme="minorHAnsi" w:hAnsiTheme="minorHAnsi" w:cstheme="minorHAnsi"/>
          <w:spacing w:val="1"/>
          <w:sz w:val="22"/>
          <w:szCs w:val="22"/>
        </w:rPr>
        <w:t xml:space="preserve"> </w:t>
      </w:r>
      <w:r w:rsidRPr="00017003">
        <w:rPr>
          <w:rFonts w:asciiTheme="minorHAnsi" w:hAnsiTheme="minorHAnsi" w:cstheme="minorHAnsi"/>
          <w:spacing w:val="-1"/>
          <w:sz w:val="22"/>
          <w:szCs w:val="22"/>
        </w:rPr>
        <w:t>friction</w:t>
      </w:r>
      <w:r w:rsidRPr="00017003">
        <w:rPr>
          <w:rFonts w:asciiTheme="minorHAnsi" w:hAnsiTheme="minorHAnsi" w:cstheme="minorHAnsi"/>
          <w:sz w:val="22"/>
          <w:szCs w:val="22"/>
        </w:rPr>
        <w:t xml:space="preserve"> velocity</w:t>
      </w:r>
      <w:r w:rsidRPr="00017003">
        <w:rPr>
          <w:rFonts w:asciiTheme="minorHAnsi" w:hAnsiTheme="minorHAnsi" w:cstheme="minorHAnsi"/>
          <w:spacing w:val="-5"/>
          <w:sz w:val="22"/>
          <w:szCs w:val="22"/>
        </w:rPr>
        <w:t xml:space="preserve"> </w:t>
      </w:r>
      <w:r w:rsidRPr="00017003">
        <w:rPr>
          <w:rFonts w:asciiTheme="minorHAnsi" w:hAnsiTheme="minorHAnsi" w:cstheme="minorHAnsi"/>
          <w:spacing w:val="-1"/>
          <w:sz w:val="22"/>
          <w:szCs w:val="22"/>
        </w:rPr>
        <w:t xml:space="preserve">(u*) </w:t>
      </w:r>
      <w:r w:rsidRPr="00017003">
        <w:rPr>
          <w:rFonts w:asciiTheme="minorHAnsi" w:hAnsiTheme="minorHAnsi" w:cstheme="minorHAnsi"/>
          <w:sz w:val="22"/>
          <w:szCs w:val="22"/>
        </w:rPr>
        <w:t xml:space="preserve">option </w:t>
      </w:r>
      <w:proofErr w:type="gramStart"/>
      <w:r w:rsidRPr="00017003">
        <w:rPr>
          <w:rFonts w:asciiTheme="minorHAnsi" w:hAnsiTheme="minorHAnsi" w:cstheme="minorHAnsi"/>
          <w:spacing w:val="-1"/>
          <w:sz w:val="22"/>
          <w:szCs w:val="22"/>
        </w:rPr>
        <w:t>used</w:t>
      </w:r>
      <w:proofErr w:type="gramEnd"/>
    </w:p>
    <w:p w14:paraId="60FCD23C" w14:textId="77777777" w:rsidR="00596D57" w:rsidRPr="00017003" w:rsidRDefault="00596D57" w:rsidP="00E21EDD">
      <w:pPr>
        <w:pStyle w:val="BodyText"/>
        <w:ind w:left="460" w:right="190"/>
        <w:jc w:val="left"/>
        <w:rPr>
          <w:rFonts w:asciiTheme="minorHAnsi" w:hAnsiTheme="minorHAnsi" w:cstheme="minorHAnsi"/>
          <w:sz w:val="22"/>
          <w:szCs w:val="22"/>
        </w:rPr>
      </w:pPr>
      <w:r w:rsidRPr="00017003">
        <w:rPr>
          <w:rFonts w:asciiTheme="minorHAnsi" w:hAnsiTheme="minorHAnsi" w:cstheme="minorHAnsi"/>
          <w:spacing w:val="-1"/>
          <w:sz w:val="22"/>
          <w:szCs w:val="22"/>
        </w:rPr>
        <w:t>Site-Specific Meteorology</w:t>
      </w:r>
    </w:p>
    <w:p w14:paraId="5E1A4201" w14:textId="6E34B7E0" w:rsidR="00596D57" w:rsidRPr="00017003" w:rsidRDefault="00596D57" w:rsidP="00E21EDD">
      <w:pPr>
        <w:pStyle w:val="BodyText"/>
        <w:numPr>
          <w:ilvl w:val="0"/>
          <w:numId w:val="25"/>
        </w:numPr>
        <w:jc w:val="left"/>
        <w:rPr>
          <w:rFonts w:asciiTheme="minorHAnsi" w:hAnsiTheme="minorHAnsi" w:cstheme="minorHAnsi"/>
          <w:sz w:val="22"/>
          <w:szCs w:val="22"/>
        </w:rPr>
      </w:pPr>
      <w:r w:rsidRPr="00017003">
        <w:rPr>
          <w:rFonts w:asciiTheme="minorHAnsi" w:hAnsiTheme="minorHAnsi" w:cstheme="minorHAnsi"/>
          <w:sz w:val="22"/>
          <w:szCs w:val="22"/>
        </w:rPr>
        <w:t>1</w:t>
      </w:r>
      <w:r w:rsidRPr="00017003">
        <w:rPr>
          <w:rFonts w:asciiTheme="minorHAnsi" w:hAnsiTheme="minorHAnsi" w:cstheme="minorHAnsi"/>
          <w:spacing w:val="2"/>
          <w:sz w:val="22"/>
          <w:szCs w:val="22"/>
        </w:rPr>
        <w:t xml:space="preserve"> </w:t>
      </w:r>
      <w:r w:rsidRPr="00017003">
        <w:rPr>
          <w:rFonts w:asciiTheme="minorHAnsi" w:hAnsiTheme="minorHAnsi" w:cstheme="minorHAnsi"/>
          <w:spacing w:val="-2"/>
          <w:sz w:val="22"/>
          <w:szCs w:val="22"/>
        </w:rPr>
        <w:t>year</w:t>
      </w:r>
      <w:r w:rsidRPr="00017003">
        <w:rPr>
          <w:rFonts w:asciiTheme="minorHAnsi" w:hAnsiTheme="minorHAnsi" w:cstheme="minorHAnsi"/>
          <w:spacing w:val="-1"/>
          <w:sz w:val="22"/>
          <w:szCs w:val="22"/>
        </w:rPr>
        <w:t xml:space="preserve"> </w:t>
      </w:r>
      <w:r w:rsidRPr="00017003">
        <w:rPr>
          <w:rFonts w:asciiTheme="minorHAnsi" w:hAnsiTheme="minorHAnsi" w:cstheme="minorHAnsi"/>
          <w:spacing w:val="1"/>
          <w:sz w:val="22"/>
          <w:szCs w:val="22"/>
        </w:rPr>
        <w:t>of</w:t>
      </w:r>
      <w:r w:rsidRPr="00017003">
        <w:rPr>
          <w:rFonts w:asciiTheme="minorHAnsi" w:hAnsiTheme="minorHAnsi" w:cstheme="minorHAnsi"/>
          <w:spacing w:val="-1"/>
          <w:sz w:val="22"/>
          <w:szCs w:val="22"/>
        </w:rPr>
        <w:t xml:space="preserve"> site-specific and</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concurrent</w:t>
      </w:r>
      <w:r w:rsidRPr="00017003">
        <w:rPr>
          <w:rFonts w:asciiTheme="minorHAnsi" w:hAnsiTheme="minorHAnsi" w:cstheme="minorHAnsi"/>
          <w:spacing w:val="2"/>
          <w:sz w:val="22"/>
          <w:szCs w:val="22"/>
        </w:rPr>
        <w:t xml:space="preserve"> </w:t>
      </w:r>
      <w:r w:rsidRPr="00017003">
        <w:rPr>
          <w:rFonts w:asciiTheme="minorHAnsi" w:hAnsiTheme="minorHAnsi" w:cstheme="minorHAnsi"/>
          <w:spacing w:val="-1"/>
          <w:sz w:val="22"/>
          <w:szCs w:val="22"/>
        </w:rPr>
        <w:t xml:space="preserve">representative </w:t>
      </w:r>
      <w:r w:rsidRPr="00017003">
        <w:rPr>
          <w:rFonts w:asciiTheme="minorHAnsi" w:hAnsiTheme="minorHAnsi" w:cstheme="minorHAnsi"/>
          <w:sz w:val="22"/>
          <w:szCs w:val="22"/>
        </w:rPr>
        <w:t>upper</w:t>
      </w:r>
      <w:r w:rsidRPr="00017003">
        <w:rPr>
          <w:rFonts w:asciiTheme="minorHAnsi" w:hAnsiTheme="minorHAnsi" w:cstheme="minorHAnsi"/>
          <w:spacing w:val="-1"/>
          <w:sz w:val="22"/>
          <w:szCs w:val="22"/>
        </w:rPr>
        <w:t xml:space="preserve"> air data</w:t>
      </w:r>
    </w:p>
    <w:p w14:paraId="30630405" w14:textId="777EEDA1" w:rsidR="00596D57" w:rsidRPr="00017003" w:rsidRDefault="00596D57" w:rsidP="00E21EDD">
      <w:pPr>
        <w:pStyle w:val="BodyText"/>
        <w:numPr>
          <w:ilvl w:val="0"/>
          <w:numId w:val="25"/>
        </w:numPr>
        <w:spacing w:line="252" w:lineRule="auto"/>
        <w:ind w:right="190"/>
        <w:jc w:val="left"/>
        <w:rPr>
          <w:rFonts w:asciiTheme="minorHAnsi" w:hAnsiTheme="minorHAnsi" w:cstheme="minorHAnsi"/>
          <w:sz w:val="22"/>
          <w:szCs w:val="22"/>
        </w:rPr>
      </w:pPr>
      <w:r w:rsidRPr="00017003">
        <w:rPr>
          <w:rFonts w:asciiTheme="minorHAnsi" w:hAnsiTheme="minorHAnsi" w:cstheme="minorHAnsi"/>
          <w:spacing w:val="-1"/>
          <w:sz w:val="22"/>
          <w:szCs w:val="22"/>
        </w:rPr>
        <w:t>Concurrent</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representative National</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 xml:space="preserve">Weather </w:t>
      </w:r>
      <w:r w:rsidRPr="00017003">
        <w:rPr>
          <w:rFonts w:asciiTheme="minorHAnsi" w:hAnsiTheme="minorHAnsi" w:cstheme="minorHAnsi"/>
          <w:sz w:val="22"/>
          <w:szCs w:val="22"/>
        </w:rPr>
        <w:t>Service</w:t>
      </w:r>
      <w:r w:rsidRPr="00017003">
        <w:rPr>
          <w:rFonts w:asciiTheme="minorHAnsi" w:hAnsiTheme="minorHAnsi" w:cstheme="minorHAnsi"/>
          <w:spacing w:val="-1"/>
          <w:sz w:val="22"/>
          <w:szCs w:val="22"/>
        </w:rPr>
        <w:t xml:space="preserve"> (NWS) surface </w:t>
      </w:r>
      <w:r w:rsidRPr="00017003">
        <w:rPr>
          <w:rFonts w:asciiTheme="minorHAnsi" w:hAnsiTheme="minorHAnsi" w:cstheme="minorHAnsi"/>
          <w:sz w:val="22"/>
          <w:szCs w:val="22"/>
        </w:rPr>
        <w:t>data</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used</w:t>
      </w:r>
      <w:r w:rsidRPr="00017003">
        <w:rPr>
          <w:rFonts w:asciiTheme="minorHAnsi" w:hAnsiTheme="minorHAnsi" w:cstheme="minorHAnsi"/>
          <w:spacing w:val="-1"/>
          <w:sz w:val="22"/>
          <w:szCs w:val="22"/>
        </w:rPr>
        <w:t xml:space="preserve"> for</w:t>
      </w:r>
      <w:r w:rsidRPr="00017003">
        <w:rPr>
          <w:rFonts w:asciiTheme="minorHAnsi" w:hAnsiTheme="minorHAnsi" w:cstheme="minorHAnsi"/>
          <w:spacing w:val="83"/>
          <w:sz w:val="22"/>
          <w:szCs w:val="22"/>
        </w:rPr>
        <w:t xml:space="preserve"> </w:t>
      </w:r>
      <w:r w:rsidRPr="00017003">
        <w:rPr>
          <w:rFonts w:asciiTheme="minorHAnsi" w:hAnsiTheme="minorHAnsi" w:cstheme="minorHAnsi"/>
          <w:spacing w:val="-1"/>
          <w:sz w:val="22"/>
          <w:szCs w:val="22"/>
        </w:rPr>
        <w:t xml:space="preserve">data </w:t>
      </w:r>
      <w:proofErr w:type="gramStart"/>
      <w:r w:rsidRPr="00017003">
        <w:rPr>
          <w:rFonts w:asciiTheme="minorHAnsi" w:hAnsiTheme="minorHAnsi" w:cstheme="minorHAnsi"/>
          <w:sz w:val="22"/>
          <w:szCs w:val="22"/>
        </w:rPr>
        <w:t>substitution</w:t>
      </w:r>
      <w:proofErr w:type="gramEnd"/>
    </w:p>
    <w:p w14:paraId="619DFD9E" w14:textId="5B6F30FF" w:rsidR="00596D57" w:rsidRPr="00017003" w:rsidRDefault="00596D57" w:rsidP="00E21EDD">
      <w:pPr>
        <w:pStyle w:val="BodyText"/>
        <w:numPr>
          <w:ilvl w:val="0"/>
          <w:numId w:val="25"/>
        </w:numPr>
        <w:spacing w:line="252" w:lineRule="auto"/>
        <w:ind w:right="168"/>
        <w:jc w:val="left"/>
        <w:rPr>
          <w:rFonts w:asciiTheme="minorHAnsi" w:hAnsiTheme="minorHAnsi" w:cstheme="minorHAnsi"/>
          <w:sz w:val="22"/>
          <w:szCs w:val="22"/>
        </w:rPr>
      </w:pPr>
      <w:r w:rsidRPr="00017003">
        <w:rPr>
          <w:rFonts w:asciiTheme="minorHAnsi" w:hAnsiTheme="minorHAnsi" w:cstheme="minorHAnsi"/>
          <w:spacing w:val="-1"/>
          <w:sz w:val="22"/>
          <w:szCs w:val="22"/>
        </w:rPr>
        <w:t>Options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used</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for on-site</w:t>
      </w:r>
      <w:r w:rsidRPr="00017003">
        <w:rPr>
          <w:rFonts w:asciiTheme="minorHAnsi" w:hAnsiTheme="minorHAnsi" w:cstheme="minorHAnsi"/>
          <w:spacing w:val="1"/>
          <w:sz w:val="22"/>
          <w:szCs w:val="22"/>
        </w:rPr>
        <w:t xml:space="preserve"> </w:t>
      </w:r>
      <w:r w:rsidRPr="00017003">
        <w:rPr>
          <w:rFonts w:asciiTheme="minorHAnsi" w:hAnsiTheme="minorHAnsi" w:cstheme="minorHAnsi"/>
          <w:spacing w:val="-1"/>
          <w:sz w:val="22"/>
          <w:szCs w:val="22"/>
        </w:rPr>
        <w:t>data processing</w:t>
      </w:r>
      <w:r w:rsidRPr="00017003">
        <w:rPr>
          <w:rFonts w:asciiTheme="minorHAnsi" w:hAnsiTheme="minorHAnsi" w:cstheme="minorHAnsi"/>
          <w:spacing w:val="-3"/>
          <w:sz w:val="22"/>
          <w:szCs w:val="22"/>
        </w:rPr>
        <w:t xml:space="preserve"> </w:t>
      </w:r>
      <w:r w:rsidRPr="00017003">
        <w:rPr>
          <w:rFonts w:asciiTheme="minorHAnsi" w:hAnsiTheme="minorHAnsi" w:cstheme="minorHAnsi"/>
          <w:sz w:val="22"/>
          <w:szCs w:val="22"/>
        </w:rPr>
        <w:t>–</w:t>
      </w:r>
      <w:r w:rsidRPr="00017003">
        <w:rPr>
          <w:rFonts w:asciiTheme="minorHAnsi" w:hAnsiTheme="minorHAnsi" w:cstheme="minorHAnsi"/>
          <w:spacing w:val="2"/>
          <w:sz w:val="22"/>
          <w:szCs w:val="22"/>
        </w:rPr>
        <w:t xml:space="preserve"> </w:t>
      </w:r>
      <w:r w:rsidRPr="00017003">
        <w:rPr>
          <w:rFonts w:asciiTheme="minorHAnsi" w:hAnsiTheme="minorHAnsi" w:cstheme="minorHAnsi"/>
          <w:spacing w:val="-1"/>
          <w:sz w:val="22"/>
          <w:szCs w:val="22"/>
        </w:rPr>
        <w:t>Bulk</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Richardson</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Method,</w:t>
      </w:r>
      <w:r w:rsidRPr="00017003">
        <w:rPr>
          <w:rFonts w:asciiTheme="minorHAnsi" w:hAnsiTheme="minorHAnsi" w:cstheme="minorHAnsi"/>
          <w:sz w:val="22"/>
          <w:szCs w:val="22"/>
        </w:rPr>
        <w:t xml:space="preserve"> missing</w:t>
      </w:r>
      <w:r w:rsidRPr="00017003">
        <w:rPr>
          <w:rFonts w:asciiTheme="minorHAnsi" w:hAnsiTheme="minorHAnsi" w:cstheme="minorHAnsi"/>
          <w:spacing w:val="-3"/>
          <w:sz w:val="22"/>
          <w:szCs w:val="22"/>
        </w:rPr>
        <w:t xml:space="preserve"> </w:t>
      </w:r>
      <w:proofErr w:type="gramStart"/>
      <w:r w:rsidRPr="00017003">
        <w:rPr>
          <w:rFonts w:asciiTheme="minorHAnsi" w:hAnsiTheme="minorHAnsi" w:cstheme="minorHAnsi"/>
          <w:sz w:val="22"/>
          <w:szCs w:val="22"/>
        </w:rPr>
        <w:t>data</w:t>
      </w:r>
      <w:proofErr w:type="gramEnd"/>
    </w:p>
    <w:p w14:paraId="05179362" w14:textId="53B79C0C" w:rsidR="00596D57" w:rsidRPr="00017003" w:rsidRDefault="00596D57" w:rsidP="00E21EDD">
      <w:pPr>
        <w:pStyle w:val="BodyText"/>
        <w:numPr>
          <w:ilvl w:val="0"/>
          <w:numId w:val="25"/>
        </w:numPr>
        <w:spacing w:line="252" w:lineRule="auto"/>
        <w:ind w:right="168"/>
        <w:jc w:val="left"/>
        <w:rPr>
          <w:rFonts w:asciiTheme="minorHAnsi" w:hAnsiTheme="minorHAnsi" w:cstheme="minorHAnsi"/>
          <w:sz w:val="22"/>
          <w:szCs w:val="22"/>
        </w:rPr>
      </w:pPr>
      <w:r w:rsidRPr="00017003">
        <w:rPr>
          <w:rFonts w:asciiTheme="minorHAnsi" w:hAnsiTheme="minorHAnsi" w:cstheme="minorHAnsi"/>
          <w:sz w:val="22"/>
          <w:szCs w:val="22"/>
        </w:rPr>
        <w:t>T</w:t>
      </w:r>
      <w:r w:rsidRPr="00017003">
        <w:rPr>
          <w:rFonts w:asciiTheme="minorHAnsi" w:hAnsiTheme="minorHAnsi" w:cstheme="minorHAnsi"/>
          <w:spacing w:val="-1"/>
          <w:sz w:val="22"/>
          <w:szCs w:val="22"/>
        </w:rPr>
        <w:t>ower Height</w:t>
      </w:r>
    </w:p>
    <w:p w14:paraId="44FA6316" w14:textId="77777777" w:rsidR="00017003" w:rsidRPr="00017003" w:rsidRDefault="00596D57" w:rsidP="00017003">
      <w:pPr>
        <w:pStyle w:val="ListParagraph"/>
        <w:numPr>
          <w:ilvl w:val="0"/>
          <w:numId w:val="25"/>
        </w:numPr>
        <w:spacing w:line="252" w:lineRule="auto"/>
        <w:ind w:right="168"/>
        <w:jc w:val="left"/>
        <w:rPr>
          <w:rFonts w:cstheme="minorHAnsi"/>
        </w:rPr>
      </w:pPr>
      <w:r w:rsidRPr="00017003">
        <w:rPr>
          <w:rFonts w:cstheme="minorHAnsi"/>
          <w:spacing w:val="-1"/>
        </w:rPr>
        <w:t>Does</w:t>
      </w:r>
      <w:r w:rsidRPr="00017003">
        <w:rPr>
          <w:rFonts w:cstheme="minorHAnsi"/>
        </w:rPr>
        <w:t xml:space="preserve"> </w:t>
      </w:r>
      <w:r w:rsidRPr="00017003">
        <w:rPr>
          <w:rFonts w:cstheme="minorHAnsi"/>
          <w:spacing w:val="-1"/>
        </w:rPr>
        <w:t xml:space="preserve">data </w:t>
      </w:r>
      <w:r w:rsidRPr="00017003">
        <w:rPr>
          <w:rFonts w:cstheme="minorHAnsi"/>
        </w:rPr>
        <w:t>processing</w:t>
      </w:r>
      <w:r w:rsidRPr="00017003">
        <w:rPr>
          <w:rFonts w:cstheme="minorHAnsi"/>
          <w:spacing w:val="-3"/>
        </w:rPr>
        <w:t xml:space="preserve"> </w:t>
      </w:r>
      <w:r w:rsidRPr="00017003">
        <w:rPr>
          <w:rFonts w:cstheme="minorHAnsi"/>
          <w:spacing w:val="-1"/>
        </w:rPr>
        <w:t>and</w:t>
      </w:r>
      <w:r w:rsidRPr="00017003">
        <w:rPr>
          <w:rFonts w:cstheme="minorHAnsi"/>
          <w:spacing w:val="2"/>
        </w:rPr>
        <w:t xml:space="preserve"> </w:t>
      </w:r>
      <w:r w:rsidRPr="00017003">
        <w:rPr>
          <w:rFonts w:cstheme="minorHAnsi"/>
          <w:spacing w:val="-1"/>
        </w:rPr>
        <w:t xml:space="preserve">QA follow </w:t>
      </w:r>
      <w:r w:rsidRPr="00017003">
        <w:rPr>
          <w:rFonts w:cstheme="minorHAnsi"/>
        </w:rPr>
        <w:t>the</w:t>
      </w:r>
      <w:r w:rsidRPr="00017003">
        <w:rPr>
          <w:rFonts w:cstheme="minorHAnsi"/>
          <w:spacing w:val="-1"/>
        </w:rPr>
        <w:t xml:space="preserve"> recommendations</w:t>
      </w:r>
      <w:r w:rsidRPr="00017003">
        <w:rPr>
          <w:rFonts w:cstheme="minorHAnsi"/>
        </w:rPr>
        <w:t xml:space="preserve"> of</w:t>
      </w:r>
      <w:r w:rsidRPr="00017003">
        <w:rPr>
          <w:rFonts w:cstheme="minorHAnsi"/>
          <w:spacing w:val="-1"/>
        </w:rPr>
        <w:t xml:space="preserve"> </w:t>
      </w:r>
      <w:r w:rsidRPr="00017003">
        <w:rPr>
          <w:rFonts w:cstheme="minorHAnsi"/>
        </w:rPr>
        <w:t>the</w:t>
      </w:r>
      <w:r w:rsidRPr="00017003">
        <w:rPr>
          <w:rFonts w:cstheme="minorHAnsi"/>
          <w:spacing w:val="-1"/>
        </w:rPr>
        <w:t xml:space="preserve"> </w:t>
      </w:r>
      <w:r w:rsidRPr="00017003">
        <w:rPr>
          <w:rFonts w:cstheme="minorHAnsi"/>
          <w:i/>
          <w:iCs/>
          <w:spacing w:val="-1"/>
        </w:rPr>
        <w:t>Meteorological</w:t>
      </w:r>
      <w:r w:rsidRPr="00017003">
        <w:rPr>
          <w:rFonts w:cstheme="minorHAnsi"/>
          <w:i/>
          <w:iCs/>
          <w:spacing w:val="81"/>
        </w:rPr>
        <w:t xml:space="preserve"> </w:t>
      </w:r>
      <w:r w:rsidRPr="00017003">
        <w:rPr>
          <w:rFonts w:cstheme="minorHAnsi"/>
          <w:i/>
          <w:iCs/>
          <w:spacing w:val="-1"/>
        </w:rPr>
        <w:t>Monitoring</w:t>
      </w:r>
      <w:r w:rsidRPr="00017003">
        <w:rPr>
          <w:rFonts w:cstheme="minorHAnsi"/>
          <w:i/>
          <w:iCs/>
        </w:rPr>
        <w:t xml:space="preserve"> </w:t>
      </w:r>
      <w:r w:rsidRPr="00017003">
        <w:rPr>
          <w:rFonts w:cstheme="minorHAnsi"/>
          <w:i/>
          <w:iCs/>
          <w:spacing w:val="-1"/>
        </w:rPr>
        <w:t xml:space="preserve">Guidance </w:t>
      </w:r>
      <w:r w:rsidRPr="00017003">
        <w:rPr>
          <w:rFonts w:cstheme="minorHAnsi"/>
          <w:i/>
          <w:iCs/>
        </w:rPr>
        <w:t xml:space="preserve">for </w:t>
      </w:r>
      <w:r w:rsidRPr="00017003">
        <w:rPr>
          <w:rFonts w:cstheme="minorHAnsi"/>
          <w:i/>
          <w:iCs/>
          <w:spacing w:val="-1"/>
        </w:rPr>
        <w:t>Regulatory Modeling</w:t>
      </w:r>
      <w:r w:rsidRPr="00017003">
        <w:rPr>
          <w:rFonts w:cstheme="minorHAnsi"/>
          <w:i/>
          <w:iCs/>
        </w:rPr>
        <w:t xml:space="preserve"> Applications </w:t>
      </w:r>
      <w:r w:rsidRPr="00017003">
        <w:rPr>
          <w:rFonts w:cstheme="minorHAnsi"/>
          <w:spacing w:val="-1"/>
        </w:rPr>
        <w:t>(EPA-454/R-99-005)?</w:t>
      </w:r>
    </w:p>
    <w:p w14:paraId="189BB47E" w14:textId="0A499C35" w:rsidR="00596D57" w:rsidRPr="00017003" w:rsidRDefault="00596D57" w:rsidP="00017003">
      <w:pPr>
        <w:pStyle w:val="ListParagraph"/>
        <w:numPr>
          <w:ilvl w:val="0"/>
          <w:numId w:val="25"/>
        </w:numPr>
        <w:spacing w:line="252" w:lineRule="auto"/>
        <w:ind w:right="168"/>
        <w:jc w:val="left"/>
        <w:rPr>
          <w:rFonts w:cstheme="minorHAnsi"/>
        </w:rPr>
      </w:pPr>
      <w:r w:rsidRPr="00017003">
        <w:rPr>
          <w:rFonts w:cstheme="minorHAnsi"/>
        </w:rPr>
        <w:t>A</w:t>
      </w:r>
      <w:r w:rsidRPr="00017003">
        <w:rPr>
          <w:rFonts w:cstheme="minorHAnsi"/>
          <w:spacing w:val="-1"/>
        </w:rPr>
        <w:t>djusted</w:t>
      </w:r>
      <w:r w:rsidRPr="00017003">
        <w:rPr>
          <w:rFonts w:cstheme="minorHAnsi"/>
        </w:rPr>
        <w:t xml:space="preserve"> </w:t>
      </w:r>
      <w:r w:rsidRPr="00017003">
        <w:rPr>
          <w:rFonts w:cstheme="minorHAnsi"/>
          <w:spacing w:val="-1"/>
        </w:rPr>
        <w:t>surface</w:t>
      </w:r>
      <w:r w:rsidRPr="00017003">
        <w:rPr>
          <w:rFonts w:cstheme="minorHAnsi"/>
          <w:spacing w:val="1"/>
        </w:rPr>
        <w:t xml:space="preserve"> </w:t>
      </w:r>
      <w:r w:rsidRPr="00017003">
        <w:rPr>
          <w:rFonts w:cstheme="minorHAnsi"/>
          <w:spacing w:val="-1"/>
        </w:rPr>
        <w:t>friction</w:t>
      </w:r>
      <w:r w:rsidRPr="00017003">
        <w:rPr>
          <w:rFonts w:cstheme="minorHAnsi"/>
        </w:rPr>
        <w:t xml:space="preserve"> velocity</w:t>
      </w:r>
      <w:r w:rsidRPr="00017003">
        <w:rPr>
          <w:rFonts w:cstheme="minorHAnsi"/>
          <w:spacing w:val="-5"/>
        </w:rPr>
        <w:t xml:space="preserve"> </w:t>
      </w:r>
      <w:r w:rsidRPr="00017003">
        <w:rPr>
          <w:rFonts w:cstheme="minorHAnsi"/>
          <w:spacing w:val="-1"/>
        </w:rPr>
        <w:t xml:space="preserve">(u*) </w:t>
      </w:r>
      <w:r w:rsidRPr="00017003">
        <w:rPr>
          <w:rFonts w:cstheme="minorHAnsi"/>
        </w:rPr>
        <w:t xml:space="preserve">option only </w:t>
      </w:r>
      <w:r w:rsidRPr="00017003">
        <w:rPr>
          <w:rFonts w:cstheme="minorHAnsi"/>
          <w:spacing w:val="-1"/>
        </w:rPr>
        <w:t>used appropriately if turbulence parameters</w:t>
      </w:r>
      <w:r w:rsidRPr="00017003">
        <w:rPr>
          <w:rFonts w:cstheme="minorHAnsi"/>
        </w:rPr>
        <w:t xml:space="preserve"> </w:t>
      </w:r>
      <w:r w:rsidRPr="00017003">
        <w:rPr>
          <w:rFonts w:cstheme="minorHAnsi"/>
        </w:rPr>
        <w:lastRenderedPageBreak/>
        <w:t xml:space="preserve">are not passed through </w:t>
      </w:r>
      <w:r w:rsidRPr="00017003">
        <w:rPr>
          <w:rFonts w:cstheme="minorHAnsi"/>
          <w:spacing w:val="-1"/>
        </w:rPr>
        <w:t>AERMOD?</w:t>
      </w:r>
    </w:p>
    <w:p w14:paraId="2868040A" w14:textId="77777777" w:rsidR="00596D57" w:rsidRPr="00017003" w:rsidRDefault="00596D57" w:rsidP="00E21EDD">
      <w:pPr>
        <w:pStyle w:val="BodyText"/>
        <w:ind w:right="615"/>
        <w:jc w:val="left"/>
        <w:rPr>
          <w:rFonts w:asciiTheme="minorHAnsi" w:hAnsiTheme="minorHAnsi" w:cstheme="minorHAnsi"/>
          <w:sz w:val="22"/>
          <w:szCs w:val="22"/>
        </w:rPr>
      </w:pPr>
      <w:bookmarkStart w:id="64" w:name="Representativeness_and_surface_character"/>
      <w:bookmarkEnd w:id="64"/>
      <w:r w:rsidRPr="00017003">
        <w:rPr>
          <w:rFonts w:asciiTheme="minorHAnsi" w:hAnsiTheme="minorHAnsi" w:cstheme="minorHAnsi"/>
          <w:spacing w:val="-1"/>
          <w:sz w:val="22"/>
          <w:szCs w:val="22"/>
        </w:rPr>
        <w:t>Representativeness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 xml:space="preserve">and surface characteristics using </w:t>
      </w:r>
      <w:proofErr w:type="gramStart"/>
      <w:r w:rsidRPr="00017003">
        <w:rPr>
          <w:rFonts w:asciiTheme="minorHAnsi" w:hAnsiTheme="minorHAnsi" w:cstheme="minorHAnsi"/>
          <w:spacing w:val="-1"/>
          <w:sz w:val="22"/>
          <w:szCs w:val="22"/>
        </w:rPr>
        <w:t>AERSURFACE</w:t>
      </w:r>
      <w:proofErr w:type="gramEnd"/>
    </w:p>
    <w:p w14:paraId="396FCB4D" w14:textId="430953A9" w:rsidR="00596D57" w:rsidRPr="00017003" w:rsidRDefault="00596D57" w:rsidP="00E21EDD">
      <w:pPr>
        <w:pStyle w:val="BodyText"/>
        <w:numPr>
          <w:ilvl w:val="0"/>
          <w:numId w:val="26"/>
        </w:numPr>
        <w:spacing w:line="252" w:lineRule="auto"/>
        <w:ind w:right="721"/>
        <w:jc w:val="left"/>
        <w:rPr>
          <w:rFonts w:asciiTheme="minorHAnsi" w:hAnsiTheme="minorHAnsi" w:cstheme="minorHAnsi"/>
          <w:spacing w:val="-1"/>
          <w:sz w:val="22"/>
          <w:szCs w:val="22"/>
        </w:rPr>
      </w:pPr>
      <w:r w:rsidRPr="00017003">
        <w:rPr>
          <w:rFonts w:asciiTheme="minorHAnsi" w:hAnsiTheme="minorHAnsi" w:cstheme="minorHAnsi"/>
          <w:sz w:val="22"/>
          <w:szCs w:val="22"/>
        </w:rPr>
        <w:t>P</w:t>
      </w:r>
      <w:r w:rsidRPr="00017003">
        <w:rPr>
          <w:rFonts w:asciiTheme="minorHAnsi" w:hAnsiTheme="minorHAnsi" w:cstheme="minorHAnsi"/>
          <w:spacing w:val="-1"/>
          <w:sz w:val="22"/>
          <w:szCs w:val="22"/>
        </w:rPr>
        <w:t xml:space="preserve">rimary </w:t>
      </w:r>
      <w:r w:rsidRPr="00017003">
        <w:rPr>
          <w:rFonts w:asciiTheme="minorHAnsi" w:hAnsiTheme="minorHAnsi" w:cstheme="minorHAnsi"/>
          <w:sz w:val="22"/>
          <w:szCs w:val="22"/>
        </w:rPr>
        <w:t>surface</w:t>
      </w:r>
      <w:r w:rsidRPr="00017003">
        <w:rPr>
          <w:rFonts w:asciiTheme="minorHAnsi" w:hAnsiTheme="minorHAnsi" w:cstheme="minorHAnsi"/>
          <w:spacing w:val="-1"/>
          <w:sz w:val="22"/>
          <w:szCs w:val="22"/>
        </w:rPr>
        <w:t xml:space="preserve"> characteristics (NWS site)</w:t>
      </w:r>
    </w:p>
    <w:p w14:paraId="10D71062" w14:textId="57DB4B51" w:rsidR="00596D57" w:rsidRPr="00017003" w:rsidRDefault="00596D57" w:rsidP="00E21EDD">
      <w:pPr>
        <w:pStyle w:val="BodyText"/>
        <w:numPr>
          <w:ilvl w:val="0"/>
          <w:numId w:val="26"/>
        </w:numPr>
        <w:spacing w:line="252" w:lineRule="auto"/>
        <w:ind w:right="721"/>
        <w:jc w:val="left"/>
        <w:rPr>
          <w:rFonts w:asciiTheme="minorHAnsi" w:hAnsiTheme="minorHAnsi" w:cstheme="minorHAnsi"/>
          <w:sz w:val="22"/>
          <w:szCs w:val="22"/>
        </w:rPr>
      </w:pPr>
      <w:r w:rsidRPr="00017003">
        <w:rPr>
          <w:rFonts w:asciiTheme="minorHAnsi" w:hAnsiTheme="minorHAnsi" w:cstheme="minorHAnsi"/>
          <w:sz w:val="22"/>
          <w:szCs w:val="22"/>
        </w:rPr>
        <w:t>Secondary</w:t>
      </w:r>
      <w:r w:rsidRPr="00017003">
        <w:rPr>
          <w:rFonts w:asciiTheme="minorHAnsi" w:hAnsiTheme="minorHAnsi" w:cstheme="minorHAnsi"/>
          <w:spacing w:val="-5"/>
          <w:sz w:val="22"/>
          <w:szCs w:val="22"/>
        </w:rPr>
        <w:t xml:space="preserve"> </w:t>
      </w:r>
      <w:r w:rsidRPr="00017003">
        <w:rPr>
          <w:rFonts w:asciiTheme="minorHAnsi" w:hAnsiTheme="minorHAnsi" w:cstheme="minorHAnsi"/>
          <w:sz w:val="22"/>
          <w:szCs w:val="22"/>
        </w:rPr>
        <w:t>surface</w:t>
      </w:r>
      <w:r w:rsidRPr="00017003">
        <w:rPr>
          <w:rFonts w:asciiTheme="minorHAnsi" w:hAnsiTheme="minorHAnsi" w:cstheme="minorHAnsi"/>
          <w:spacing w:val="-1"/>
          <w:sz w:val="22"/>
          <w:szCs w:val="22"/>
        </w:rPr>
        <w:t xml:space="preserve"> characteristics</w:t>
      </w:r>
      <w:r w:rsidRPr="00017003">
        <w:rPr>
          <w:rFonts w:asciiTheme="minorHAnsi" w:hAnsiTheme="minorHAnsi" w:cstheme="minorHAnsi"/>
          <w:sz w:val="22"/>
          <w:szCs w:val="22"/>
        </w:rPr>
        <w:t xml:space="preserve"> (source site)</w:t>
      </w:r>
    </w:p>
    <w:p w14:paraId="259C370D" w14:textId="12E559DD" w:rsidR="00596D57" w:rsidRPr="00017003" w:rsidRDefault="00596D57" w:rsidP="00E21EDD">
      <w:pPr>
        <w:pStyle w:val="BodyText"/>
        <w:numPr>
          <w:ilvl w:val="0"/>
          <w:numId w:val="26"/>
        </w:numPr>
        <w:jc w:val="left"/>
        <w:rPr>
          <w:rFonts w:asciiTheme="minorHAnsi" w:hAnsiTheme="minorHAnsi" w:cstheme="minorHAnsi"/>
          <w:spacing w:val="-1"/>
          <w:sz w:val="22"/>
          <w:szCs w:val="22"/>
        </w:rPr>
      </w:pPr>
      <w:r w:rsidRPr="00017003">
        <w:rPr>
          <w:rFonts w:asciiTheme="minorHAnsi" w:hAnsiTheme="minorHAnsi" w:cstheme="minorHAnsi"/>
          <w:spacing w:val="-1"/>
          <w:sz w:val="22"/>
          <w:szCs w:val="22"/>
        </w:rPr>
        <w:t>Latest NLDC</w:t>
      </w:r>
    </w:p>
    <w:p w14:paraId="74F8B115" w14:textId="01C86337" w:rsidR="00017003" w:rsidRDefault="00017003">
      <w:pPr>
        <w:jc w:val="left"/>
        <w:rPr>
          <w:rFonts w:eastAsia="Times New Roman" w:cstheme="minorHAnsi"/>
          <w:snapToGrid w:val="0"/>
          <w:spacing w:val="-1"/>
          <w:sz w:val="24"/>
          <w:szCs w:val="20"/>
        </w:rPr>
      </w:pPr>
      <w:r>
        <w:rPr>
          <w:rFonts w:cstheme="minorHAnsi"/>
          <w:spacing w:val="-1"/>
        </w:rPr>
        <w:br w:type="page"/>
      </w:r>
    </w:p>
    <w:p w14:paraId="03AE57C9" w14:textId="1B4F844C" w:rsidR="00596D57" w:rsidRPr="00E43542" w:rsidRDefault="00DE41B2" w:rsidP="00E21EDD">
      <w:pPr>
        <w:pStyle w:val="ListParagraph"/>
        <w:numPr>
          <w:ilvl w:val="0"/>
          <w:numId w:val="16"/>
        </w:numPr>
        <w:ind w:left="270"/>
        <w:jc w:val="left"/>
        <w:rPr>
          <w:rFonts w:cstheme="minorHAnsi"/>
        </w:rPr>
      </w:pPr>
      <w:r w:rsidRPr="00E43542">
        <w:rPr>
          <w:rFonts w:cstheme="minorHAnsi"/>
          <w:b/>
          <w:bCs/>
          <w:sz w:val="28"/>
          <w:szCs w:val="28"/>
        </w:rPr>
        <w:t>Background Concentration (Provided by CT DEEP)</w:t>
      </w:r>
      <w:r w:rsidR="00596D57" w:rsidRPr="00E43542">
        <w:rPr>
          <w:rFonts w:cstheme="minorHAnsi"/>
        </w:rPr>
        <w:t xml:space="preserve">  </w:t>
      </w:r>
    </w:p>
    <w:p w14:paraId="526A75E3" w14:textId="31C86DD8" w:rsidR="00596D57" w:rsidRPr="00017003" w:rsidRDefault="00596D57" w:rsidP="00E21EDD">
      <w:pPr>
        <w:pStyle w:val="BodyText"/>
        <w:numPr>
          <w:ilvl w:val="0"/>
          <w:numId w:val="27"/>
        </w:numPr>
        <w:spacing w:line="252" w:lineRule="auto"/>
        <w:ind w:right="129"/>
        <w:jc w:val="left"/>
        <w:rPr>
          <w:rFonts w:asciiTheme="minorHAnsi" w:eastAsiaTheme="minorHAnsi" w:hAnsiTheme="minorHAnsi" w:cstheme="minorHAnsi"/>
          <w:sz w:val="22"/>
          <w:szCs w:val="18"/>
        </w:rPr>
      </w:pPr>
      <w:r w:rsidRPr="00017003">
        <w:rPr>
          <w:rFonts w:asciiTheme="minorHAnsi" w:hAnsiTheme="minorHAnsi" w:cstheme="minorHAnsi"/>
          <w:spacing w:val="-1"/>
          <w:sz w:val="22"/>
          <w:szCs w:val="18"/>
        </w:rPr>
        <w:t>Discussion</w:t>
      </w:r>
      <w:r w:rsidRPr="00017003">
        <w:rPr>
          <w:rFonts w:asciiTheme="minorHAnsi" w:hAnsiTheme="minorHAnsi" w:cstheme="minorHAnsi"/>
          <w:sz w:val="22"/>
          <w:szCs w:val="18"/>
        </w:rPr>
        <w:t xml:space="preserve"> of</w:t>
      </w:r>
      <w:r w:rsidRPr="00017003">
        <w:rPr>
          <w:rFonts w:asciiTheme="minorHAnsi" w:hAnsiTheme="minorHAnsi" w:cstheme="minorHAnsi"/>
          <w:spacing w:val="-1"/>
          <w:sz w:val="22"/>
          <w:szCs w:val="18"/>
        </w:rPr>
        <w:t xml:space="preserve"> monitored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value(s) used</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 xml:space="preserve">for </w:t>
      </w:r>
      <w:r w:rsidRPr="00017003">
        <w:rPr>
          <w:rFonts w:asciiTheme="minorHAnsi" w:hAnsiTheme="minorHAnsi" w:cstheme="minorHAnsi"/>
          <w:sz w:val="22"/>
          <w:szCs w:val="18"/>
        </w:rPr>
        <w:t xml:space="preserve">background, </w:t>
      </w:r>
      <w:r w:rsidRPr="00017003">
        <w:rPr>
          <w:rFonts w:asciiTheme="minorHAnsi" w:hAnsiTheme="minorHAnsi" w:cstheme="minorHAnsi"/>
          <w:spacing w:val="-1"/>
          <w:sz w:val="22"/>
          <w:szCs w:val="18"/>
        </w:rPr>
        <w:t>including</w:t>
      </w:r>
      <w:r w:rsidRPr="00017003">
        <w:rPr>
          <w:rFonts w:asciiTheme="minorHAnsi" w:hAnsiTheme="minorHAnsi" w:cstheme="minorHAnsi"/>
          <w:spacing w:val="-3"/>
          <w:sz w:val="22"/>
          <w:szCs w:val="18"/>
        </w:rPr>
        <w:t xml:space="preserve"> </w:t>
      </w:r>
      <w:r w:rsidRPr="00017003">
        <w:rPr>
          <w:rFonts w:asciiTheme="minorHAnsi" w:hAnsiTheme="minorHAnsi" w:cstheme="minorHAnsi"/>
          <w:spacing w:val="-1"/>
          <w:sz w:val="22"/>
          <w:szCs w:val="18"/>
        </w:rPr>
        <w:t>location(s)</w:t>
      </w:r>
    </w:p>
    <w:p w14:paraId="59396453" w14:textId="712AD0C8" w:rsidR="00596D57" w:rsidRPr="00017003" w:rsidRDefault="00596D57" w:rsidP="00E21EDD">
      <w:pPr>
        <w:pStyle w:val="BodyText"/>
        <w:numPr>
          <w:ilvl w:val="0"/>
          <w:numId w:val="27"/>
        </w:numPr>
        <w:jc w:val="left"/>
        <w:rPr>
          <w:rFonts w:asciiTheme="minorHAnsi" w:hAnsiTheme="minorHAnsi" w:cstheme="minorHAnsi"/>
          <w:sz w:val="22"/>
          <w:szCs w:val="18"/>
        </w:rPr>
      </w:pPr>
      <w:r w:rsidRPr="00017003">
        <w:rPr>
          <w:rFonts w:asciiTheme="minorHAnsi" w:hAnsiTheme="minorHAnsi" w:cstheme="minorHAnsi"/>
          <w:spacing w:val="-1"/>
          <w:sz w:val="22"/>
          <w:szCs w:val="18"/>
        </w:rPr>
        <w:t>Representativeness</w:t>
      </w:r>
      <w:r w:rsidRPr="00017003">
        <w:rPr>
          <w:rFonts w:asciiTheme="minorHAnsi" w:hAnsiTheme="minorHAnsi" w:cstheme="minorHAnsi"/>
          <w:sz w:val="22"/>
          <w:szCs w:val="18"/>
        </w:rPr>
        <w:t xml:space="preserve"> of</w:t>
      </w:r>
      <w:r w:rsidRPr="00017003">
        <w:rPr>
          <w:rFonts w:asciiTheme="minorHAnsi" w:hAnsiTheme="minorHAnsi" w:cstheme="minorHAnsi"/>
          <w:spacing w:val="-1"/>
          <w:sz w:val="22"/>
          <w:szCs w:val="18"/>
        </w:rPr>
        <w:t xml:space="preserve"> monitored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values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used.</w:t>
      </w:r>
    </w:p>
    <w:p w14:paraId="09CA9C59" w14:textId="12987648" w:rsidR="00596D57" w:rsidRPr="00017003" w:rsidRDefault="00596D57" w:rsidP="00E21EDD">
      <w:pPr>
        <w:pStyle w:val="BodyText"/>
        <w:numPr>
          <w:ilvl w:val="0"/>
          <w:numId w:val="27"/>
        </w:numPr>
        <w:spacing w:line="252" w:lineRule="auto"/>
        <w:ind w:right="974"/>
        <w:jc w:val="left"/>
        <w:rPr>
          <w:rFonts w:asciiTheme="minorHAnsi" w:hAnsiTheme="minorHAnsi" w:cstheme="minorHAnsi"/>
          <w:spacing w:val="-1"/>
          <w:sz w:val="22"/>
          <w:szCs w:val="18"/>
        </w:rPr>
      </w:pPr>
      <w:r w:rsidRPr="00017003">
        <w:rPr>
          <w:rFonts w:asciiTheme="minorHAnsi" w:hAnsiTheme="minorHAnsi" w:cstheme="minorHAnsi"/>
          <w:sz w:val="22"/>
          <w:szCs w:val="18"/>
        </w:rPr>
        <w:t>Nearby</w:t>
      </w:r>
      <w:r w:rsidRPr="00017003">
        <w:rPr>
          <w:rFonts w:asciiTheme="minorHAnsi" w:hAnsiTheme="minorHAnsi" w:cstheme="minorHAnsi"/>
          <w:spacing w:val="-5"/>
          <w:sz w:val="22"/>
          <w:szCs w:val="18"/>
        </w:rPr>
        <w:t xml:space="preserve"> </w:t>
      </w:r>
      <w:r w:rsidRPr="00017003">
        <w:rPr>
          <w:rFonts w:asciiTheme="minorHAnsi" w:hAnsiTheme="minorHAnsi" w:cstheme="minorHAnsi"/>
          <w:sz w:val="22"/>
          <w:szCs w:val="18"/>
        </w:rPr>
        <w:t>source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 xml:space="preserve">list </w:t>
      </w:r>
      <w:r w:rsidRPr="00017003">
        <w:rPr>
          <w:rFonts w:asciiTheme="minorHAnsi" w:hAnsiTheme="minorHAnsi" w:cstheme="minorHAnsi"/>
          <w:spacing w:val="-1"/>
          <w:sz w:val="22"/>
          <w:szCs w:val="18"/>
        </w:rPr>
        <w:t>determined</w:t>
      </w:r>
      <w:r w:rsidRPr="00017003">
        <w:rPr>
          <w:rFonts w:asciiTheme="minorHAnsi" w:hAnsiTheme="minorHAnsi" w:cstheme="minorHAnsi"/>
          <w:sz w:val="22"/>
          <w:szCs w:val="18"/>
        </w:rPr>
        <w:t xml:space="preserve"> using</w:t>
      </w:r>
      <w:r w:rsidRPr="00017003">
        <w:rPr>
          <w:rFonts w:asciiTheme="minorHAnsi" w:hAnsiTheme="minorHAnsi" w:cstheme="minorHAnsi"/>
          <w:spacing w:val="-3"/>
          <w:sz w:val="22"/>
          <w:szCs w:val="18"/>
        </w:rPr>
        <w:t xml:space="preserve"> </w:t>
      </w:r>
      <w:r w:rsidRPr="00017003">
        <w:rPr>
          <w:rFonts w:asciiTheme="minorHAnsi" w:hAnsiTheme="minorHAnsi" w:cstheme="minorHAnsi"/>
          <w:spacing w:val="-1"/>
          <w:sz w:val="22"/>
          <w:szCs w:val="18"/>
        </w:rPr>
        <w:t>Significant</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Concentration</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Gradient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with</w:t>
      </w:r>
      <w:r w:rsidRPr="00017003">
        <w:rPr>
          <w:rFonts w:asciiTheme="minorHAnsi" w:hAnsiTheme="minorHAnsi" w:cstheme="minorHAnsi"/>
          <w:spacing w:val="67"/>
          <w:sz w:val="22"/>
          <w:szCs w:val="18"/>
        </w:rPr>
        <w:t xml:space="preserve"> </w:t>
      </w:r>
      <w:r w:rsidRPr="00017003">
        <w:rPr>
          <w:rFonts w:asciiTheme="minorHAnsi" w:hAnsiTheme="minorHAnsi" w:cstheme="minorHAnsi"/>
          <w:spacing w:val="-1"/>
          <w:sz w:val="22"/>
          <w:szCs w:val="18"/>
        </w:rPr>
        <w:t>professional</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judgement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criteria?</w:t>
      </w:r>
    </w:p>
    <w:p w14:paraId="3CDCADCA" w14:textId="7DFE51BD" w:rsidR="00596D57" w:rsidRPr="00017003" w:rsidRDefault="00596D57" w:rsidP="00E21EDD">
      <w:pPr>
        <w:pStyle w:val="BodyText"/>
        <w:numPr>
          <w:ilvl w:val="0"/>
          <w:numId w:val="27"/>
        </w:numPr>
        <w:jc w:val="left"/>
        <w:rPr>
          <w:rFonts w:asciiTheme="minorHAnsi" w:hAnsiTheme="minorHAnsi" w:cstheme="minorHAnsi"/>
          <w:sz w:val="22"/>
          <w:szCs w:val="18"/>
        </w:rPr>
      </w:pPr>
      <w:r w:rsidRPr="00017003">
        <w:rPr>
          <w:rFonts w:asciiTheme="minorHAnsi" w:hAnsiTheme="minorHAnsi" w:cstheme="minorHAnsi"/>
          <w:spacing w:val="-1"/>
          <w:sz w:val="22"/>
          <w:szCs w:val="18"/>
        </w:rPr>
        <w:t>Concentrations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by</w:t>
      </w:r>
      <w:r w:rsidRPr="00017003">
        <w:rPr>
          <w:rFonts w:asciiTheme="minorHAnsi" w:hAnsiTheme="minorHAnsi" w:cstheme="minorHAnsi"/>
          <w:spacing w:val="-5"/>
          <w:sz w:val="22"/>
          <w:szCs w:val="18"/>
        </w:rPr>
        <w:t xml:space="preserve"> </w:t>
      </w:r>
      <w:r w:rsidRPr="00017003">
        <w:rPr>
          <w:rFonts w:asciiTheme="minorHAnsi" w:hAnsiTheme="minorHAnsi" w:cstheme="minorHAnsi"/>
          <w:sz w:val="22"/>
          <w:szCs w:val="18"/>
        </w:rPr>
        <w:t>pollutant.</w:t>
      </w:r>
    </w:p>
    <w:p w14:paraId="790405B5" w14:textId="5F47BA43" w:rsidR="00596D57" w:rsidRPr="00017003" w:rsidRDefault="00596D57" w:rsidP="00E21EDD">
      <w:pPr>
        <w:pStyle w:val="BodyText"/>
        <w:numPr>
          <w:ilvl w:val="0"/>
          <w:numId w:val="27"/>
        </w:numPr>
        <w:jc w:val="left"/>
        <w:rPr>
          <w:rFonts w:asciiTheme="minorHAnsi" w:hAnsiTheme="minorHAnsi" w:cstheme="minorHAnsi"/>
          <w:sz w:val="22"/>
          <w:szCs w:val="18"/>
        </w:rPr>
      </w:pPr>
      <w:r w:rsidRPr="00017003">
        <w:rPr>
          <w:rFonts w:asciiTheme="minorHAnsi" w:hAnsiTheme="minorHAnsi" w:cstheme="minorHAnsi"/>
          <w:spacing w:val="-1"/>
          <w:sz w:val="22"/>
          <w:szCs w:val="18"/>
        </w:rPr>
        <w:t>Averaging</w:t>
      </w:r>
      <w:r w:rsidRPr="00017003">
        <w:rPr>
          <w:rFonts w:asciiTheme="minorHAnsi" w:hAnsiTheme="minorHAnsi" w:cstheme="minorHAnsi"/>
          <w:spacing w:val="-3"/>
          <w:sz w:val="22"/>
          <w:szCs w:val="18"/>
        </w:rPr>
        <w:t xml:space="preserve"> </w:t>
      </w:r>
      <w:r w:rsidRPr="00017003">
        <w:rPr>
          <w:rFonts w:asciiTheme="minorHAnsi" w:hAnsiTheme="minorHAnsi" w:cstheme="minorHAnsi"/>
          <w:sz w:val="22"/>
          <w:szCs w:val="18"/>
        </w:rPr>
        <w:t>time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w:t>
      </w:r>
      <w:r w:rsidRPr="00017003">
        <w:rPr>
          <w:rFonts w:asciiTheme="minorHAnsi" w:hAnsiTheme="minorHAnsi" w:cstheme="minorHAnsi"/>
          <w:i/>
          <w:iCs/>
          <w:sz w:val="22"/>
          <w:szCs w:val="18"/>
        </w:rPr>
        <w:t>e.g.</w:t>
      </w:r>
      <w:r w:rsidRPr="00017003">
        <w:rPr>
          <w:rFonts w:asciiTheme="minorHAnsi" w:hAnsiTheme="minorHAnsi" w:cstheme="minorHAnsi"/>
          <w:sz w:val="22"/>
          <w:szCs w:val="18"/>
        </w:rPr>
        <w:t xml:space="preserve">, </w:t>
      </w:r>
      <w:r w:rsidR="005A2FFF" w:rsidRPr="00017003">
        <w:rPr>
          <w:rFonts w:asciiTheme="minorHAnsi" w:hAnsiTheme="minorHAnsi" w:cstheme="minorHAnsi"/>
          <w:spacing w:val="-1"/>
          <w:sz w:val="22"/>
          <w:szCs w:val="18"/>
        </w:rPr>
        <w:t>short-term,</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and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long-term).</w:t>
      </w:r>
    </w:p>
    <w:p w14:paraId="06B52670" w14:textId="1A0AE466" w:rsidR="00596D57" w:rsidRPr="00E43542" w:rsidRDefault="00596D57" w:rsidP="00017003">
      <w:pPr>
        <w:pStyle w:val="ListParagraph"/>
        <w:numPr>
          <w:ilvl w:val="0"/>
          <w:numId w:val="16"/>
        </w:numPr>
        <w:spacing w:before="240"/>
        <w:ind w:left="270"/>
        <w:jc w:val="left"/>
        <w:rPr>
          <w:rFonts w:cstheme="minorHAnsi"/>
          <w:b/>
          <w:sz w:val="28"/>
        </w:rPr>
      </w:pPr>
      <w:bookmarkStart w:id="65" w:name="V._Compliance_Demonstration_and_Results"/>
      <w:bookmarkEnd w:id="65"/>
      <w:r w:rsidRPr="00E43542">
        <w:rPr>
          <w:rFonts w:cstheme="minorHAnsi"/>
          <w:b/>
          <w:sz w:val="28"/>
        </w:rPr>
        <w:t>Compliance Demonstration and Results</w:t>
      </w:r>
    </w:p>
    <w:p w14:paraId="6E904956" w14:textId="77777777" w:rsidR="00596D57" w:rsidRPr="00017003" w:rsidRDefault="00596D57" w:rsidP="00E21EDD">
      <w:pPr>
        <w:jc w:val="left"/>
        <w:rPr>
          <w:rFonts w:cstheme="minorHAnsi"/>
        </w:rPr>
      </w:pPr>
      <w:bookmarkStart w:id="66" w:name="Single-Source_Impact_Analysis"/>
      <w:bookmarkEnd w:id="66"/>
      <w:r w:rsidRPr="00017003">
        <w:rPr>
          <w:rFonts w:cstheme="minorHAnsi"/>
        </w:rPr>
        <w:t>Single-Source Impact</w:t>
      </w:r>
      <w:r w:rsidRPr="00017003">
        <w:rPr>
          <w:rFonts w:cstheme="minorHAnsi"/>
          <w:spacing w:val="2"/>
        </w:rPr>
        <w:t xml:space="preserve"> </w:t>
      </w:r>
      <w:r w:rsidRPr="00017003">
        <w:rPr>
          <w:rFonts w:cstheme="minorHAnsi"/>
        </w:rPr>
        <w:t>Analysis</w:t>
      </w:r>
    </w:p>
    <w:p w14:paraId="305A605B" w14:textId="6B9A8A04" w:rsidR="00596D57" w:rsidRPr="00017003" w:rsidRDefault="00596D57" w:rsidP="00E21EDD">
      <w:pPr>
        <w:pStyle w:val="BodyText"/>
        <w:numPr>
          <w:ilvl w:val="0"/>
          <w:numId w:val="28"/>
        </w:numPr>
        <w:spacing w:line="252" w:lineRule="auto"/>
        <w:ind w:right="394"/>
        <w:jc w:val="left"/>
        <w:rPr>
          <w:rFonts w:asciiTheme="minorHAnsi" w:eastAsiaTheme="minorHAnsi" w:hAnsiTheme="minorHAnsi" w:cstheme="minorHAnsi"/>
          <w:sz w:val="22"/>
          <w:szCs w:val="22"/>
        </w:rPr>
      </w:pPr>
      <w:r w:rsidRPr="00017003">
        <w:rPr>
          <w:rFonts w:asciiTheme="minorHAnsi" w:hAnsiTheme="minorHAnsi" w:cstheme="minorHAnsi"/>
          <w:sz w:val="22"/>
          <w:szCs w:val="22"/>
        </w:rPr>
        <w:t xml:space="preserve">Is screening modeling </w:t>
      </w:r>
      <w:r w:rsidRPr="00017003">
        <w:rPr>
          <w:rFonts w:asciiTheme="minorHAnsi" w:hAnsiTheme="minorHAnsi" w:cstheme="minorHAnsi"/>
          <w:spacing w:val="-1"/>
          <w:sz w:val="22"/>
          <w:szCs w:val="22"/>
        </w:rPr>
        <w:t>used</w:t>
      </w:r>
      <w:r w:rsidRPr="00017003">
        <w:rPr>
          <w:rFonts w:asciiTheme="minorHAnsi" w:hAnsiTheme="minorHAnsi" w:cstheme="minorHAnsi"/>
          <w:sz w:val="22"/>
          <w:szCs w:val="22"/>
        </w:rPr>
        <w:t xml:space="preserve"> to </w:t>
      </w:r>
      <w:r w:rsidRPr="00017003">
        <w:rPr>
          <w:rFonts w:asciiTheme="minorHAnsi" w:hAnsiTheme="minorHAnsi" w:cstheme="minorHAnsi"/>
          <w:spacing w:val="-1"/>
          <w:sz w:val="22"/>
          <w:szCs w:val="22"/>
        </w:rPr>
        <w:t xml:space="preserve">estimate </w:t>
      </w:r>
      <w:r w:rsidRPr="00017003">
        <w:rPr>
          <w:rFonts w:asciiTheme="minorHAnsi" w:hAnsiTheme="minorHAnsi" w:cstheme="minorHAnsi"/>
          <w:sz w:val="22"/>
          <w:szCs w:val="22"/>
        </w:rPr>
        <w:t>a</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new</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or</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modifying</w:t>
      </w:r>
      <w:r w:rsidRPr="00017003">
        <w:rPr>
          <w:rFonts w:asciiTheme="minorHAnsi" w:hAnsiTheme="minorHAnsi" w:cstheme="minorHAnsi"/>
          <w:spacing w:val="-3"/>
          <w:sz w:val="22"/>
          <w:szCs w:val="22"/>
        </w:rPr>
        <w:t xml:space="preserve"> </w:t>
      </w:r>
      <w:r w:rsidRPr="00017003">
        <w:rPr>
          <w:rFonts w:asciiTheme="minorHAnsi" w:hAnsiTheme="minorHAnsi" w:cstheme="minorHAnsi"/>
          <w:spacing w:val="-1"/>
          <w:sz w:val="22"/>
          <w:szCs w:val="22"/>
        </w:rPr>
        <w:t>source’s</w:t>
      </w:r>
      <w:r w:rsidRPr="00017003">
        <w:rPr>
          <w:rFonts w:asciiTheme="minorHAnsi" w:hAnsiTheme="minorHAnsi" w:cstheme="minorHAnsi"/>
          <w:spacing w:val="39"/>
          <w:sz w:val="22"/>
          <w:szCs w:val="22"/>
        </w:rPr>
        <w:t xml:space="preserve"> </w:t>
      </w:r>
      <w:r w:rsidRPr="00017003">
        <w:rPr>
          <w:rFonts w:asciiTheme="minorHAnsi" w:hAnsiTheme="minorHAnsi" w:cstheme="minorHAnsi"/>
          <w:spacing w:val="-1"/>
          <w:sz w:val="22"/>
          <w:szCs w:val="22"/>
        </w:rPr>
        <w:t>impact;</w:t>
      </w:r>
      <w:r w:rsidRPr="00017003">
        <w:rPr>
          <w:rFonts w:asciiTheme="minorHAnsi" w:hAnsiTheme="minorHAnsi" w:cstheme="minorHAnsi"/>
          <w:sz w:val="22"/>
          <w:szCs w:val="22"/>
        </w:rPr>
        <w:t xml:space="preserve"> do </w:t>
      </w:r>
      <w:r w:rsidRPr="00017003">
        <w:rPr>
          <w:rFonts w:asciiTheme="minorHAnsi" w:hAnsiTheme="minorHAnsi" w:cstheme="minorHAnsi"/>
          <w:spacing w:val="-1"/>
          <w:sz w:val="22"/>
          <w:szCs w:val="22"/>
        </w:rPr>
        <w:t xml:space="preserve">worst-case </w:t>
      </w:r>
      <w:r w:rsidRPr="00017003">
        <w:rPr>
          <w:rFonts w:asciiTheme="minorHAnsi" w:hAnsiTheme="minorHAnsi" w:cstheme="minorHAnsi"/>
          <w:sz w:val="22"/>
          <w:szCs w:val="22"/>
        </w:rPr>
        <w:t xml:space="preserve">ambient </w:t>
      </w:r>
      <w:r w:rsidRPr="00017003">
        <w:rPr>
          <w:rFonts w:asciiTheme="minorHAnsi" w:hAnsiTheme="minorHAnsi" w:cstheme="minorHAnsi"/>
          <w:spacing w:val="-1"/>
          <w:sz w:val="22"/>
          <w:szCs w:val="22"/>
        </w:rPr>
        <w:t>impacts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from</w:t>
      </w:r>
      <w:r w:rsidRPr="00017003">
        <w:rPr>
          <w:rFonts w:asciiTheme="minorHAnsi" w:hAnsiTheme="minorHAnsi" w:cstheme="minorHAnsi"/>
          <w:sz w:val="22"/>
          <w:szCs w:val="22"/>
        </w:rPr>
        <w:t xml:space="preserve"> the</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source</w:t>
      </w:r>
      <w:r w:rsidRPr="00017003">
        <w:rPr>
          <w:rFonts w:asciiTheme="minorHAnsi" w:hAnsiTheme="minorHAnsi" w:cstheme="minorHAnsi"/>
          <w:spacing w:val="-1"/>
          <w:sz w:val="22"/>
          <w:szCs w:val="22"/>
        </w:rPr>
        <w:t xml:space="preserve"> </w:t>
      </w:r>
      <w:r w:rsidRPr="00017003">
        <w:rPr>
          <w:rFonts w:asciiTheme="minorHAnsi" w:hAnsiTheme="minorHAnsi" w:cstheme="minorHAnsi"/>
          <w:spacing w:val="1"/>
          <w:sz w:val="22"/>
          <w:szCs w:val="22"/>
        </w:rPr>
        <w:t>exceed Connecticut’s Screening Adverse Impact Levels (AILs)</w:t>
      </w:r>
      <w:r w:rsidRPr="00017003">
        <w:rPr>
          <w:rFonts w:asciiTheme="minorHAnsi" w:hAnsiTheme="minorHAnsi" w:cstheme="minorHAnsi"/>
          <w:spacing w:val="-1"/>
          <w:sz w:val="22"/>
          <w:szCs w:val="22"/>
        </w:rPr>
        <w:t>?</w:t>
      </w:r>
    </w:p>
    <w:p w14:paraId="162F3D22" w14:textId="22ADB9DC" w:rsidR="00596D57" w:rsidRPr="00017003" w:rsidRDefault="00596D57" w:rsidP="00E21EDD">
      <w:pPr>
        <w:pStyle w:val="BodyText"/>
        <w:numPr>
          <w:ilvl w:val="0"/>
          <w:numId w:val="28"/>
        </w:numPr>
        <w:spacing w:line="252" w:lineRule="auto"/>
        <w:ind w:right="396"/>
        <w:jc w:val="left"/>
        <w:rPr>
          <w:rFonts w:asciiTheme="minorHAnsi" w:hAnsiTheme="minorHAnsi" w:cstheme="minorHAnsi"/>
          <w:sz w:val="22"/>
          <w:szCs w:val="22"/>
        </w:rPr>
      </w:pPr>
      <w:r w:rsidRPr="00017003">
        <w:rPr>
          <w:rFonts w:asciiTheme="minorHAnsi" w:hAnsiTheme="minorHAnsi" w:cstheme="minorHAnsi"/>
          <w:spacing w:val="-2"/>
          <w:sz w:val="22"/>
          <w:szCs w:val="22"/>
        </w:rPr>
        <w:t xml:space="preserve">Is </w:t>
      </w:r>
      <w:r w:rsidRPr="00017003">
        <w:rPr>
          <w:rFonts w:asciiTheme="minorHAnsi" w:hAnsiTheme="minorHAnsi" w:cstheme="minorHAnsi"/>
          <w:spacing w:val="-1"/>
          <w:sz w:val="22"/>
          <w:szCs w:val="22"/>
        </w:rPr>
        <w:t>refined</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modeling used</w:t>
      </w:r>
      <w:r w:rsidRPr="00017003">
        <w:rPr>
          <w:rFonts w:asciiTheme="minorHAnsi" w:hAnsiTheme="minorHAnsi" w:cstheme="minorHAnsi"/>
          <w:spacing w:val="2"/>
          <w:sz w:val="22"/>
          <w:szCs w:val="22"/>
        </w:rPr>
        <w:t xml:space="preserve"> </w:t>
      </w:r>
      <w:r w:rsidRPr="00017003">
        <w:rPr>
          <w:rFonts w:asciiTheme="minorHAnsi" w:hAnsiTheme="minorHAnsi" w:cstheme="minorHAnsi"/>
          <w:sz w:val="22"/>
          <w:szCs w:val="22"/>
        </w:rPr>
        <w:t xml:space="preserve">to </w:t>
      </w:r>
      <w:r w:rsidRPr="00017003">
        <w:rPr>
          <w:rFonts w:asciiTheme="minorHAnsi" w:hAnsiTheme="minorHAnsi" w:cstheme="minorHAnsi"/>
          <w:spacing w:val="-1"/>
          <w:sz w:val="22"/>
          <w:szCs w:val="22"/>
        </w:rPr>
        <w:t xml:space="preserve">estimate </w:t>
      </w:r>
      <w:r w:rsidRPr="00017003">
        <w:rPr>
          <w:rFonts w:asciiTheme="minorHAnsi" w:hAnsiTheme="minorHAnsi" w:cstheme="minorHAnsi"/>
          <w:sz w:val="22"/>
          <w:szCs w:val="22"/>
        </w:rPr>
        <w:t>a</w:t>
      </w:r>
      <w:r w:rsidRPr="00017003">
        <w:rPr>
          <w:rFonts w:asciiTheme="minorHAnsi" w:hAnsiTheme="minorHAnsi" w:cstheme="minorHAnsi"/>
          <w:spacing w:val="-1"/>
          <w:sz w:val="22"/>
          <w:szCs w:val="22"/>
        </w:rPr>
        <w:t xml:space="preserve"> new </w:t>
      </w:r>
      <w:r w:rsidRPr="00017003">
        <w:rPr>
          <w:rFonts w:asciiTheme="minorHAnsi" w:hAnsiTheme="minorHAnsi" w:cstheme="minorHAnsi"/>
          <w:sz w:val="22"/>
          <w:szCs w:val="22"/>
        </w:rPr>
        <w:t>or</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modifying</w:t>
      </w:r>
      <w:r w:rsidRPr="00017003">
        <w:rPr>
          <w:rFonts w:asciiTheme="minorHAnsi" w:hAnsiTheme="minorHAnsi" w:cstheme="minorHAnsi"/>
          <w:spacing w:val="-3"/>
          <w:sz w:val="22"/>
          <w:szCs w:val="22"/>
        </w:rPr>
        <w:t xml:space="preserve"> </w:t>
      </w:r>
      <w:r w:rsidRPr="00017003">
        <w:rPr>
          <w:rFonts w:asciiTheme="minorHAnsi" w:hAnsiTheme="minorHAnsi" w:cstheme="minorHAnsi"/>
          <w:spacing w:val="-1"/>
          <w:sz w:val="22"/>
          <w:szCs w:val="22"/>
        </w:rPr>
        <w:t>sources’ impact,</w:t>
      </w:r>
      <w:r w:rsidRPr="00017003">
        <w:rPr>
          <w:rFonts w:asciiTheme="minorHAnsi" w:hAnsiTheme="minorHAnsi" w:cstheme="minorHAnsi"/>
          <w:spacing w:val="2"/>
          <w:sz w:val="22"/>
          <w:szCs w:val="22"/>
        </w:rPr>
        <w:t xml:space="preserve"> are</w:t>
      </w:r>
      <w:r w:rsidRPr="00017003">
        <w:rPr>
          <w:rFonts w:asciiTheme="minorHAnsi" w:hAnsiTheme="minorHAnsi" w:cstheme="minorHAnsi"/>
          <w:sz w:val="22"/>
          <w:szCs w:val="22"/>
        </w:rPr>
        <w:t xml:space="preserve"> the predicted impacts show </w:t>
      </w:r>
      <w:r w:rsidRPr="00017003">
        <w:rPr>
          <w:rFonts w:asciiTheme="minorHAnsi" w:hAnsiTheme="minorHAnsi" w:cstheme="minorHAnsi"/>
          <w:spacing w:val="-1"/>
          <w:sz w:val="22"/>
          <w:szCs w:val="22"/>
        </w:rPr>
        <w:t>that</w:t>
      </w:r>
      <w:r w:rsidRPr="00017003">
        <w:rPr>
          <w:rFonts w:asciiTheme="minorHAnsi" w:hAnsiTheme="minorHAnsi" w:cstheme="minorHAnsi"/>
          <w:sz w:val="22"/>
          <w:szCs w:val="22"/>
        </w:rPr>
        <w:t xml:space="preserve"> the</w:t>
      </w:r>
      <w:r w:rsidRPr="00017003">
        <w:rPr>
          <w:rFonts w:asciiTheme="minorHAnsi" w:hAnsiTheme="minorHAnsi" w:cstheme="minorHAnsi"/>
          <w:spacing w:val="91"/>
          <w:sz w:val="22"/>
          <w:szCs w:val="22"/>
        </w:rPr>
        <w:t xml:space="preserve"> </w:t>
      </w:r>
      <w:r w:rsidRPr="00017003">
        <w:rPr>
          <w:rFonts w:asciiTheme="minorHAnsi" w:hAnsiTheme="minorHAnsi" w:cstheme="minorHAnsi"/>
          <w:spacing w:val="-1"/>
          <w:sz w:val="22"/>
          <w:szCs w:val="22"/>
        </w:rPr>
        <w:t>source will</w:t>
      </w:r>
      <w:r w:rsidRPr="00017003">
        <w:rPr>
          <w:rFonts w:asciiTheme="minorHAnsi" w:hAnsiTheme="minorHAnsi" w:cstheme="minorHAnsi"/>
          <w:sz w:val="22"/>
          <w:szCs w:val="22"/>
        </w:rPr>
        <w:t xml:space="preserve"> not </w:t>
      </w:r>
      <w:r w:rsidRPr="00017003">
        <w:rPr>
          <w:rFonts w:asciiTheme="minorHAnsi" w:hAnsiTheme="minorHAnsi" w:cstheme="minorHAnsi"/>
          <w:spacing w:val="-1"/>
          <w:sz w:val="22"/>
          <w:szCs w:val="22"/>
        </w:rPr>
        <w:t xml:space="preserve">cause </w:t>
      </w:r>
      <w:r w:rsidRPr="00017003">
        <w:rPr>
          <w:rFonts w:asciiTheme="minorHAnsi" w:hAnsiTheme="minorHAnsi" w:cstheme="minorHAnsi"/>
          <w:spacing w:val="1"/>
          <w:sz w:val="22"/>
          <w:szCs w:val="22"/>
        </w:rPr>
        <w:t>or</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contribute</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to any</w:t>
      </w:r>
      <w:r w:rsidRPr="00017003">
        <w:rPr>
          <w:rFonts w:asciiTheme="minorHAnsi" w:hAnsiTheme="minorHAnsi" w:cstheme="minorHAnsi"/>
          <w:spacing w:val="-5"/>
          <w:sz w:val="22"/>
          <w:szCs w:val="22"/>
        </w:rPr>
        <w:t xml:space="preserve"> </w:t>
      </w:r>
      <w:r w:rsidRPr="00017003">
        <w:rPr>
          <w:rFonts w:asciiTheme="minorHAnsi" w:hAnsiTheme="minorHAnsi" w:cstheme="minorHAnsi"/>
          <w:spacing w:val="-1"/>
          <w:sz w:val="22"/>
          <w:szCs w:val="22"/>
        </w:rPr>
        <w:t>potential</w:t>
      </w:r>
      <w:r w:rsidRPr="00017003">
        <w:rPr>
          <w:rFonts w:asciiTheme="minorHAnsi" w:hAnsiTheme="minorHAnsi" w:cstheme="minorHAnsi"/>
          <w:spacing w:val="2"/>
          <w:sz w:val="22"/>
          <w:szCs w:val="22"/>
        </w:rPr>
        <w:t xml:space="preserve"> </w:t>
      </w:r>
      <w:r w:rsidRPr="00017003">
        <w:rPr>
          <w:rFonts w:asciiTheme="minorHAnsi" w:hAnsiTheme="minorHAnsi" w:cstheme="minorHAnsi"/>
          <w:spacing w:val="-1"/>
          <w:sz w:val="22"/>
          <w:szCs w:val="22"/>
        </w:rPr>
        <w:t>violation</w:t>
      </w:r>
      <w:r w:rsidRPr="00017003">
        <w:rPr>
          <w:rFonts w:asciiTheme="minorHAnsi" w:hAnsiTheme="minorHAnsi" w:cstheme="minorHAnsi"/>
          <w:sz w:val="22"/>
          <w:szCs w:val="22"/>
        </w:rPr>
        <w:t xml:space="preserve"> of</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a</w:t>
      </w:r>
      <w:r w:rsidRPr="00017003">
        <w:rPr>
          <w:rFonts w:asciiTheme="minorHAnsi" w:hAnsiTheme="minorHAnsi" w:cstheme="minorHAnsi"/>
          <w:spacing w:val="-1"/>
          <w:sz w:val="22"/>
          <w:szCs w:val="22"/>
        </w:rPr>
        <w:t xml:space="preserve"> NAAQS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or</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PSD</w:t>
      </w:r>
      <w:r w:rsidRPr="00017003">
        <w:rPr>
          <w:rFonts w:asciiTheme="minorHAnsi" w:hAnsiTheme="minorHAnsi" w:cstheme="minorHAnsi"/>
          <w:spacing w:val="55"/>
          <w:sz w:val="22"/>
          <w:szCs w:val="22"/>
        </w:rPr>
        <w:t xml:space="preserve"> </w:t>
      </w:r>
      <w:r w:rsidRPr="00017003">
        <w:rPr>
          <w:rFonts w:asciiTheme="minorHAnsi" w:hAnsiTheme="minorHAnsi" w:cstheme="minorHAnsi"/>
          <w:spacing w:val="-1"/>
          <w:sz w:val="22"/>
          <w:szCs w:val="22"/>
        </w:rPr>
        <w:t>increment; are the predicted impacts above any SILs?</w:t>
      </w:r>
    </w:p>
    <w:p w14:paraId="6194E9D1" w14:textId="362DB1B2" w:rsidR="00596D57" w:rsidRPr="00017003" w:rsidRDefault="00596D57" w:rsidP="00E21EDD">
      <w:pPr>
        <w:pStyle w:val="BodyText"/>
        <w:numPr>
          <w:ilvl w:val="0"/>
          <w:numId w:val="28"/>
        </w:numPr>
        <w:spacing w:line="252" w:lineRule="auto"/>
        <w:ind w:right="118"/>
        <w:jc w:val="left"/>
        <w:rPr>
          <w:rFonts w:asciiTheme="minorHAnsi" w:hAnsiTheme="minorHAnsi" w:cstheme="minorHAnsi"/>
          <w:sz w:val="22"/>
          <w:szCs w:val="22"/>
        </w:rPr>
      </w:pPr>
      <w:r w:rsidRPr="00017003">
        <w:rPr>
          <w:rFonts w:asciiTheme="minorHAnsi" w:hAnsiTheme="minorHAnsi" w:cstheme="minorHAnsi"/>
          <w:sz w:val="22"/>
          <w:szCs w:val="22"/>
        </w:rPr>
        <w:t xml:space="preserve">Was AERMOD used for the </w:t>
      </w:r>
      <w:r w:rsidRPr="00017003">
        <w:rPr>
          <w:rFonts w:asciiTheme="minorHAnsi" w:hAnsiTheme="minorHAnsi" w:cstheme="minorHAnsi"/>
          <w:spacing w:val="-1"/>
          <w:sz w:val="22"/>
          <w:szCs w:val="22"/>
        </w:rPr>
        <w:t>refined</w:t>
      </w:r>
      <w:r w:rsidRPr="00017003">
        <w:rPr>
          <w:rFonts w:asciiTheme="minorHAnsi" w:hAnsiTheme="minorHAnsi" w:cstheme="minorHAnsi"/>
          <w:sz w:val="22"/>
          <w:szCs w:val="22"/>
        </w:rPr>
        <w:t xml:space="preserve"> modeling </w:t>
      </w:r>
      <w:r w:rsidRPr="00017003">
        <w:rPr>
          <w:rFonts w:asciiTheme="minorHAnsi" w:hAnsiTheme="minorHAnsi" w:cstheme="minorHAnsi"/>
          <w:spacing w:val="-1"/>
          <w:sz w:val="22"/>
          <w:szCs w:val="22"/>
        </w:rPr>
        <w:t>analysis?</w:t>
      </w:r>
    </w:p>
    <w:p w14:paraId="28DAE61F" w14:textId="77777777" w:rsidR="00596D57" w:rsidRPr="00E43542" w:rsidRDefault="00596D57" w:rsidP="00E21EDD">
      <w:pPr>
        <w:spacing w:before="240"/>
        <w:jc w:val="left"/>
        <w:rPr>
          <w:rFonts w:eastAsia="Times New Roman" w:cstheme="minorHAnsi"/>
        </w:rPr>
      </w:pPr>
      <w:bookmarkStart w:id="67" w:name="Cumulative_Impact_Analysis"/>
      <w:bookmarkEnd w:id="67"/>
      <w:r w:rsidRPr="00E43542">
        <w:rPr>
          <w:rFonts w:eastAsia="Times New Roman" w:cstheme="minorHAnsi"/>
          <w:spacing w:val="-1"/>
        </w:rPr>
        <w:t>Cumulative Impact Analysis</w:t>
      </w:r>
    </w:p>
    <w:p w14:paraId="70BAFC04" w14:textId="5A97BB41" w:rsidR="00596D57" w:rsidRPr="00017003" w:rsidRDefault="00596D57" w:rsidP="00E21EDD">
      <w:pPr>
        <w:pStyle w:val="BodyText"/>
        <w:numPr>
          <w:ilvl w:val="0"/>
          <w:numId w:val="29"/>
        </w:numPr>
        <w:spacing w:line="252" w:lineRule="auto"/>
        <w:ind w:right="286"/>
        <w:jc w:val="left"/>
        <w:rPr>
          <w:rFonts w:asciiTheme="minorHAnsi" w:eastAsiaTheme="minorHAnsi" w:hAnsiTheme="minorHAnsi" w:cstheme="minorHAnsi"/>
          <w:sz w:val="22"/>
          <w:szCs w:val="18"/>
        </w:rPr>
      </w:pPr>
      <w:r w:rsidRPr="00017003">
        <w:rPr>
          <w:rFonts w:asciiTheme="minorHAnsi" w:hAnsiTheme="minorHAnsi" w:cstheme="minorHAnsi"/>
          <w:spacing w:val="-1"/>
          <w:sz w:val="22"/>
          <w:szCs w:val="18"/>
        </w:rPr>
        <w:t>Receptors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that</w:t>
      </w:r>
      <w:r w:rsidRPr="00017003">
        <w:rPr>
          <w:rFonts w:asciiTheme="minorHAnsi" w:hAnsiTheme="minorHAnsi" w:cstheme="minorHAnsi"/>
          <w:sz w:val="22"/>
          <w:szCs w:val="18"/>
        </w:rPr>
        <w:t xml:space="preserve"> show significant im</w:t>
      </w:r>
      <w:r w:rsidRPr="00017003">
        <w:rPr>
          <w:rFonts w:asciiTheme="minorHAnsi" w:hAnsiTheme="minorHAnsi" w:cstheme="minorHAnsi"/>
          <w:spacing w:val="-1"/>
          <w:sz w:val="22"/>
          <w:szCs w:val="18"/>
        </w:rPr>
        <w:t>pacts</w:t>
      </w:r>
      <w:r w:rsidRPr="00017003">
        <w:rPr>
          <w:rFonts w:asciiTheme="minorHAnsi" w:hAnsiTheme="minorHAnsi" w:cstheme="minorHAnsi"/>
          <w:sz w:val="22"/>
          <w:szCs w:val="18"/>
        </w:rPr>
        <w:t xml:space="preserve"> should be</w:t>
      </w:r>
      <w:r w:rsidRPr="00017003">
        <w:rPr>
          <w:rFonts w:asciiTheme="minorHAnsi" w:hAnsiTheme="minorHAnsi" w:cstheme="minorHAnsi"/>
          <w:spacing w:val="-1"/>
          <w:sz w:val="22"/>
          <w:szCs w:val="18"/>
        </w:rPr>
        <w:t xml:space="preserve"> used</w:t>
      </w:r>
      <w:r w:rsidRPr="00017003">
        <w:rPr>
          <w:rFonts w:asciiTheme="minorHAnsi" w:hAnsiTheme="minorHAnsi" w:cstheme="minorHAnsi"/>
          <w:sz w:val="22"/>
          <w:szCs w:val="18"/>
        </w:rPr>
        <w:t xml:space="preserve"> to </w:t>
      </w:r>
      <w:r w:rsidRPr="00017003">
        <w:rPr>
          <w:rFonts w:asciiTheme="minorHAnsi" w:hAnsiTheme="minorHAnsi" w:cstheme="minorHAnsi"/>
          <w:spacing w:val="-1"/>
          <w:sz w:val="22"/>
          <w:szCs w:val="18"/>
        </w:rPr>
        <w:t xml:space="preserve">define </w:t>
      </w:r>
      <w:r w:rsidRPr="00017003">
        <w:rPr>
          <w:rFonts w:asciiTheme="minorHAnsi" w:hAnsiTheme="minorHAnsi" w:cstheme="minorHAnsi"/>
          <w:sz w:val="22"/>
          <w:szCs w:val="18"/>
        </w:rPr>
        <w:t>the</w:t>
      </w:r>
      <w:r w:rsidRPr="00017003">
        <w:rPr>
          <w:rFonts w:asciiTheme="minorHAnsi" w:hAnsiTheme="minorHAnsi" w:cstheme="minorHAnsi"/>
          <w:spacing w:val="-1"/>
          <w:sz w:val="22"/>
          <w:szCs w:val="18"/>
        </w:rPr>
        <w:t xml:space="preserve"> modeling</w:t>
      </w:r>
      <w:r w:rsidRPr="00017003">
        <w:rPr>
          <w:rFonts w:asciiTheme="minorHAnsi" w:hAnsiTheme="minorHAnsi" w:cstheme="minorHAnsi"/>
          <w:spacing w:val="-3"/>
          <w:sz w:val="22"/>
          <w:szCs w:val="18"/>
        </w:rPr>
        <w:t xml:space="preserve"> </w:t>
      </w:r>
      <w:r w:rsidRPr="00017003">
        <w:rPr>
          <w:rFonts w:asciiTheme="minorHAnsi" w:hAnsiTheme="minorHAnsi" w:cstheme="minorHAnsi"/>
          <w:spacing w:val="-1"/>
          <w:sz w:val="22"/>
          <w:szCs w:val="18"/>
        </w:rPr>
        <w:t>domain</w:t>
      </w:r>
      <w:r w:rsidRPr="00017003">
        <w:rPr>
          <w:rFonts w:asciiTheme="minorHAnsi" w:hAnsiTheme="minorHAnsi" w:cstheme="minorHAnsi"/>
          <w:sz w:val="22"/>
          <w:szCs w:val="18"/>
        </w:rPr>
        <w:t xml:space="preserve"> used in the cum</w:t>
      </w:r>
      <w:r w:rsidRPr="00017003">
        <w:rPr>
          <w:rFonts w:asciiTheme="minorHAnsi" w:hAnsiTheme="minorHAnsi" w:cstheme="minorHAnsi"/>
          <w:spacing w:val="-1"/>
          <w:sz w:val="22"/>
          <w:szCs w:val="18"/>
        </w:rPr>
        <w:t>ulative impact</w:t>
      </w:r>
      <w:r w:rsidRPr="00017003">
        <w:rPr>
          <w:rFonts w:asciiTheme="minorHAnsi" w:hAnsiTheme="minorHAnsi" w:cstheme="minorHAnsi"/>
          <w:sz w:val="22"/>
          <w:szCs w:val="18"/>
        </w:rPr>
        <w:t xml:space="preserve"> analysis.</w:t>
      </w:r>
    </w:p>
    <w:p w14:paraId="50630D9A" w14:textId="09F7A2EE" w:rsidR="00596D57" w:rsidRPr="00017003" w:rsidRDefault="00596D57" w:rsidP="00E21EDD">
      <w:pPr>
        <w:pStyle w:val="BodyText"/>
        <w:numPr>
          <w:ilvl w:val="0"/>
          <w:numId w:val="29"/>
        </w:numPr>
        <w:spacing w:line="252" w:lineRule="auto"/>
        <w:ind w:right="188"/>
        <w:jc w:val="left"/>
        <w:rPr>
          <w:rFonts w:asciiTheme="minorHAnsi" w:hAnsiTheme="minorHAnsi" w:cstheme="minorHAnsi"/>
          <w:sz w:val="22"/>
          <w:szCs w:val="18"/>
        </w:rPr>
      </w:pPr>
      <w:r w:rsidRPr="00017003">
        <w:rPr>
          <w:rFonts w:asciiTheme="minorHAnsi" w:hAnsiTheme="minorHAnsi" w:cstheme="minorHAnsi"/>
          <w:spacing w:val="-1"/>
          <w:sz w:val="22"/>
          <w:szCs w:val="18"/>
        </w:rPr>
        <w:t>The resulting</w:t>
      </w:r>
      <w:r w:rsidRPr="00017003">
        <w:rPr>
          <w:rFonts w:asciiTheme="minorHAnsi" w:hAnsiTheme="minorHAnsi" w:cstheme="minorHAnsi"/>
          <w:spacing w:val="-3"/>
          <w:sz w:val="22"/>
          <w:szCs w:val="18"/>
        </w:rPr>
        <w:t xml:space="preserve"> </w:t>
      </w:r>
      <w:r w:rsidRPr="00017003">
        <w:rPr>
          <w:rFonts w:asciiTheme="minorHAnsi" w:hAnsiTheme="minorHAnsi" w:cstheme="minorHAnsi"/>
          <w:sz w:val="22"/>
          <w:szCs w:val="18"/>
        </w:rPr>
        <w:t xml:space="preserve">design </w:t>
      </w:r>
      <w:r w:rsidRPr="00017003">
        <w:rPr>
          <w:rFonts w:asciiTheme="minorHAnsi" w:hAnsiTheme="minorHAnsi" w:cstheme="minorHAnsi"/>
          <w:spacing w:val="-1"/>
          <w:sz w:val="22"/>
          <w:szCs w:val="18"/>
        </w:rPr>
        <w:t>concentrations</w:t>
      </w:r>
      <w:r w:rsidRPr="00017003">
        <w:rPr>
          <w:rFonts w:asciiTheme="minorHAnsi" w:hAnsiTheme="minorHAnsi" w:cstheme="minorHAnsi"/>
          <w:sz w:val="22"/>
          <w:szCs w:val="18"/>
        </w:rPr>
        <w:t xml:space="preserve"> should be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 xml:space="preserve">used to </w:t>
      </w:r>
      <w:r w:rsidRPr="00017003">
        <w:rPr>
          <w:rFonts w:asciiTheme="minorHAnsi" w:hAnsiTheme="minorHAnsi" w:cstheme="minorHAnsi"/>
          <w:spacing w:val="-1"/>
          <w:sz w:val="22"/>
          <w:szCs w:val="18"/>
        </w:rPr>
        <w:t xml:space="preserve">determine whether </w:t>
      </w:r>
      <w:r w:rsidRPr="00017003">
        <w:rPr>
          <w:rFonts w:asciiTheme="minorHAnsi" w:hAnsiTheme="minorHAnsi" w:cstheme="minorHAnsi"/>
          <w:sz w:val="22"/>
          <w:szCs w:val="18"/>
        </w:rPr>
        <w:t>the</w:t>
      </w:r>
      <w:r w:rsidRPr="00017003">
        <w:rPr>
          <w:rFonts w:asciiTheme="minorHAnsi" w:hAnsiTheme="minorHAnsi" w:cstheme="minorHAnsi"/>
          <w:spacing w:val="-1"/>
          <w:sz w:val="22"/>
          <w:szCs w:val="18"/>
        </w:rPr>
        <w:t xml:space="preserve"> source</w:t>
      </w:r>
      <w:r w:rsidRPr="00017003">
        <w:rPr>
          <w:rFonts w:asciiTheme="minorHAnsi" w:hAnsiTheme="minorHAnsi" w:cstheme="minorHAnsi"/>
          <w:spacing w:val="76"/>
          <w:sz w:val="22"/>
          <w:szCs w:val="18"/>
        </w:rPr>
        <w:t xml:space="preserve"> </w:t>
      </w:r>
      <w:r w:rsidRPr="00017003">
        <w:rPr>
          <w:rFonts w:asciiTheme="minorHAnsi" w:hAnsiTheme="minorHAnsi" w:cstheme="minorHAnsi"/>
          <w:spacing w:val="-1"/>
          <w:sz w:val="22"/>
          <w:szCs w:val="18"/>
        </w:rPr>
        <w:t>will</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 xml:space="preserve">cause </w:t>
      </w:r>
      <w:r w:rsidRPr="00017003">
        <w:rPr>
          <w:rFonts w:asciiTheme="minorHAnsi" w:hAnsiTheme="minorHAnsi" w:cstheme="minorHAnsi"/>
          <w:sz w:val="22"/>
          <w:szCs w:val="18"/>
        </w:rPr>
        <w:t>or</w:t>
      </w:r>
      <w:r w:rsidRPr="00017003">
        <w:rPr>
          <w:rFonts w:asciiTheme="minorHAnsi" w:hAnsiTheme="minorHAnsi" w:cstheme="minorHAnsi"/>
          <w:spacing w:val="-1"/>
          <w:sz w:val="22"/>
          <w:szCs w:val="18"/>
        </w:rPr>
        <w:t xml:space="preserve"> contribute </w:t>
      </w:r>
      <w:r w:rsidRPr="00017003">
        <w:rPr>
          <w:rFonts w:asciiTheme="minorHAnsi" w:hAnsiTheme="minorHAnsi" w:cstheme="minorHAnsi"/>
          <w:spacing w:val="1"/>
          <w:sz w:val="22"/>
          <w:szCs w:val="18"/>
        </w:rPr>
        <w:t>to</w:t>
      </w:r>
      <w:r w:rsidRPr="00017003">
        <w:rPr>
          <w:rFonts w:asciiTheme="minorHAnsi" w:hAnsiTheme="minorHAnsi" w:cstheme="minorHAnsi"/>
          <w:sz w:val="22"/>
          <w:szCs w:val="18"/>
        </w:rPr>
        <w:t xml:space="preserve"> a</w:t>
      </w:r>
      <w:r w:rsidRPr="00017003">
        <w:rPr>
          <w:rFonts w:asciiTheme="minorHAnsi" w:hAnsiTheme="minorHAnsi" w:cstheme="minorHAnsi"/>
          <w:spacing w:val="-1"/>
          <w:sz w:val="22"/>
          <w:szCs w:val="18"/>
        </w:rPr>
        <w:t xml:space="preserve"> NAAQS</w:t>
      </w:r>
      <w:r w:rsidRPr="00017003">
        <w:rPr>
          <w:rFonts w:asciiTheme="minorHAnsi" w:hAnsiTheme="minorHAnsi" w:cstheme="minorHAnsi"/>
          <w:sz w:val="22"/>
          <w:szCs w:val="18"/>
        </w:rPr>
        <w:t xml:space="preserve"> or</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PSD</w:t>
      </w:r>
      <w:r w:rsidRPr="00017003">
        <w:rPr>
          <w:rFonts w:asciiTheme="minorHAnsi" w:hAnsiTheme="minorHAnsi" w:cstheme="minorHAnsi"/>
          <w:spacing w:val="-1"/>
          <w:sz w:val="22"/>
          <w:szCs w:val="18"/>
        </w:rPr>
        <w:t xml:space="preserve"> increment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violation.</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This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determination</w:t>
      </w:r>
      <w:r w:rsidRPr="00017003">
        <w:rPr>
          <w:rFonts w:asciiTheme="minorHAnsi" w:hAnsiTheme="minorHAnsi" w:cstheme="minorHAnsi"/>
          <w:spacing w:val="87"/>
          <w:sz w:val="22"/>
          <w:szCs w:val="18"/>
        </w:rPr>
        <w:t xml:space="preserve"> </w:t>
      </w:r>
      <w:r w:rsidRPr="00017003">
        <w:rPr>
          <w:rFonts w:asciiTheme="minorHAnsi" w:hAnsiTheme="minorHAnsi" w:cstheme="minorHAnsi"/>
          <w:sz w:val="22"/>
          <w:szCs w:val="18"/>
        </w:rPr>
        <w:t>should be</w:t>
      </w:r>
      <w:r w:rsidRPr="00017003">
        <w:rPr>
          <w:rFonts w:asciiTheme="minorHAnsi" w:hAnsiTheme="minorHAnsi" w:cstheme="minorHAnsi"/>
          <w:spacing w:val="-1"/>
          <w:sz w:val="22"/>
          <w:szCs w:val="18"/>
        </w:rPr>
        <w:t xml:space="preserve"> based</w:t>
      </w:r>
      <w:r w:rsidRPr="00017003">
        <w:rPr>
          <w:rFonts w:asciiTheme="minorHAnsi" w:hAnsiTheme="minorHAnsi" w:cstheme="minorHAnsi"/>
          <w:sz w:val="22"/>
          <w:szCs w:val="18"/>
        </w:rPr>
        <w:t xml:space="preserve"> on:</w:t>
      </w:r>
    </w:p>
    <w:p w14:paraId="030DB95F" w14:textId="77777777" w:rsidR="00596D57" w:rsidRPr="00017003" w:rsidRDefault="00596D57" w:rsidP="00E21EDD">
      <w:pPr>
        <w:pStyle w:val="BodyText"/>
        <w:keepNext w:val="0"/>
        <w:widowControl/>
        <w:numPr>
          <w:ilvl w:val="1"/>
          <w:numId w:val="16"/>
        </w:numPr>
        <w:spacing w:line="252" w:lineRule="auto"/>
        <w:ind w:right="195" w:hanging="720"/>
        <w:jc w:val="left"/>
        <w:rPr>
          <w:rFonts w:asciiTheme="minorHAnsi" w:hAnsiTheme="minorHAnsi" w:cstheme="minorHAnsi"/>
          <w:sz w:val="22"/>
          <w:szCs w:val="18"/>
        </w:rPr>
      </w:pPr>
      <w:r w:rsidRPr="00017003">
        <w:rPr>
          <w:rFonts w:asciiTheme="minorHAnsi" w:hAnsiTheme="minorHAnsi" w:cstheme="minorHAnsi"/>
          <w:spacing w:val="-1"/>
          <w:sz w:val="22"/>
          <w:szCs w:val="18"/>
        </w:rPr>
        <w:t xml:space="preserve">The appropriate </w:t>
      </w:r>
      <w:r w:rsidRPr="00017003">
        <w:rPr>
          <w:rFonts w:asciiTheme="minorHAnsi" w:hAnsiTheme="minorHAnsi" w:cstheme="minorHAnsi"/>
          <w:sz w:val="22"/>
          <w:szCs w:val="18"/>
        </w:rPr>
        <w:t xml:space="preserve">design </w:t>
      </w:r>
      <w:r w:rsidRPr="00017003">
        <w:rPr>
          <w:rFonts w:asciiTheme="minorHAnsi" w:hAnsiTheme="minorHAnsi" w:cstheme="minorHAnsi"/>
          <w:spacing w:val="-1"/>
          <w:sz w:val="22"/>
          <w:szCs w:val="18"/>
        </w:rPr>
        <w:t>concentration</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for each</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applicable NAAQS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(and</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averaging</w:t>
      </w:r>
      <w:r w:rsidRPr="00017003">
        <w:rPr>
          <w:rFonts w:asciiTheme="minorHAnsi" w:hAnsiTheme="minorHAnsi" w:cstheme="minorHAnsi"/>
          <w:spacing w:val="95"/>
          <w:sz w:val="22"/>
          <w:szCs w:val="18"/>
        </w:rPr>
        <w:t xml:space="preserve"> </w:t>
      </w:r>
      <w:r w:rsidRPr="00017003">
        <w:rPr>
          <w:rFonts w:asciiTheme="minorHAnsi" w:hAnsiTheme="minorHAnsi" w:cstheme="minorHAnsi"/>
          <w:spacing w:val="-1"/>
          <w:sz w:val="22"/>
          <w:szCs w:val="18"/>
        </w:rPr>
        <w:t>period);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and</w:t>
      </w:r>
    </w:p>
    <w:p w14:paraId="408D1E9E" w14:textId="77777777" w:rsidR="00596D57" w:rsidRPr="00017003" w:rsidRDefault="00596D57" w:rsidP="00E21EDD">
      <w:pPr>
        <w:pStyle w:val="BodyText"/>
        <w:keepNext w:val="0"/>
        <w:widowControl/>
        <w:numPr>
          <w:ilvl w:val="1"/>
          <w:numId w:val="16"/>
        </w:numPr>
        <w:spacing w:line="252" w:lineRule="auto"/>
        <w:ind w:right="303" w:hanging="720"/>
        <w:jc w:val="left"/>
        <w:rPr>
          <w:rFonts w:asciiTheme="minorHAnsi" w:hAnsiTheme="minorHAnsi" w:cstheme="minorHAnsi"/>
          <w:sz w:val="22"/>
          <w:szCs w:val="18"/>
        </w:rPr>
      </w:pPr>
      <w:r w:rsidRPr="00017003">
        <w:rPr>
          <w:rFonts w:asciiTheme="minorHAnsi" w:hAnsiTheme="minorHAnsi" w:cstheme="minorHAnsi"/>
          <w:spacing w:val="-1"/>
          <w:sz w:val="22"/>
          <w:szCs w:val="18"/>
        </w:rPr>
        <w:t xml:space="preserve">whether </w:t>
      </w:r>
      <w:r w:rsidRPr="00017003">
        <w:rPr>
          <w:rFonts w:asciiTheme="minorHAnsi" w:hAnsiTheme="minorHAnsi" w:cstheme="minorHAnsi"/>
          <w:sz w:val="22"/>
          <w:szCs w:val="18"/>
        </w:rPr>
        <w:t>the</w:t>
      </w:r>
      <w:r w:rsidRPr="00017003">
        <w:rPr>
          <w:rFonts w:asciiTheme="minorHAnsi" w:hAnsiTheme="minorHAnsi" w:cstheme="minorHAnsi"/>
          <w:spacing w:val="-1"/>
          <w:sz w:val="22"/>
          <w:szCs w:val="18"/>
        </w:rPr>
        <w:t xml:space="preserve"> source’s</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emissions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 xml:space="preserve">cause </w:t>
      </w:r>
      <w:r w:rsidRPr="00017003">
        <w:rPr>
          <w:rFonts w:asciiTheme="minorHAnsi" w:hAnsiTheme="minorHAnsi" w:cstheme="minorHAnsi"/>
          <w:sz w:val="22"/>
          <w:szCs w:val="18"/>
        </w:rPr>
        <w:t>or</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contribute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to a</w:t>
      </w:r>
      <w:r w:rsidRPr="00017003">
        <w:rPr>
          <w:rFonts w:asciiTheme="minorHAnsi" w:hAnsiTheme="minorHAnsi" w:cstheme="minorHAnsi"/>
          <w:spacing w:val="-1"/>
          <w:sz w:val="22"/>
          <w:szCs w:val="18"/>
        </w:rPr>
        <w:t xml:space="preserve"> violation</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at</w:t>
      </w:r>
      <w:r w:rsidRPr="00017003">
        <w:rPr>
          <w:rFonts w:asciiTheme="minorHAnsi" w:hAnsiTheme="minorHAnsi" w:cstheme="minorHAnsi"/>
          <w:sz w:val="22"/>
          <w:szCs w:val="18"/>
        </w:rPr>
        <w:t xml:space="preserve"> the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time</w:t>
      </w:r>
      <w:r w:rsidRPr="00017003">
        <w:rPr>
          <w:rFonts w:asciiTheme="minorHAnsi" w:hAnsiTheme="minorHAnsi" w:cstheme="minorHAnsi"/>
          <w:spacing w:val="-1"/>
          <w:sz w:val="22"/>
          <w:szCs w:val="18"/>
        </w:rPr>
        <w:t xml:space="preserve"> and</w:t>
      </w:r>
      <w:r w:rsidRPr="00017003">
        <w:rPr>
          <w:rFonts w:asciiTheme="minorHAnsi" w:hAnsiTheme="minorHAnsi" w:cstheme="minorHAnsi"/>
          <w:spacing w:val="69"/>
          <w:sz w:val="22"/>
          <w:szCs w:val="18"/>
        </w:rPr>
        <w:t xml:space="preserve"> </w:t>
      </w:r>
      <w:r w:rsidRPr="00017003">
        <w:rPr>
          <w:rFonts w:asciiTheme="minorHAnsi" w:hAnsiTheme="minorHAnsi" w:cstheme="minorHAnsi"/>
          <w:spacing w:val="-1"/>
          <w:sz w:val="22"/>
          <w:szCs w:val="18"/>
        </w:rPr>
        <w:t>location</w:t>
      </w:r>
      <w:r w:rsidRPr="00017003">
        <w:rPr>
          <w:rFonts w:asciiTheme="minorHAnsi" w:hAnsiTheme="minorHAnsi" w:cstheme="minorHAnsi"/>
          <w:sz w:val="22"/>
          <w:szCs w:val="18"/>
        </w:rPr>
        <w:t xml:space="preserve"> of</w:t>
      </w:r>
      <w:r w:rsidRPr="00017003">
        <w:rPr>
          <w:rFonts w:asciiTheme="minorHAnsi" w:hAnsiTheme="minorHAnsi" w:cstheme="minorHAnsi"/>
          <w:spacing w:val="-1"/>
          <w:sz w:val="22"/>
          <w:szCs w:val="18"/>
        </w:rPr>
        <w:t xml:space="preserve"> </w:t>
      </w:r>
      <w:r w:rsidRPr="00017003">
        <w:rPr>
          <w:rFonts w:asciiTheme="minorHAnsi" w:hAnsiTheme="minorHAnsi" w:cstheme="minorHAnsi"/>
          <w:spacing w:val="1"/>
          <w:sz w:val="22"/>
          <w:szCs w:val="18"/>
        </w:rPr>
        <w:t>any</w:t>
      </w:r>
      <w:r w:rsidRPr="00017003">
        <w:rPr>
          <w:rFonts w:asciiTheme="minorHAnsi" w:hAnsiTheme="minorHAnsi" w:cstheme="minorHAnsi"/>
          <w:spacing w:val="-5"/>
          <w:sz w:val="22"/>
          <w:szCs w:val="18"/>
        </w:rPr>
        <w:t xml:space="preserve"> </w:t>
      </w:r>
      <w:r w:rsidRPr="00017003">
        <w:rPr>
          <w:rFonts w:asciiTheme="minorHAnsi" w:hAnsiTheme="minorHAnsi" w:cstheme="minorHAnsi"/>
          <w:spacing w:val="-1"/>
          <w:sz w:val="22"/>
          <w:szCs w:val="18"/>
        </w:rPr>
        <w:t>modeled</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violation</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(i.e.,</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when</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and</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 xml:space="preserve">where </w:t>
      </w:r>
      <w:r w:rsidRPr="00017003">
        <w:rPr>
          <w:rFonts w:asciiTheme="minorHAnsi" w:hAnsiTheme="minorHAnsi" w:cstheme="minorHAnsi"/>
          <w:sz w:val="22"/>
          <w:szCs w:val="18"/>
        </w:rPr>
        <w:t>the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 xml:space="preserve">predicted </w:t>
      </w:r>
      <w:r w:rsidRPr="00017003">
        <w:rPr>
          <w:rFonts w:asciiTheme="minorHAnsi" w:hAnsiTheme="minorHAnsi" w:cstheme="minorHAnsi"/>
          <w:spacing w:val="-1"/>
          <w:sz w:val="22"/>
          <w:szCs w:val="18"/>
        </w:rPr>
        <w:t>design</w:t>
      </w:r>
      <w:r w:rsidRPr="00017003">
        <w:rPr>
          <w:rFonts w:asciiTheme="minorHAnsi" w:hAnsiTheme="minorHAnsi" w:cstheme="minorHAnsi"/>
          <w:spacing w:val="67"/>
          <w:sz w:val="22"/>
          <w:szCs w:val="18"/>
        </w:rPr>
        <w:t xml:space="preserve"> </w:t>
      </w:r>
      <w:r w:rsidRPr="00017003">
        <w:rPr>
          <w:rFonts w:asciiTheme="minorHAnsi" w:hAnsiTheme="minorHAnsi" w:cstheme="minorHAnsi"/>
          <w:spacing w:val="-1"/>
          <w:sz w:val="22"/>
          <w:szCs w:val="18"/>
        </w:rPr>
        <w:t>concentration</w:t>
      </w:r>
      <w:r w:rsidRPr="00017003">
        <w:rPr>
          <w:rFonts w:asciiTheme="minorHAnsi" w:hAnsiTheme="minorHAnsi" w:cstheme="minorHAnsi"/>
          <w:sz w:val="22"/>
          <w:szCs w:val="18"/>
        </w:rPr>
        <w:t xml:space="preserve"> is </w:t>
      </w:r>
      <w:r w:rsidRPr="00017003">
        <w:rPr>
          <w:rFonts w:asciiTheme="minorHAnsi" w:hAnsiTheme="minorHAnsi" w:cstheme="minorHAnsi"/>
          <w:spacing w:val="-1"/>
          <w:sz w:val="22"/>
          <w:szCs w:val="18"/>
        </w:rPr>
        <w:t>greater than</w:t>
      </w:r>
      <w:r w:rsidRPr="00017003">
        <w:rPr>
          <w:rFonts w:asciiTheme="minorHAnsi" w:hAnsiTheme="minorHAnsi" w:cstheme="minorHAnsi"/>
          <w:sz w:val="22"/>
          <w:szCs w:val="18"/>
        </w:rPr>
        <w:t xml:space="preserve"> the</w:t>
      </w:r>
      <w:r w:rsidRPr="00017003">
        <w:rPr>
          <w:rFonts w:asciiTheme="minorHAnsi" w:hAnsiTheme="minorHAnsi" w:cstheme="minorHAnsi"/>
          <w:spacing w:val="-1"/>
          <w:sz w:val="22"/>
          <w:szCs w:val="18"/>
        </w:rPr>
        <w:t xml:space="preserve"> NAAQS).</w:t>
      </w:r>
    </w:p>
    <w:p w14:paraId="25574ED1" w14:textId="31913EDE" w:rsidR="00596D57" w:rsidRPr="00017003" w:rsidRDefault="00596D57" w:rsidP="00E21EDD">
      <w:pPr>
        <w:pStyle w:val="BodyText"/>
        <w:numPr>
          <w:ilvl w:val="0"/>
          <w:numId w:val="30"/>
        </w:numPr>
        <w:spacing w:line="252" w:lineRule="auto"/>
        <w:ind w:right="196"/>
        <w:jc w:val="left"/>
        <w:rPr>
          <w:rFonts w:asciiTheme="minorHAnsi" w:hAnsiTheme="minorHAnsi" w:cstheme="minorHAnsi"/>
          <w:sz w:val="22"/>
          <w:szCs w:val="18"/>
        </w:rPr>
      </w:pPr>
      <w:r w:rsidRPr="00017003">
        <w:rPr>
          <w:rFonts w:asciiTheme="minorHAnsi" w:hAnsiTheme="minorHAnsi" w:cstheme="minorHAnsi"/>
          <w:spacing w:val="-1"/>
          <w:sz w:val="22"/>
          <w:szCs w:val="18"/>
        </w:rPr>
        <w:t xml:space="preserve">For </w:t>
      </w:r>
      <w:r w:rsidRPr="00017003">
        <w:rPr>
          <w:rFonts w:asciiTheme="minorHAnsi" w:hAnsiTheme="minorHAnsi" w:cstheme="minorHAnsi"/>
          <w:sz w:val="22"/>
          <w:szCs w:val="18"/>
        </w:rPr>
        <w:t>PSD</w:t>
      </w:r>
      <w:r w:rsidRPr="00017003">
        <w:rPr>
          <w:rFonts w:asciiTheme="minorHAnsi" w:hAnsiTheme="minorHAnsi" w:cstheme="minorHAnsi"/>
          <w:spacing w:val="-1"/>
          <w:sz w:val="22"/>
          <w:szCs w:val="18"/>
        </w:rPr>
        <w:t xml:space="preserve"> increments,</w:t>
      </w:r>
      <w:r w:rsidRPr="00017003">
        <w:rPr>
          <w:rFonts w:asciiTheme="minorHAnsi" w:hAnsiTheme="minorHAnsi" w:cstheme="minorHAnsi"/>
          <w:sz w:val="22"/>
          <w:szCs w:val="18"/>
        </w:rPr>
        <w:t xml:space="preserve"> the</w:t>
      </w:r>
      <w:r w:rsidRPr="00017003">
        <w:rPr>
          <w:rFonts w:asciiTheme="minorHAnsi" w:hAnsiTheme="minorHAnsi" w:cstheme="minorHAnsi"/>
          <w:spacing w:val="1"/>
          <w:sz w:val="22"/>
          <w:szCs w:val="18"/>
        </w:rPr>
        <w:t xml:space="preserve"> </w:t>
      </w:r>
      <w:r w:rsidRPr="00017003">
        <w:rPr>
          <w:rFonts w:asciiTheme="minorHAnsi" w:hAnsiTheme="minorHAnsi" w:cstheme="minorHAnsi"/>
          <w:spacing w:val="-1"/>
          <w:sz w:val="22"/>
          <w:szCs w:val="18"/>
        </w:rPr>
        <w:t>cumulative impact</w:t>
      </w:r>
      <w:r w:rsidRPr="00017003">
        <w:rPr>
          <w:rFonts w:asciiTheme="minorHAnsi" w:hAnsiTheme="minorHAnsi" w:cstheme="minorHAnsi"/>
          <w:sz w:val="22"/>
          <w:szCs w:val="18"/>
        </w:rPr>
        <w:t xml:space="preserve"> analysis should </w:t>
      </w:r>
      <w:r w:rsidRPr="00017003">
        <w:rPr>
          <w:rFonts w:asciiTheme="minorHAnsi" w:hAnsiTheme="minorHAnsi" w:cstheme="minorHAnsi"/>
          <w:spacing w:val="-1"/>
          <w:sz w:val="22"/>
          <w:szCs w:val="18"/>
        </w:rPr>
        <w:t>also</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 xml:space="preserve">consider </w:t>
      </w:r>
      <w:r w:rsidRPr="00017003">
        <w:rPr>
          <w:rFonts w:asciiTheme="minorHAnsi" w:hAnsiTheme="minorHAnsi" w:cstheme="minorHAnsi"/>
          <w:sz w:val="22"/>
          <w:szCs w:val="18"/>
        </w:rPr>
        <w:t>the</w:t>
      </w:r>
      <w:r w:rsidRPr="00017003">
        <w:rPr>
          <w:rFonts w:asciiTheme="minorHAnsi" w:hAnsiTheme="minorHAnsi" w:cstheme="minorHAnsi"/>
          <w:spacing w:val="-1"/>
          <w:sz w:val="22"/>
          <w:szCs w:val="18"/>
        </w:rPr>
        <w:t xml:space="preserve"> amount</w:t>
      </w:r>
      <w:r w:rsidRPr="00017003">
        <w:rPr>
          <w:rFonts w:asciiTheme="minorHAnsi" w:hAnsiTheme="minorHAnsi" w:cstheme="minorHAnsi"/>
          <w:spacing w:val="69"/>
          <w:sz w:val="22"/>
          <w:szCs w:val="18"/>
        </w:rPr>
        <w:t xml:space="preserve"> </w:t>
      </w:r>
      <w:r w:rsidRPr="00017003">
        <w:rPr>
          <w:rFonts w:asciiTheme="minorHAnsi" w:hAnsiTheme="minorHAnsi" w:cstheme="minorHAnsi"/>
          <w:sz w:val="22"/>
          <w:szCs w:val="18"/>
        </w:rPr>
        <w:t>of</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the</w:t>
      </w:r>
      <w:r w:rsidRPr="00017003">
        <w:rPr>
          <w:rFonts w:asciiTheme="minorHAnsi" w:hAnsiTheme="minorHAnsi" w:cstheme="minorHAnsi"/>
          <w:spacing w:val="-1"/>
          <w:sz w:val="22"/>
          <w:szCs w:val="18"/>
        </w:rPr>
        <w:t xml:space="preserve"> air </w:t>
      </w:r>
      <w:r w:rsidRPr="00017003">
        <w:rPr>
          <w:rFonts w:asciiTheme="minorHAnsi" w:hAnsiTheme="minorHAnsi" w:cstheme="minorHAnsi"/>
          <w:sz w:val="22"/>
          <w:szCs w:val="18"/>
        </w:rPr>
        <w:t>quality</w:t>
      </w:r>
      <w:r w:rsidRPr="00017003">
        <w:rPr>
          <w:rFonts w:asciiTheme="minorHAnsi" w:hAnsiTheme="minorHAnsi" w:cstheme="minorHAnsi"/>
          <w:spacing w:val="-5"/>
          <w:sz w:val="22"/>
          <w:szCs w:val="18"/>
        </w:rPr>
        <w:t xml:space="preserve"> </w:t>
      </w:r>
      <w:r w:rsidRPr="00017003">
        <w:rPr>
          <w:rFonts w:asciiTheme="minorHAnsi" w:hAnsiTheme="minorHAnsi" w:cstheme="minorHAnsi"/>
          <w:sz w:val="22"/>
          <w:szCs w:val="18"/>
        </w:rPr>
        <w:t xml:space="preserve">increment </w:t>
      </w:r>
      <w:r w:rsidRPr="00017003">
        <w:rPr>
          <w:rFonts w:asciiTheme="minorHAnsi" w:hAnsiTheme="minorHAnsi" w:cstheme="minorHAnsi"/>
          <w:spacing w:val="-1"/>
          <w:sz w:val="22"/>
          <w:szCs w:val="18"/>
        </w:rPr>
        <w:t>that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has</w:t>
      </w:r>
      <w:r w:rsidRPr="00017003">
        <w:rPr>
          <w:rFonts w:asciiTheme="minorHAnsi" w:hAnsiTheme="minorHAnsi" w:cstheme="minorHAnsi"/>
          <w:sz w:val="22"/>
          <w:szCs w:val="18"/>
        </w:rPr>
        <w:t xml:space="preserve"> already</w:t>
      </w:r>
      <w:r w:rsidRPr="00017003">
        <w:rPr>
          <w:rFonts w:asciiTheme="minorHAnsi" w:hAnsiTheme="minorHAnsi" w:cstheme="minorHAnsi"/>
          <w:spacing w:val="-5"/>
          <w:sz w:val="22"/>
          <w:szCs w:val="18"/>
        </w:rPr>
        <w:t xml:space="preserve"> </w:t>
      </w:r>
      <w:r w:rsidRPr="00017003">
        <w:rPr>
          <w:rFonts w:asciiTheme="minorHAnsi" w:hAnsiTheme="minorHAnsi" w:cstheme="minorHAnsi"/>
          <w:sz w:val="22"/>
          <w:szCs w:val="18"/>
        </w:rPr>
        <w:t>been</w:t>
      </w:r>
      <w:r w:rsidRPr="00017003">
        <w:rPr>
          <w:rFonts w:asciiTheme="minorHAnsi" w:hAnsiTheme="minorHAnsi" w:cstheme="minorHAnsi"/>
          <w:spacing w:val="2"/>
          <w:sz w:val="22"/>
          <w:szCs w:val="18"/>
        </w:rPr>
        <w:t xml:space="preserve"> </w:t>
      </w:r>
      <w:r w:rsidRPr="00017003">
        <w:rPr>
          <w:rFonts w:asciiTheme="minorHAnsi" w:hAnsiTheme="minorHAnsi" w:cstheme="minorHAnsi"/>
          <w:sz w:val="22"/>
          <w:szCs w:val="18"/>
        </w:rPr>
        <w:t xml:space="preserve">consumed </w:t>
      </w:r>
      <w:r w:rsidRPr="00017003">
        <w:rPr>
          <w:rFonts w:asciiTheme="minorHAnsi" w:hAnsiTheme="minorHAnsi" w:cstheme="minorHAnsi"/>
          <w:spacing w:val="1"/>
          <w:sz w:val="22"/>
          <w:szCs w:val="18"/>
        </w:rPr>
        <w:t>by</w:t>
      </w:r>
      <w:r w:rsidRPr="00017003">
        <w:rPr>
          <w:rFonts w:asciiTheme="minorHAnsi" w:hAnsiTheme="minorHAnsi" w:cstheme="minorHAnsi"/>
          <w:spacing w:val="-5"/>
          <w:sz w:val="22"/>
          <w:szCs w:val="18"/>
        </w:rPr>
        <w:t xml:space="preserve"> </w:t>
      </w:r>
      <w:r w:rsidRPr="00017003">
        <w:rPr>
          <w:rFonts w:asciiTheme="minorHAnsi" w:hAnsiTheme="minorHAnsi" w:cstheme="minorHAnsi"/>
          <w:sz w:val="22"/>
          <w:szCs w:val="18"/>
        </w:rPr>
        <w:t>other</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 xml:space="preserve">sources, </w:t>
      </w:r>
      <w:r w:rsidRPr="00017003">
        <w:rPr>
          <w:rFonts w:asciiTheme="minorHAnsi" w:hAnsiTheme="minorHAnsi" w:cstheme="minorHAnsi"/>
          <w:spacing w:val="-1"/>
          <w:sz w:val="22"/>
          <w:szCs w:val="18"/>
        </w:rPr>
        <w:t>or,</w:t>
      </w:r>
      <w:r w:rsidRPr="00017003">
        <w:rPr>
          <w:rFonts w:asciiTheme="minorHAnsi" w:hAnsiTheme="minorHAnsi" w:cstheme="minorHAnsi"/>
          <w:spacing w:val="30"/>
          <w:sz w:val="22"/>
          <w:szCs w:val="18"/>
        </w:rPr>
        <w:t xml:space="preserve"> </w:t>
      </w:r>
      <w:r w:rsidRPr="00017003">
        <w:rPr>
          <w:rFonts w:asciiTheme="minorHAnsi" w:hAnsiTheme="minorHAnsi" w:cstheme="minorHAnsi"/>
          <w:spacing w:val="-1"/>
          <w:sz w:val="22"/>
          <w:szCs w:val="18"/>
        </w:rPr>
        <w:t>conversely,</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whether increment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has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expanded</w:t>
      </w:r>
      <w:r w:rsidRPr="00017003">
        <w:rPr>
          <w:rFonts w:asciiTheme="minorHAnsi" w:hAnsiTheme="minorHAnsi" w:cstheme="minorHAnsi"/>
          <w:sz w:val="22"/>
          <w:szCs w:val="18"/>
        </w:rPr>
        <w:t xml:space="preserve"> relative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to the</w:t>
      </w:r>
      <w:r w:rsidRPr="00017003">
        <w:rPr>
          <w:rFonts w:asciiTheme="minorHAnsi" w:hAnsiTheme="minorHAnsi" w:cstheme="minorHAnsi"/>
          <w:spacing w:val="-1"/>
          <w:sz w:val="22"/>
          <w:szCs w:val="18"/>
        </w:rPr>
        <w:t xml:space="preserve"> baseline concentration.</w:t>
      </w:r>
      <w:bookmarkStart w:id="68" w:name="Results"/>
      <w:bookmarkEnd w:id="68"/>
    </w:p>
    <w:p w14:paraId="2177739B" w14:textId="77777777" w:rsidR="00596D57" w:rsidRPr="00017003" w:rsidRDefault="00596D57" w:rsidP="00E21EDD">
      <w:pPr>
        <w:spacing w:before="240"/>
        <w:jc w:val="left"/>
        <w:rPr>
          <w:rFonts w:cstheme="minorHAnsi"/>
        </w:rPr>
      </w:pPr>
      <w:r w:rsidRPr="00017003">
        <w:rPr>
          <w:rFonts w:cstheme="minorHAnsi"/>
        </w:rPr>
        <w:t>Analysis of</w:t>
      </w:r>
      <w:r w:rsidRPr="00017003">
        <w:rPr>
          <w:rFonts w:cstheme="minorHAnsi"/>
          <w:spacing w:val="1"/>
        </w:rPr>
        <w:t xml:space="preserve"> </w:t>
      </w:r>
      <w:r w:rsidRPr="00017003">
        <w:rPr>
          <w:rFonts w:cstheme="minorHAnsi"/>
        </w:rPr>
        <w:t>Class I Area Impacts</w:t>
      </w:r>
    </w:p>
    <w:p w14:paraId="7E9AD1D1" w14:textId="77777777" w:rsidR="00596D57" w:rsidRPr="00017003" w:rsidRDefault="00596D57" w:rsidP="00E21EDD">
      <w:pPr>
        <w:pStyle w:val="BodyText"/>
        <w:spacing w:line="252" w:lineRule="auto"/>
        <w:ind w:left="120" w:right="586"/>
        <w:jc w:val="left"/>
        <w:rPr>
          <w:rFonts w:asciiTheme="minorHAnsi" w:eastAsiaTheme="minorHAnsi" w:hAnsiTheme="minorHAnsi" w:cstheme="minorHAnsi"/>
          <w:sz w:val="22"/>
          <w:szCs w:val="22"/>
        </w:rPr>
      </w:pPr>
      <w:r w:rsidRPr="00017003">
        <w:rPr>
          <w:rFonts w:asciiTheme="minorHAnsi" w:hAnsiTheme="minorHAnsi" w:cstheme="minorHAnsi"/>
          <w:spacing w:val="-1"/>
          <w:sz w:val="22"/>
          <w:szCs w:val="22"/>
        </w:rPr>
        <w:lastRenderedPageBreak/>
        <w:t>The applicant</w:t>
      </w:r>
      <w:r w:rsidRPr="00017003">
        <w:rPr>
          <w:rFonts w:asciiTheme="minorHAnsi" w:hAnsiTheme="minorHAnsi" w:cstheme="minorHAnsi"/>
          <w:sz w:val="22"/>
          <w:szCs w:val="22"/>
        </w:rPr>
        <w:t xml:space="preserve"> is </w:t>
      </w:r>
      <w:r w:rsidRPr="00017003">
        <w:rPr>
          <w:rFonts w:asciiTheme="minorHAnsi" w:hAnsiTheme="minorHAnsi" w:cstheme="minorHAnsi"/>
          <w:spacing w:val="-1"/>
          <w:sz w:val="22"/>
          <w:szCs w:val="22"/>
        </w:rPr>
        <w:t>required</w:t>
      </w:r>
      <w:r w:rsidRPr="00017003">
        <w:rPr>
          <w:rFonts w:asciiTheme="minorHAnsi" w:hAnsiTheme="minorHAnsi" w:cstheme="minorHAnsi"/>
          <w:spacing w:val="2"/>
          <w:sz w:val="22"/>
          <w:szCs w:val="22"/>
        </w:rPr>
        <w:t xml:space="preserve"> </w:t>
      </w:r>
      <w:r w:rsidRPr="00017003">
        <w:rPr>
          <w:rFonts w:asciiTheme="minorHAnsi" w:hAnsiTheme="minorHAnsi" w:cstheme="minorHAnsi"/>
          <w:sz w:val="22"/>
          <w:szCs w:val="22"/>
        </w:rPr>
        <w:t>to</w:t>
      </w:r>
      <w:r w:rsidRPr="00017003">
        <w:rPr>
          <w:rFonts w:asciiTheme="minorHAnsi" w:hAnsiTheme="minorHAnsi" w:cstheme="minorHAnsi"/>
          <w:spacing w:val="-1"/>
          <w:sz w:val="22"/>
          <w:szCs w:val="22"/>
        </w:rPr>
        <w:t xml:space="preserve"> provide an</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 xml:space="preserve">air </w:t>
      </w:r>
      <w:r w:rsidRPr="00017003">
        <w:rPr>
          <w:rFonts w:asciiTheme="minorHAnsi" w:hAnsiTheme="minorHAnsi" w:cstheme="minorHAnsi"/>
          <w:sz w:val="22"/>
          <w:szCs w:val="22"/>
        </w:rPr>
        <w:t>quality</w:t>
      </w:r>
      <w:r w:rsidRPr="00017003">
        <w:rPr>
          <w:rFonts w:asciiTheme="minorHAnsi" w:hAnsiTheme="minorHAnsi" w:cstheme="minorHAnsi"/>
          <w:spacing w:val="-3"/>
          <w:sz w:val="22"/>
          <w:szCs w:val="22"/>
        </w:rPr>
        <w:t xml:space="preserve"> </w:t>
      </w:r>
      <w:r w:rsidRPr="00017003">
        <w:rPr>
          <w:rFonts w:asciiTheme="minorHAnsi" w:hAnsiTheme="minorHAnsi" w:cstheme="minorHAnsi"/>
          <w:spacing w:val="-1"/>
          <w:sz w:val="22"/>
          <w:szCs w:val="22"/>
        </w:rPr>
        <w:t>analysis</w:t>
      </w:r>
      <w:r w:rsidRPr="00017003">
        <w:rPr>
          <w:rFonts w:asciiTheme="minorHAnsi" w:hAnsiTheme="minorHAnsi" w:cstheme="minorHAnsi"/>
          <w:sz w:val="22"/>
          <w:szCs w:val="22"/>
        </w:rPr>
        <w:t xml:space="preserve"> for</w:t>
      </w:r>
      <w:r w:rsidRPr="00017003">
        <w:rPr>
          <w:rFonts w:asciiTheme="minorHAnsi" w:hAnsiTheme="minorHAnsi" w:cstheme="minorHAnsi"/>
          <w:spacing w:val="-1"/>
          <w:sz w:val="22"/>
          <w:szCs w:val="22"/>
        </w:rPr>
        <w:t xml:space="preserve"> </w:t>
      </w:r>
      <w:r w:rsidRPr="00017003">
        <w:rPr>
          <w:rFonts w:asciiTheme="minorHAnsi" w:hAnsiTheme="minorHAnsi" w:cstheme="minorHAnsi"/>
          <w:spacing w:val="1"/>
          <w:sz w:val="22"/>
          <w:szCs w:val="22"/>
        </w:rPr>
        <w:t>any</w:t>
      </w:r>
      <w:r w:rsidRPr="00017003">
        <w:rPr>
          <w:rFonts w:asciiTheme="minorHAnsi" w:hAnsiTheme="minorHAnsi" w:cstheme="minorHAnsi"/>
          <w:spacing w:val="-5"/>
          <w:sz w:val="22"/>
          <w:szCs w:val="22"/>
        </w:rPr>
        <w:t xml:space="preserve"> </w:t>
      </w:r>
      <w:r w:rsidRPr="00017003">
        <w:rPr>
          <w:rFonts w:asciiTheme="minorHAnsi" w:hAnsiTheme="minorHAnsi" w:cstheme="minorHAnsi"/>
          <w:spacing w:val="-1"/>
          <w:sz w:val="22"/>
          <w:szCs w:val="22"/>
        </w:rPr>
        <w:t>Class</w:t>
      </w:r>
      <w:r w:rsidRPr="00017003">
        <w:rPr>
          <w:rFonts w:asciiTheme="minorHAnsi" w:hAnsiTheme="minorHAnsi" w:cstheme="minorHAnsi"/>
          <w:spacing w:val="2"/>
          <w:sz w:val="22"/>
          <w:szCs w:val="22"/>
        </w:rPr>
        <w:t xml:space="preserve"> </w:t>
      </w:r>
      <w:r w:rsidRPr="00017003">
        <w:rPr>
          <w:rFonts w:asciiTheme="minorHAnsi" w:hAnsiTheme="minorHAnsi" w:cstheme="minorHAnsi"/>
          <w:sz w:val="22"/>
          <w:szCs w:val="22"/>
        </w:rPr>
        <w:t>I</w:t>
      </w:r>
      <w:r w:rsidRPr="00017003">
        <w:rPr>
          <w:rFonts w:asciiTheme="minorHAnsi" w:hAnsiTheme="minorHAnsi" w:cstheme="minorHAnsi"/>
          <w:spacing w:val="-1"/>
          <w:sz w:val="22"/>
          <w:szCs w:val="22"/>
        </w:rPr>
        <w:t xml:space="preserve"> area that</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may</w:t>
      </w:r>
      <w:r w:rsidRPr="00017003">
        <w:rPr>
          <w:rFonts w:asciiTheme="minorHAnsi" w:hAnsiTheme="minorHAnsi" w:cstheme="minorHAnsi"/>
          <w:spacing w:val="-5"/>
          <w:sz w:val="22"/>
          <w:szCs w:val="22"/>
        </w:rPr>
        <w:t xml:space="preserve"> </w:t>
      </w:r>
      <w:r w:rsidRPr="00017003">
        <w:rPr>
          <w:rFonts w:asciiTheme="minorHAnsi" w:hAnsiTheme="minorHAnsi" w:cstheme="minorHAnsi"/>
          <w:spacing w:val="1"/>
          <w:sz w:val="22"/>
          <w:szCs w:val="22"/>
        </w:rPr>
        <w:t>be</w:t>
      </w:r>
      <w:r w:rsidRPr="00017003">
        <w:rPr>
          <w:rFonts w:asciiTheme="minorHAnsi" w:hAnsiTheme="minorHAnsi" w:cstheme="minorHAnsi"/>
          <w:spacing w:val="81"/>
          <w:sz w:val="22"/>
          <w:szCs w:val="22"/>
        </w:rPr>
        <w:t xml:space="preserve"> </w:t>
      </w:r>
      <w:r w:rsidRPr="00017003">
        <w:rPr>
          <w:rFonts w:asciiTheme="minorHAnsi" w:hAnsiTheme="minorHAnsi" w:cstheme="minorHAnsi"/>
          <w:spacing w:val="-1"/>
          <w:sz w:val="22"/>
          <w:szCs w:val="22"/>
        </w:rPr>
        <w:t>affected</w:t>
      </w:r>
      <w:r w:rsidRPr="00017003">
        <w:rPr>
          <w:rFonts w:asciiTheme="minorHAnsi" w:hAnsiTheme="minorHAnsi" w:cstheme="minorHAnsi"/>
          <w:sz w:val="22"/>
          <w:szCs w:val="22"/>
        </w:rPr>
        <w:t xml:space="preserve"> </w:t>
      </w:r>
      <w:r w:rsidRPr="00017003">
        <w:rPr>
          <w:rFonts w:asciiTheme="minorHAnsi" w:hAnsiTheme="minorHAnsi" w:cstheme="minorHAnsi"/>
          <w:spacing w:val="2"/>
          <w:sz w:val="22"/>
          <w:szCs w:val="22"/>
        </w:rPr>
        <w:t>by</w:t>
      </w:r>
      <w:r w:rsidRPr="00017003">
        <w:rPr>
          <w:rFonts w:asciiTheme="minorHAnsi" w:hAnsiTheme="minorHAnsi" w:cstheme="minorHAnsi"/>
          <w:spacing w:val="-5"/>
          <w:sz w:val="22"/>
          <w:szCs w:val="22"/>
        </w:rPr>
        <w:t xml:space="preserve"> </w:t>
      </w:r>
      <w:r w:rsidRPr="00017003">
        <w:rPr>
          <w:rFonts w:asciiTheme="minorHAnsi" w:hAnsiTheme="minorHAnsi" w:cstheme="minorHAnsi"/>
          <w:sz w:val="22"/>
          <w:szCs w:val="22"/>
        </w:rPr>
        <w:t>the</w:t>
      </w:r>
      <w:r w:rsidRPr="00017003">
        <w:rPr>
          <w:rFonts w:asciiTheme="minorHAnsi" w:hAnsiTheme="minorHAnsi" w:cstheme="minorHAnsi"/>
          <w:spacing w:val="1"/>
          <w:sz w:val="22"/>
          <w:szCs w:val="22"/>
        </w:rPr>
        <w:t xml:space="preserve"> </w:t>
      </w:r>
      <w:r w:rsidRPr="00017003">
        <w:rPr>
          <w:rFonts w:asciiTheme="minorHAnsi" w:hAnsiTheme="minorHAnsi" w:cstheme="minorHAnsi"/>
          <w:spacing w:val="-1"/>
          <w:sz w:val="22"/>
          <w:szCs w:val="22"/>
        </w:rPr>
        <w:t>emissions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from</w:t>
      </w:r>
      <w:r w:rsidRPr="00017003">
        <w:rPr>
          <w:rFonts w:asciiTheme="minorHAnsi" w:hAnsiTheme="minorHAnsi" w:cstheme="minorHAnsi"/>
          <w:sz w:val="22"/>
          <w:szCs w:val="22"/>
        </w:rPr>
        <w:t xml:space="preserve"> the</w:t>
      </w:r>
      <w:r w:rsidRPr="00017003">
        <w:rPr>
          <w:rFonts w:asciiTheme="minorHAnsi" w:hAnsiTheme="minorHAnsi" w:cstheme="minorHAnsi"/>
          <w:spacing w:val="-1"/>
          <w:sz w:val="22"/>
          <w:szCs w:val="22"/>
        </w:rPr>
        <w:t xml:space="preserve"> proposed</w:t>
      </w:r>
      <w:r w:rsidRPr="00017003">
        <w:rPr>
          <w:rFonts w:asciiTheme="minorHAnsi" w:hAnsiTheme="minorHAnsi" w:cstheme="minorHAnsi"/>
          <w:sz w:val="22"/>
          <w:szCs w:val="22"/>
        </w:rPr>
        <w:t xml:space="preserve"> new</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source</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or</w:t>
      </w:r>
      <w:r w:rsidRPr="00017003">
        <w:rPr>
          <w:rFonts w:asciiTheme="minorHAnsi" w:hAnsiTheme="minorHAnsi" w:cstheme="minorHAnsi"/>
          <w:spacing w:val="-1"/>
          <w:sz w:val="22"/>
          <w:szCs w:val="22"/>
        </w:rPr>
        <w:t xml:space="preserve"> modification.</w:t>
      </w:r>
      <w:r w:rsidRPr="00017003">
        <w:rPr>
          <w:rFonts w:asciiTheme="minorHAnsi" w:hAnsiTheme="minorHAnsi" w:cstheme="minorHAnsi"/>
          <w:sz w:val="22"/>
          <w:szCs w:val="22"/>
        </w:rPr>
        <w:t xml:space="preserve"> There</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are</w:t>
      </w:r>
      <w:r w:rsidRPr="00017003">
        <w:rPr>
          <w:rFonts w:asciiTheme="minorHAnsi" w:hAnsiTheme="minorHAnsi" w:cstheme="minorHAnsi"/>
          <w:spacing w:val="-1"/>
          <w:sz w:val="22"/>
          <w:szCs w:val="22"/>
        </w:rPr>
        <w:t xml:space="preserve"> two</w:t>
      </w:r>
      <w:r w:rsidRPr="00017003">
        <w:rPr>
          <w:rFonts w:asciiTheme="minorHAnsi" w:hAnsiTheme="minorHAnsi" w:cstheme="minorHAnsi"/>
          <w:spacing w:val="71"/>
          <w:sz w:val="22"/>
          <w:szCs w:val="22"/>
        </w:rPr>
        <w:t xml:space="preserve"> </w:t>
      </w:r>
      <w:r w:rsidRPr="00017003">
        <w:rPr>
          <w:rFonts w:asciiTheme="minorHAnsi" w:hAnsiTheme="minorHAnsi" w:cstheme="minorHAnsi"/>
          <w:spacing w:val="-1"/>
          <w:sz w:val="22"/>
          <w:szCs w:val="22"/>
        </w:rPr>
        <w:t>components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 xml:space="preserve">for </w:t>
      </w:r>
      <w:r w:rsidRPr="00017003">
        <w:rPr>
          <w:rFonts w:asciiTheme="minorHAnsi" w:hAnsiTheme="minorHAnsi" w:cstheme="minorHAnsi"/>
          <w:sz w:val="22"/>
          <w:szCs w:val="22"/>
        </w:rPr>
        <w:t xml:space="preserve">this </w:t>
      </w:r>
      <w:r w:rsidRPr="00017003">
        <w:rPr>
          <w:rFonts w:asciiTheme="minorHAnsi" w:hAnsiTheme="minorHAnsi" w:cstheme="minorHAnsi"/>
          <w:spacing w:val="-1"/>
          <w:sz w:val="22"/>
          <w:szCs w:val="22"/>
        </w:rPr>
        <w:t>analysis</w:t>
      </w:r>
      <w:r w:rsidRPr="00017003">
        <w:rPr>
          <w:rFonts w:asciiTheme="minorHAnsi" w:hAnsiTheme="minorHAnsi" w:cstheme="minorHAnsi"/>
          <w:sz w:val="22"/>
          <w:szCs w:val="22"/>
        </w:rPr>
        <w:t xml:space="preserve"> the</w:t>
      </w:r>
      <w:r w:rsidRPr="00017003">
        <w:rPr>
          <w:rFonts w:asciiTheme="minorHAnsi" w:hAnsiTheme="minorHAnsi" w:cstheme="minorHAnsi"/>
          <w:spacing w:val="-1"/>
          <w:sz w:val="22"/>
          <w:szCs w:val="22"/>
        </w:rPr>
        <w:t xml:space="preserve"> NAAQS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and</w:t>
      </w:r>
      <w:r w:rsidRPr="00017003">
        <w:rPr>
          <w:rFonts w:asciiTheme="minorHAnsi" w:hAnsiTheme="minorHAnsi" w:cstheme="minorHAnsi"/>
          <w:sz w:val="22"/>
          <w:szCs w:val="22"/>
        </w:rPr>
        <w:t xml:space="preserve"> Class</w:t>
      </w:r>
      <w:r w:rsidRPr="00017003">
        <w:rPr>
          <w:rFonts w:asciiTheme="minorHAnsi" w:hAnsiTheme="minorHAnsi" w:cstheme="minorHAnsi"/>
          <w:spacing w:val="2"/>
          <w:sz w:val="22"/>
          <w:szCs w:val="22"/>
        </w:rPr>
        <w:t xml:space="preserve"> </w:t>
      </w:r>
      <w:r w:rsidRPr="00017003">
        <w:rPr>
          <w:rFonts w:asciiTheme="minorHAnsi" w:hAnsiTheme="minorHAnsi" w:cstheme="minorHAnsi"/>
          <w:sz w:val="22"/>
          <w:szCs w:val="22"/>
        </w:rPr>
        <w:t>I</w:t>
      </w:r>
      <w:r w:rsidRPr="00017003">
        <w:rPr>
          <w:rFonts w:asciiTheme="minorHAnsi" w:hAnsiTheme="minorHAnsi" w:cstheme="minorHAnsi"/>
          <w:spacing w:val="-6"/>
          <w:sz w:val="22"/>
          <w:szCs w:val="22"/>
        </w:rPr>
        <w:t xml:space="preserve"> </w:t>
      </w:r>
      <w:r w:rsidRPr="00017003">
        <w:rPr>
          <w:rFonts w:asciiTheme="minorHAnsi" w:hAnsiTheme="minorHAnsi" w:cstheme="minorHAnsi"/>
          <w:spacing w:val="-1"/>
          <w:sz w:val="22"/>
          <w:szCs w:val="22"/>
        </w:rPr>
        <w:t>increments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analysis,</w:t>
      </w:r>
      <w:r w:rsidRPr="00017003">
        <w:rPr>
          <w:rFonts w:asciiTheme="minorHAnsi" w:hAnsiTheme="minorHAnsi" w:cstheme="minorHAnsi"/>
          <w:spacing w:val="2"/>
          <w:sz w:val="22"/>
          <w:szCs w:val="22"/>
        </w:rPr>
        <w:t xml:space="preserve"> </w:t>
      </w:r>
      <w:r w:rsidRPr="00017003">
        <w:rPr>
          <w:rFonts w:asciiTheme="minorHAnsi" w:hAnsiTheme="minorHAnsi" w:cstheme="minorHAnsi"/>
          <w:spacing w:val="-1"/>
          <w:sz w:val="22"/>
          <w:szCs w:val="22"/>
        </w:rPr>
        <w:t>and</w:t>
      </w:r>
      <w:r w:rsidRPr="00017003">
        <w:rPr>
          <w:rFonts w:asciiTheme="minorHAnsi" w:hAnsiTheme="minorHAnsi" w:cstheme="minorHAnsi"/>
          <w:sz w:val="22"/>
          <w:szCs w:val="22"/>
        </w:rPr>
        <w:t xml:space="preserve"> the</w:t>
      </w:r>
      <w:r w:rsidRPr="00017003">
        <w:rPr>
          <w:rFonts w:asciiTheme="minorHAnsi" w:hAnsiTheme="minorHAnsi" w:cstheme="minorHAnsi"/>
          <w:spacing w:val="-1"/>
          <w:sz w:val="22"/>
          <w:szCs w:val="22"/>
        </w:rPr>
        <w:t xml:space="preserve"> air </w:t>
      </w:r>
      <w:r w:rsidRPr="00017003">
        <w:rPr>
          <w:rFonts w:asciiTheme="minorHAnsi" w:hAnsiTheme="minorHAnsi" w:cstheme="minorHAnsi"/>
          <w:sz w:val="22"/>
          <w:szCs w:val="22"/>
        </w:rPr>
        <w:t>quality</w:t>
      </w:r>
      <w:r w:rsidRPr="00017003">
        <w:rPr>
          <w:rFonts w:asciiTheme="minorHAnsi" w:hAnsiTheme="minorHAnsi" w:cstheme="minorHAnsi"/>
          <w:spacing w:val="87"/>
          <w:sz w:val="22"/>
          <w:szCs w:val="22"/>
        </w:rPr>
        <w:t xml:space="preserve"> </w:t>
      </w:r>
      <w:r w:rsidRPr="00017003">
        <w:rPr>
          <w:rFonts w:asciiTheme="minorHAnsi" w:hAnsiTheme="minorHAnsi" w:cstheme="minorHAnsi"/>
          <w:spacing w:val="-1"/>
          <w:sz w:val="22"/>
          <w:szCs w:val="22"/>
        </w:rPr>
        <w:t>related</w:t>
      </w:r>
      <w:r w:rsidRPr="00017003">
        <w:rPr>
          <w:rFonts w:asciiTheme="minorHAnsi" w:hAnsiTheme="minorHAnsi" w:cstheme="minorHAnsi"/>
          <w:sz w:val="22"/>
          <w:szCs w:val="22"/>
        </w:rPr>
        <w:t xml:space="preserve"> values </w:t>
      </w:r>
      <w:r w:rsidRPr="00017003">
        <w:rPr>
          <w:rFonts w:asciiTheme="minorHAnsi" w:hAnsiTheme="minorHAnsi" w:cstheme="minorHAnsi"/>
          <w:spacing w:val="-1"/>
          <w:sz w:val="22"/>
          <w:szCs w:val="22"/>
        </w:rPr>
        <w:t>(AQRV) analysis.</w:t>
      </w:r>
    </w:p>
    <w:p w14:paraId="14703295" w14:textId="0B38C766" w:rsidR="00596D57" w:rsidRPr="00017003" w:rsidRDefault="00596D57" w:rsidP="00E21EDD">
      <w:pPr>
        <w:pStyle w:val="BodyText"/>
        <w:numPr>
          <w:ilvl w:val="0"/>
          <w:numId w:val="31"/>
        </w:numPr>
        <w:jc w:val="left"/>
        <w:rPr>
          <w:rFonts w:asciiTheme="minorHAnsi" w:hAnsiTheme="minorHAnsi" w:cstheme="minorHAnsi"/>
          <w:sz w:val="22"/>
          <w:szCs w:val="22"/>
        </w:rPr>
      </w:pPr>
      <w:r w:rsidRPr="00017003">
        <w:rPr>
          <w:rFonts w:asciiTheme="minorHAnsi" w:hAnsiTheme="minorHAnsi" w:cstheme="minorHAnsi"/>
          <w:spacing w:val="-1"/>
          <w:sz w:val="22"/>
          <w:szCs w:val="22"/>
        </w:rPr>
        <w:t xml:space="preserve">Reference </w:t>
      </w:r>
      <w:r w:rsidRPr="00017003">
        <w:rPr>
          <w:rFonts w:asciiTheme="minorHAnsi" w:hAnsiTheme="minorHAnsi" w:cstheme="minorHAnsi"/>
          <w:sz w:val="22"/>
          <w:szCs w:val="22"/>
        </w:rPr>
        <w:t xml:space="preserve">40 CFR </w:t>
      </w:r>
      <w:r w:rsidRPr="00017003">
        <w:rPr>
          <w:rFonts w:asciiTheme="minorHAnsi" w:hAnsiTheme="minorHAnsi" w:cstheme="minorHAnsi"/>
          <w:spacing w:val="-1"/>
          <w:sz w:val="22"/>
          <w:szCs w:val="22"/>
        </w:rPr>
        <w:t>52.21(p) and</w:t>
      </w:r>
      <w:r w:rsidRPr="00017003">
        <w:rPr>
          <w:rFonts w:asciiTheme="minorHAnsi" w:hAnsiTheme="minorHAnsi" w:cstheme="minorHAnsi"/>
          <w:sz w:val="22"/>
          <w:szCs w:val="22"/>
        </w:rPr>
        <w:t xml:space="preserve"> 51.166(p)</w:t>
      </w:r>
    </w:p>
    <w:p w14:paraId="2F512C5C" w14:textId="1C464702" w:rsidR="00596D57" w:rsidRPr="00017003" w:rsidRDefault="00596D57" w:rsidP="00E21EDD">
      <w:pPr>
        <w:pStyle w:val="BodyText"/>
        <w:numPr>
          <w:ilvl w:val="0"/>
          <w:numId w:val="31"/>
        </w:numPr>
        <w:spacing w:line="252" w:lineRule="auto"/>
        <w:ind w:right="186"/>
        <w:jc w:val="left"/>
        <w:rPr>
          <w:rFonts w:asciiTheme="minorHAnsi" w:hAnsiTheme="minorHAnsi" w:cstheme="minorHAnsi"/>
          <w:spacing w:val="-1"/>
          <w:sz w:val="22"/>
          <w:szCs w:val="22"/>
        </w:rPr>
      </w:pPr>
      <w:r w:rsidRPr="00017003">
        <w:rPr>
          <w:rFonts w:asciiTheme="minorHAnsi" w:hAnsiTheme="minorHAnsi" w:cstheme="minorHAnsi"/>
          <w:spacing w:val="-1"/>
          <w:sz w:val="22"/>
          <w:szCs w:val="22"/>
        </w:rPr>
        <w:t>Has</w:t>
      </w:r>
      <w:r w:rsidRPr="00017003">
        <w:rPr>
          <w:rFonts w:asciiTheme="minorHAnsi" w:hAnsiTheme="minorHAnsi" w:cstheme="minorHAnsi"/>
          <w:sz w:val="22"/>
          <w:szCs w:val="22"/>
        </w:rPr>
        <w:t xml:space="preserve"> the</w:t>
      </w:r>
      <w:r w:rsidRPr="00017003">
        <w:rPr>
          <w:rFonts w:asciiTheme="minorHAnsi" w:hAnsiTheme="minorHAnsi" w:cstheme="minorHAnsi"/>
          <w:spacing w:val="-1"/>
          <w:sz w:val="22"/>
          <w:szCs w:val="22"/>
        </w:rPr>
        <w:t xml:space="preserve"> appropriate</w:t>
      </w:r>
      <w:r w:rsidRPr="00017003">
        <w:rPr>
          <w:rFonts w:asciiTheme="minorHAnsi" w:hAnsiTheme="minorHAnsi" w:cstheme="minorHAnsi"/>
          <w:spacing w:val="1"/>
          <w:sz w:val="22"/>
          <w:szCs w:val="22"/>
        </w:rPr>
        <w:t xml:space="preserve"> </w:t>
      </w:r>
      <w:r w:rsidRPr="00017003">
        <w:rPr>
          <w:rFonts w:asciiTheme="minorHAnsi" w:hAnsiTheme="minorHAnsi" w:cstheme="minorHAnsi"/>
          <w:spacing w:val="-1"/>
          <w:sz w:val="22"/>
          <w:szCs w:val="22"/>
        </w:rPr>
        <w:t>FLM</w:t>
      </w:r>
      <w:r w:rsidRPr="00017003">
        <w:rPr>
          <w:rFonts w:asciiTheme="minorHAnsi" w:hAnsiTheme="minorHAnsi" w:cstheme="minorHAnsi"/>
          <w:spacing w:val="2"/>
          <w:sz w:val="22"/>
          <w:szCs w:val="22"/>
        </w:rPr>
        <w:t xml:space="preserve"> </w:t>
      </w:r>
      <w:r w:rsidRPr="00017003">
        <w:rPr>
          <w:rFonts w:asciiTheme="minorHAnsi" w:hAnsiTheme="minorHAnsi" w:cstheme="minorHAnsi"/>
          <w:spacing w:val="-1"/>
          <w:sz w:val="22"/>
          <w:szCs w:val="22"/>
        </w:rPr>
        <w:t>been</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notified</w:t>
      </w:r>
      <w:r w:rsidRPr="00017003">
        <w:rPr>
          <w:rFonts w:asciiTheme="minorHAnsi" w:hAnsiTheme="minorHAnsi" w:cstheme="minorHAnsi"/>
          <w:sz w:val="22"/>
          <w:szCs w:val="22"/>
        </w:rPr>
        <w:t xml:space="preserve"> based on </w:t>
      </w:r>
      <w:r w:rsidRPr="00017003">
        <w:rPr>
          <w:rFonts w:asciiTheme="minorHAnsi" w:hAnsiTheme="minorHAnsi" w:cstheme="minorHAnsi"/>
          <w:spacing w:val="-1"/>
          <w:sz w:val="22"/>
          <w:szCs w:val="22"/>
        </w:rPr>
        <w:t>source characteristics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and</w:t>
      </w:r>
      <w:r w:rsidRPr="00017003">
        <w:rPr>
          <w:rFonts w:asciiTheme="minorHAnsi" w:hAnsiTheme="minorHAnsi" w:cstheme="minorHAnsi"/>
          <w:spacing w:val="2"/>
          <w:sz w:val="22"/>
          <w:szCs w:val="22"/>
        </w:rPr>
        <w:t xml:space="preserve"> </w:t>
      </w:r>
      <w:r w:rsidRPr="00017003">
        <w:rPr>
          <w:rFonts w:asciiTheme="minorHAnsi" w:hAnsiTheme="minorHAnsi" w:cstheme="minorHAnsi"/>
          <w:sz w:val="22"/>
          <w:szCs w:val="22"/>
        </w:rPr>
        <w:t>proximity</w:t>
      </w:r>
      <w:r w:rsidRPr="00017003">
        <w:rPr>
          <w:rFonts w:asciiTheme="minorHAnsi" w:hAnsiTheme="minorHAnsi" w:cstheme="minorHAnsi"/>
          <w:spacing w:val="73"/>
          <w:sz w:val="22"/>
          <w:szCs w:val="22"/>
        </w:rPr>
        <w:t xml:space="preserve"> </w:t>
      </w:r>
      <w:r w:rsidRPr="00017003">
        <w:rPr>
          <w:rFonts w:asciiTheme="minorHAnsi" w:hAnsiTheme="minorHAnsi" w:cstheme="minorHAnsi"/>
          <w:sz w:val="22"/>
          <w:szCs w:val="22"/>
        </w:rPr>
        <w:t xml:space="preserve">to </w:t>
      </w:r>
      <w:r w:rsidRPr="00017003">
        <w:rPr>
          <w:rFonts w:asciiTheme="minorHAnsi" w:hAnsiTheme="minorHAnsi" w:cstheme="minorHAnsi"/>
          <w:spacing w:val="-1"/>
          <w:sz w:val="22"/>
          <w:szCs w:val="22"/>
        </w:rPr>
        <w:t>Class</w:t>
      </w:r>
      <w:r w:rsidRPr="00017003">
        <w:rPr>
          <w:rFonts w:asciiTheme="minorHAnsi" w:hAnsiTheme="minorHAnsi" w:cstheme="minorHAnsi"/>
          <w:spacing w:val="2"/>
          <w:sz w:val="22"/>
          <w:szCs w:val="22"/>
        </w:rPr>
        <w:t xml:space="preserve"> </w:t>
      </w:r>
      <w:r w:rsidRPr="00017003">
        <w:rPr>
          <w:rFonts w:asciiTheme="minorHAnsi" w:hAnsiTheme="minorHAnsi" w:cstheme="minorHAnsi"/>
          <w:sz w:val="22"/>
          <w:szCs w:val="22"/>
        </w:rPr>
        <w:t>I</w:t>
      </w:r>
      <w:r w:rsidRPr="00017003">
        <w:rPr>
          <w:rFonts w:asciiTheme="minorHAnsi" w:hAnsiTheme="minorHAnsi" w:cstheme="minorHAnsi"/>
          <w:spacing w:val="-6"/>
          <w:sz w:val="22"/>
          <w:szCs w:val="22"/>
        </w:rPr>
        <w:t xml:space="preserve"> </w:t>
      </w:r>
      <w:r w:rsidRPr="00017003">
        <w:rPr>
          <w:rFonts w:asciiTheme="minorHAnsi" w:hAnsiTheme="minorHAnsi" w:cstheme="minorHAnsi"/>
          <w:spacing w:val="-1"/>
          <w:sz w:val="22"/>
          <w:szCs w:val="22"/>
        </w:rPr>
        <w:t>area?</w:t>
      </w:r>
    </w:p>
    <w:p w14:paraId="71675D6E" w14:textId="32800054" w:rsidR="00596D57" w:rsidRPr="00017003" w:rsidRDefault="00596D57" w:rsidP="00E21EDD">
      <w:pPr>
        <w:pStyle w:val="BodyText"/>
        <w:numPr>
          <w:ilvl w:val="0"/>
          <w:numId w:val="31"/>
        </w:numPr>
        <w:jc w:val="left"/>
        <w:rPr>
          <w:rFonts w:asciiTheme="minorHAnsi" w:hAnsiTheme="minorHAnsi" w:cstheme="minorHAnsi"/>
          <w:sz w:val="22"/>
          <w:szCs w:val="22"/>
        </w:rPr>
      </w:pPr>
      <w:r w:rsidRPr="00017003">
        <w:rPr>
          <w:rFonts w:asciiTheme="minorHAnsi" w:hAnsiTheme="minorHAnsi" w:cstheme="minorHAnsi"/>
          <w:sz w:val="22"/>
          <w:szCs w:val="22"/>
        </w:rPr>
        <w:t xml:space="preserve">Distance to the closest to </w:t>
      </w:r>
      <w:r w:rsidRPr="00017003">
        <w:rPr>
          <w:rFonts w:asciiTheme="minorHAnsi" w:hAnsiTheme="minorHAnsi" w:cstheme="minorHAnsi"/>
          <w:spacing w:val="-1"/>
          <w:sz w:val="22"/>
          <w:szCs w:val="22"/>
        </w:rPr>
        <w:t>Class</w:t>
      </w:r>
      <w:r w:rsidRPr="00017003">
        <w:rPr>
          <w:rFonts w:asciiTheme="minorHAnsi" w:hAnsiTheme="minorHAnsi" w:cstheme="minorHAnsi"/>
          <w:spacing w:val="2"/>
          <w:sz w:val="22"/>
          <w:szCs w:val="22"/>
        </w:rPr>
        <w:t xml:space="preserve"> </w:t>
      </w:r>
      <w:r w:rsidRPr="00017003">
        <w:rPr>
          <w:rFonts w:asciiTheme="minorHAnsi" w:hAnsiTheme="minorHAnsi" w:cstheme="minorHAnsi"/>
          <w:sz w:val="22"/>
          <w:szCs w:val="22"/>
        </w:rPr>
        <w:t>I</w:t>
      </w:r>
      <w:r w:rsidRPr="00017003">
        <w:rPr>
          <w:rFonts w:asciiTheme="minorHAnsi" w:hAnsiTheme="minorHAnsi" w:cstheme="minorHAnsi"/>
          <w:spacing w:val="-4"/>
          <w:sz w:val="22"/>
          <w:szCs w:val="22"/>
        </w:rPr>
        <w:t xml:space="preserve"> </w:t>
      </w:r>
      <w:r w:rsidRPr="00017003">
        <w:rPr>
          <w:rFonts w:asciiTheme="minorHAnsi" w:hAnsiTheme="minorHAnsi" w:cstheme="minorHAnsi"/>
          <w:spacing w:val="-1"/>
          <w:sz w:val="22"/>
          <w:szCs w:val="22"/>
        </w:rPr>
        <w:t>area (km)?</w:t>
      </w:r>
    </w:p>
    <w:p w14:paraId="12586A21" w14:textId="77777777" w:rsidR="00596D57" w:rsidRPr="00017003" w:rsidRDefault="00596D57" w:rsidP="00E21EDD">
      <w:pPr>
        <w:pStyle w:val="NoSpacing"/>
        <w:spacing w:before="240"/>
        <w:rPr>
          <w:rFonts w:eastAsia="Times New Roman" w:cstheme="minorHAnsi"/>
        </w:rPr>
      </w:pPr>
      <w:bookmarkStart w:id="69" w:name="Additional_Impact_Analysis"/>
      <w:bookmarkEnd w:id="69"/>
      <w:r w:rsidRPr="00017003">
        <w:rPr>
          <w:rFonts w:eastAsia="Times New Roman" w:cstheme="minorHAnsi"/>
        </w:rPr>
        <w:t>Additional Impact Analysis</w:t>
      </w:r>
    </w:p>
    <w:p w14:paraId="64EC2570" w14:textId="6AB283A4" w:rsidR="00596D57" w:rsidRPr="00017003" w:rsidRDefault="00596D57" w:rsidP="00E21EDD">
      <w:pPr>
        <w:pStyle w:val="BodyText"/>
        <w:spacing w:before="180" w:line="252" w:lineRule="auto"/>
        <w:ind w:left="119" w:right="171"/>
        <w:jc w:val="left"/>
        <w:rPr>
          <w:rFonts w:asciiTheme="minorHAnsi" w:eastAsiaTheme="minorHAnsi" w:hAnsiTheme="minorHAnsi" w:cstheme="minorHAnsi"/>
          <w:sz w:val="22"/>
          <w:szCs w:val="22"/>
        </w:rPr>
      </w:pPr>
      <w:r w:rsidRPr="00017003">
        <w:rPr>
          <w:rFonts w:asciiTheme="minorHAnsi" w:hAnsiTheme="minorHAnsi" w:cstheme="minorHAnsi"/>
          <w:spacing w:val="-1"/>
          <w:sz w:val="22"/>
          <w:szCs w:val="22"/>
        </w:rPr>
        <w:t>Additional Impact Analysis is required</w:t>
      </w:r>
      <w:r w:rsidRPr="00017003">
        <w:rPr>
          <w:rFonts w:asciiTheme="minorHAnsi" w:hAnsiTheme="minorHAnsi" w:cstheme="minorHAnsi"/>
          <w:sz w:val="22"/>
          <w:szCs w:val="22"/>
        </w:rPr>
        <w:t xml:space="preserve"> per 40 CFR </w:t>
      </w:r>
      <w:r w:rsidRPr="00017003">
        <w:rPr>
          <w:rFonts w:asciiTheme="minorHAnsi" w:hAnsiTheme="minorHAnsi" w:cstheme="minorHAnsi"/>
          <w:spacing w:val="-1"/>
          <w:sz w:val="22"/>
          <w:szCs w:val="22"/>
        </w:rPr>
        <w:t xml:space="preserve">52.21(o) </w:t>
      </w:r>
      <w:r w:rsidRPr="00017003">
        <w:rPr>
          <w:rFonts w:asciiTheme="minorHAnsi" w:hAnsiTheme="minorHAnsi" w:cstheme="minorHAnsi"/>
          <w:sz w:val="22"/>
          <w:szCs w:val="22"/>
        </w:rPr>
        <w:t>of</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the</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PSD</w:t>
      </w:r>
      <w:r w:rsidRPr="00017003">
        <w:rPr>
          <w:rFonts w:asciiTheme="minorHAnsi" w:hAnsiTheme="minorHAnsi" w:cstheme="minorHAnsi"/>
          <w:spacing w:val="-1"/>
          <w:sz w:val="22"/>
          <w:szCs w:val="22"/>
        </w:rPr>
        <w:t xml:space="preserve"> regulations on </w:t>
      </w:r>
      <w:r w:rsidRPr="00017003">
        <w:rPr>
          <w:rFonts w:asciiTheme="minorHAnsi" w:hAnsiTheme="minorHAnsi" w:cstheme="minorHAnsi"/>
          <w:sz w:val="22"/>
          <w:szCs w:val="22"/>
        </w:rPr>
        <w:t>the</w:t>
      </w:r>
      <w:r w:rsidRPr="00017003">
        <w:rPr>
          <w:rFonts w:asciiTheme="minorHAnsi" w:hAnsiTheme="minorHAnsi" w:cstheme="minorHAnsi"/>
          <w:spacing w:val="-1"/>
          <w:sz w:val="22"/>
          <w:szCs w:val="22"/>
        </w:rPr>
        <w:t xml:space="preserve"> proposed</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facility's</w:t>
      </w:r>
      <w:r w:rsidRPr="00017003">
        <w:rPr>
          <w:rFonts w:asciiTheme="minorHAnsi" w:hAnsiTheme="minorHAnsi" w:cstheme="minorHAnsi"/>
          <w:spacing w:val="2"/>
          <w:sz w:val="22"/>
          <w:szCs w:val="22"/>
        </w:rPr>
        <w:t xml:space="preserve"> </w:t>
      </w:r>
      <w:r w:rsidRPr="00017003">
        <w:rPr>
          <w:rFonts w:asciiTheme="minorHAnsi" w:hAnsiTheme="minorHAnsi" w:cstheme="minorHAnsi"/>
          <w:spacing w:val="-1"/>
          <w:sz w:val="22"/>
          <w:szCs w:val="22"/>
        </w:rPr>
        <w:t>impact</w:t>
      </w:r>
      <w:r w:rsidRPr="00017003">
        <w:rPr>
          <w:rFonts w:asciiTheme="minorHAnsi" w:hAnsiTheme="minorHAnsi" w:cstheme="minorHAnsi"/>
          <w:sz w:val="22"/>
          <w:szCs w:val="22"/>
        </w:rPr>
        <w:t xml:space="preserve"> on soils, </w:t>
      </w:r>
      <w:r w:rsidRPr="00017003">
        <w:rPr>
          <w:rFonts w:asciiTheme="minorHAnsi" w:hAnsiTheme="minorHAnsi" w:cstheme="minorHAnsi"/>
          <w:spacing w:val="-1"/>
          <w:sz w:val="22"/>
          <w:szCs w:val="22"/>
        </w:rPr>
        <w:t>vegetation,</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and</w:t>
      </w:r>
      <w:r w:rsidRPr="00017003">
        <w:rPr>
          <w:rFonts w:asciiTheme="minorHAnsi" w:hAnsiTheme="minorHAnsi" w:cstheme="minorHAnsi"/>
          <w:sz w:val="22"/>
          <w:szCs w:val="22"/>
        </w:rPr>
        <w:t xml:space="preserve"> visibility</w:t>
      </w:r>
      <w:r w:rsidRPr="00017003">
        <w:rPr>
          <w:rFonts w:asciiTheme="minorHAnsi" w:hAnsiTheme="minorHAnsi" w:cstheme="minorHAnsi"/>
          <w:spacing w:val="-8"/>
          <w:sz w:val="22"/>
          <w:szCs w:val="22"/>
        </w:rPr>
        <w:t xml:space="preserve">; </w:t>
      </w:r>
      <w:r w:rsidRPr="00017003">
        <w:rPr>
          <w:rFonts w:asciiTheme="minorHAnsi" w:hAnsiTheme="minorHAnsi" w:cstheme="minorHAnsi"/>
          <w:sz w:val="22"/>
          <w:szCs w:val="22"/>
        </w:rPr>
        <w:t>the</w:t>
      </w:r>
      <w:r w:rsidRPr="00017003">
        <w:rPr>
          <w:rFonts w:asciiTheme="minorHAnsi" w:hAnsiTheme="minorHAnsi" w:cstheme="minorHAnsi"/>
          <w:spacing w:val="-1"/>
          <w:sz w:val="22"/>
          <w:szCs w:val="22"/>
        </w:rPr>
        <w:t xml:space="preserve"> expected</w:t>
      </w:r>
      <w:r w:rsidRPr="00017003">
        <w:rPr>
          <w:rFonts w:asciiTheme="minorHAnsi" w:hAnsiTheme="minorHAnsi" w:cstheme="minorHAnsi"/>
          <w:spacing w:val="2"/>
          <w:sz w:val="22"/>
          <w:szCs w:val="22"/>
        </w:rPr>
        <w:t xml:space="preserve"> </w:t>
      </w:r>
      <w:r w:rsidRPr="00017003">
        <w:rPr>
          <w:rFonts w:asciiTheme="minorHAnsi" w:hAnsiTheme="minorHAnsi" w:cstheme="minorHAnsi"/>
          <w:spacing w:val="-1"/>
          <w:sz w:val="22"/>
          <w:szCs w:val="22"/>
        </w:rPr>
        <w:t>general</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commercial,</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residential,</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and</w:t>
      </w:r>
      <w:r w:rsidRPr="00017003">
        <w:rPr>
          <w:rFonts w:asciiTheme="minorHAnsi" w:hAnsiTheme="minorHAnsi" w:cstheme="minorHAnsi"/>
          <w:sz w:val="22"/>
          <w:szCs w:val="22"/>
        </w:rPr>
        <w:t xml:space="preserve"> industrial </w:t>
      </w:r>
      <w:r w:rsidRPr="00017003">
        <w:rPr>
          <w:rFonts w:asciiTheme="minorHAnsi" w:hAnsiTheme="minorHAnsi" w:cstheme="minorHAnsi"/>
          <w:spacing w:val="-1"/>
          <w:sz w:val="22"/>
          <w:szCs w:val="22"/>
        </w:rPr>
        <w:t>growth</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associated</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with</w:t>
      </w:r>
      <w:r w:rsidRPr="00017003">
        <w:rPr>
          <w:rFonts w:asciiTheme="minorHAnsi" w:hAnsiTheme="minorHAnsi" w:cstheme="minorHAnsi"/>
          <w:sz w:val="22"/>
          <w:szCs w:val="22"/>
        </w:rPr>
        <w:t xml:space="preserve"> a </w:t>
      </w:r>
      <w:r w:rsidRPr="00017003">
        <w:rPr>
          <w:rFonts w:asciiTheme="minorHAnsi" w:hAnsiTheme="minorHAnsi" w:cstheme="minorHAnsi"/>
          <w:spacing w:val="-1"/>
          <w:sz w:val="22"/>
          <w:szCs w:val="22"/>
        </w:rPr>
        <w:t xml:space="preserve">new </w:t>
      </w:r>
      <w:r w:rsidRPr="00017003">
        <w:rPr>
          <w:rFonts w:asciiTheme="minorHAnsi" w:hAnsiTheme="minorHAnsi" w:cstheme="minorHAnsi"/>
          <w:sz w:val="22"/>
          <w:szCs w:val="22"/>
        </w:rPr>
        <w:t xml:space="preserve">major </w:t>
      </w:r>
      <w:r w:rsidRPr="00017003">
        <w:rPr>
          <w:rFonts w:asciiTheme="minorHAnsi" w:hAnsiTheme="minorHAnsi" w:cstheme="minorHAnsi"/>
          <w:spacing w:val="-1"/>
          <w:sz w:val="22"/>
          <w:szCs w:val="22"/>
        </w:rPr>
        <w:t>source.</w:t>
      </w:r>
      <w:r w:rsidRPr="00017003">
        <w:rPr>
          <w:rFonts w:asciiTheme="minorHAnsi" w:hAnsiTheme="minorHAnsi" w:cstheme="minorHAnsi"/>
          <w:spacing w:val="2"/>
          <w:sz w:val="22"/>
          <w:szCs w:val="22"/>
        </w:rPr>
        <w:t xml:space="preserve"> T</w:t>
      </w:r>
      <w:r w:rsidRPr="00017003">
        <w:rPr>
          <w:rFonts w:asciiTheme="minorHAnsi" w:hAnsiTheme="minorHAnsi" w:cstheme="minorHAnsi"/>
          <w:sz w:val="22"/>
          <w:szCs w:val="22"/>
        </w:rPr>
        <w:t>he</w:t>
      </w:r>
      <w:r w:rsidRPr="00017003">
        <w:rPr>
          <w:rFonts w:asciiTheme="minorHAnsi" w:hAnsiTheme="minorHAnsi" w:cstheme="minorHAnsi"/>
          <w:spacing w:val="-1"/>
          <w:sz w:val="22"/>
          <w:szCs w:val="22"/>
        </w:rPr>
        <w:t xml:space="preserve"> analysis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can</w:t>
      </w:r>
      <w:r w:rsidRPr="00017003">
        <w:rPr>
          <w:rFonts w:asciiTheme="minorHAnsi" w:hAnsiTheme="minorHAnsi" w:cstheme="minorHAnsi"/>
          <w:spacing w:val="2"/>
          <w:sz w:val="22"/>
          <w:szCs w:val="22"/>
        </w:rPr>
        <w:t xml:space="preserve"> </w:t>
      </w:r>
      <w:r w:rsidR="005A2FFF" w:rsidRPr="00017003">
        <w:rPr>
          <w:rFonts w:asciiTheme="minorHAnsi" w:hAnsiTheme="minorHAnsi" w:cstheme="minorHAnsi"/>
          <w:sz w:val="22"/>
          <w:szCs w:val="22"/>
        </w:rPr>
        <w:t>be</w:t>
      </w:r>
      <w:r w:rsidRPr="00017003">
        <w:rPr>
          <w:rFonts w:asciiTheme="minorHAnsi" w:hAnsiTheme="minorHAnsi" w:cstheme="minorHAnsi"/>
          <w:spacing w:val="-1"/>
          <w:sz w:val="22"/>
          <w:szCs w:val="22"/>
        </w:rPr>
        <w:t xml:space="preserve"> qualitative and</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designed</w:t>
      </w:r>
      <w:r w:rsidRPr="00017003">
        <w:rPr>
          <w:rFonts w:asciiTheme="minorHAnsi" w:hAnsiTheme="minorHAnsi" w:cstheme="minorHAnsi"/>
          <w:sz w:val="22"/>
          <w:szCs w:val="22"/>
        </w:rPr>
        <w:t xml:space="preserve"> to provide</w:t>
      </w:r>
      <w:r w:rsidRPr="00017003">
        <w:rPr>
          <w:rFonts w:asciiTheme="minorHAnsi" w:hAnsiTheme="minorHAnsi" w:cstheme="minorHAnsi"/>
          <w:spacing w:val="-1"/>
          <w:sz w:val="22"/>
          <w:szCs w:val="22"/>
        </w:rPr>
        <w:t xml:space="preserve"> </w:t>
      </w:r>
      <w:r w:rsidRPr="00017003">
        <w:rPr>
          <w:rFonts w:asciiTheme="minorHAnsi" w:hAnsiTheme="minorHAnsi" w:cstheme="minorHAnsi"/>
          <w:sz w:val="22"/>
          <w:szCs w:val="22"/>
        </w:rPr>
        <w:t>the</w:t>
      </w:r>
      <w:r w:rsidRPr="00017003">
        <w:rPr>
          <w:rFonts w:asciiTheme="minorHAnsi" w:hAnsiTheme="minorHAnsi" w:cstheme="minorHAnsi"/>
          <w:spacing w:val="-1"/>
          <w:sz w:val="22"/>
          <w:szCs w:val="22"/>
        </w:rPr>
        <w:t xml:space="preserve"> basis</w:t>
      </w:r>
      <w:r w:rsidRPr="00017003">
        <w:rPr>
          <w:rFonts w:asciiTheme="minorHAnsi" w:hAnsiTheme="minorHAnsi" w:cstheme="minorHAnsi"/>
          <w:sz w:val="22"/>
          <w:szCs w:val="22"/>
        </w:rPr>
        <w:t xml:space="preserve"> </w:t>
      </w:r>
      <w:r w:rsidRPr="00017003">
        <w:rPr>
          <w:rFonts w:asciiTheme="minorHAnsi" w:hAnsiTheme="minorHAnsi" w:cstheme="minorHAnsi"/>
          <w:spacing w:val="-1"/>
          <w:sz w:val="22"/>
          <w:szCs w:val="22"/>
        </w:rPr>
        <w:t xml:space="preserve">for </w:t>
      </w:r>
      <w:r w:rsidRPr="00017003">
        <w:rPr>
          <w:rFonts w:asciiTheme="minorHAnsi" w:hAnsiTheme="minorHAnsi" w:cstheme="minorHAnsi"/>
          <w:sz w:val="22"/>
          <w:szCs w:val="22"/>
        </w:rPr>
        <w:t xml:space="preserve">this </w:t>
      </w:r>
      <w:r w:rsidRPr="00017003">
        <w:rPr>
          <w:rFonts w:asciiTheme="minorHAnsi" w:hAnsiTheme="minorHAnsi" w:cstheme="minorHAnsi"/>
          <w:spacing w:val="-1"/>
          <w:sz w:val="22"/>
          <w:szCs w:val="22"/>
        </w:rPr>
        <w:t>determination.</w:t>
      </w:r>
    </w:p>
    <w:p w14:paraId="52653565" w14:textId="1A32F00A" w:rsidR="00596D57" w:rsidRPr="00017003" w:rsidRDefault="00596D57" w:rsidP="00E21EDD">
      <w:pPr>
        <w:pStyle w:val="BodyText"/>
        <w:numPr>
          <w:ilvl w:val="0"/>
          <w:numId w:val="32"/>
        </w:numPr>
        <w:spacing w:before="162"/>
        <w:jc w:val="left"/>
        <w:rPr>
          <w:rFonts w:asciiTheme="minorHAnsi" w:hAnsiTheme="minorHAnsi" w:cstheme="minorHAnsi"/>
          <w:sz w:val="22"/>
          <w:szCs w:val="22"/>
        </w:rPr>
      </w:pPr>
      <w:r w:rsidRPr="00017003">
        <w:rPr>
          <w:rFonts w:asciiTheme="minorHAnsi" w:hAnsiTheme="minorHAnsi" w:cstheme="minorHAnsi"/>
          <w:spacing w:val="-1"/>
          <w:sz w:val="22"/>
          <w:szCs w:val="22"/>
        </w:rPr>
        <w:t>Yes</w:t>
      </w:r>
    </w:p>
    <w:p w14:paraId="0FBE3943" w14:textId="2F2F70F9" w:rsidR="00596D57" w:rsidRPr="00017003" w:rsidRDefault="00596D57" w:rsidP="00E21EDD">
      <w:pPr>
        <w:pStyle w:val="BodyText"/>
        <w:numPr>
          <w:ilvl w:val="0"/>
          <w:numId w:val="32"/>
        </w:numPr>
        <w:jc w:val="left"/>
        <w:rPr>
          <w:rFonts w:asciiTheme="minorHAnsi" w:hAnsiTheme="minorHAnsi" w:cstheme="minorHAnsi"/>
          <w:sz w:val="22"/>
          <w:szCs w:val="22"/>
        </w:rPr>
      </w:pPr>
      <w:r w:rsidRPr="00017003">
        <w:rPr>
          <w:rFonts w:asciiTheme="minorHAnsi" w:hAnsiTheme="minorHAnsi" w:cstheme="minorHAnsi"/>
          <w:sz w:val="22"/>
          <w:szCs w:val="22"/>
        </w:rPr>
        <w:t>No – Minor Source Permit Modeling</w:t>
      </w:r>
    </w:p>
    <w:p w14:paraId="286AB0E4" w14:textId="4EF26AB4" w:rsidR="00596D57" w:rsidRPr="00E43542" w:rsidRDefault="00596D57" w:rsidP="00E21EDD">
      <w:pPr>
        <w:jc w:val="left"/>
        <w:rPr>
          <w:rFonts w:cstheme="minorHAnsi"/>
        </w:rPr>
      </w:pPr>
      <w:r w:rsidRPr="00E43542">
        <w:rPr>
          <w:rFonts w:eastAsia="Times New Roman" w:cstheme="minorHAnsi"/>
        </w:rPr>
        <w:t>Results</w:t>
      </w:r>
    </w:p>
    <w:p w14:paraId="2010D3B3" w14:textId="1E2C3CAF" w:rsidR="00596D57" w:rsidRPr="00017003" w:rsidRDefault="00596D57" w:rsidP="00017003">
      <w:pPr>
        <w:pStyle w:val="BodyText"/>
        <w:numPr>
          <w:ilvl w:val="0"/>
          <w:numId w:val="33"/>
        </w:numPr>
        <w:spacing w:line="252" w:lineRule="auto"/>
        <w:ind w:right="111"/>
        <w:jc w:val="left"/>
        <w:rPr>
          <w:rFonts w:asciiTheme="minorHAnsi" w:eastAsiaTheme="minorHAnsi" w:hAnsiTheme="minorHAnsi" w:cstheme="minorHAnsi"/>
          <w:sz w:val="22"/>
          <w:szCs w:val="18"/>
        </w:rPr>
      </w:pPr>
      <w:r w:rsidRPr="00017003">
        <w:rPr>
          <w:rFonts w:asciiTheme="minorHAnsi" w:hAnsiTheme="minorHAnsi" w:cstheme="minorHAnsi"/>
          <w:spacing w:val="-1"/>
          <w:sz w:val="22"/>
          <w:szCs w:val="18"/>
        </w:rPr>
        <w:t>All</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applicable NAAQS</w:t>
      </w:r>
      <w:r w:rsidRPr="00017003">
        <w:rPr>
          <w:rFonts w:asciiTheme="minorHAnsi" w:hAnsiTheme="minorHAnsi" w:cstheme="minorHAnsi"/>
          <w:sz w:val="22"/>
          <w:szCs w:val="18"/>
        </w:rPr>
        <w:t xml:space="preserve"> and PSD</w:t>
      </w:r>
      <w:r w:rsidRPr="00017003">
        <w:rPr>
          <w:rFonts w:asciiTheme="minorHAnsi" w:hAnsiTheme="minorHAnsi" w:cstheme="minorHAnsi"/>
          <w:spacing w:val="-1"/>
          <w:sz w:val="22"/>
          <w:szCs w:val="18"/>
        </w:rPr>
        <w:t xml:space="preserve"> increments</w:t>
      </w:r>
      <w:r w:rsidRPr="00017003">
        <w:rPr>
          <w:rFonts w:asciiTheme="minorHAnsi" w:hAnsiTheme="minorHAnsi" w:cstheme="minorHAnsi"/>
          <w:sz w:val="22"/>
          <w:szCs w:val="18"/>
        </w:rPr>
        <w:t xml:space="preserve"> should be</w:t>
      </w:r>
      <w:r w:rsidRPr="00017003">
        <w:rPr>
          <w:rFonts w:asciiTheme="minorHAnsi" w:hAnsiTheme="minorHAnsi" w:cstheme="minorHAnsi"/>
          <w:spacing w:val="-1"/>
          <w:sz w:val="22"/>
          <w:szCs w:val="18"/>
        </w:rPr>
        <w:t xml:space="preserve"> represented</w:t>
      </w:r>
      <w:r w:rsidRPr="00017003">
        <w:rPr>
          <w:rFonts w:asciiTheme="minorHAnsi" w:hAnsiTheme="minorHAnsi" w:cstheme="minorHAnsi"/>
          <w:sz w:val="22"/>
          <w:szCs w:val="18"/>
        </w:rPr>
        <w:t xml:space="preserve"> in these</w:t>
      </w:r>
      <w:r w:rsidRPr="00017003">
        <w:rPr>
          <w:rFonts w:asciiTheme="minorHAnsi" w:hAnsiTheme="minorHAnsi" w:cstheme="minorHAnsi"/>
          <w:spacing w:val="1"/>
          <w:sz w:val="22"/>
          <w:szCs w:val="18"/>
        </w:rPr>
        <w:t xml:space="preserve"> </w:t>
      </w:r>
      <w:r w:rsidRPr="00017003">
        <w:rPr>
          <w:rFonts w:asciiTheme="minorHAnsi" w:hAnsiTheme="minorHAnsi" w:cstheme="minorHAnsi"/>
          <w:spacing w:val="-1"/>
          <w:sz w:val="22"/>
          <w:szCs w:val="18"/>
        </w:rPr>
        <w:t>results</w:t>
      </w:r>
      <w:r w:rsidRPr="00017003">
        <w:rPr>
          <w:rFonts w:asciiTheme="minorHAnsi" w:hAnsiTheme="minorHAnsi" w:cstheme="minorHAnsi"/>
          <w:spacing w:val="65"/>
          <w:sz w:val="22"/>
          <w:szCs w:val="18"/>
        </w:rPr>
        <w:t xml:space="preserve"> </w:t>
      </w:r>
      <w:r w:rsidRPr="00017003">
        <w:rPr>
          <w:rFonts w:asciiTheme="minorHAnsi" w:hAnsiTheme="minorHAnsi" w:cstheme="minorHAnsi"/>
          <w:spacing w:val="-1"/>
          <w:sz w:val="22"/>
          <w:szCs w:val="18"/>
        </w:rPr>
        <w:t>(</w:t>
      </w:r>
      <w:r w:rsidRPr="00017003">
        <w:rPr>
          <w:rFonts w:asciiTheme="minorHAnsi" w:hAnsiTheme="minorHAnsi" w:cstheme="minorHAnsi"/>
          <w:i/>
          <w:iCs/>
          <w:spacing w:val="-1"/>
          <w:sz w:val="22"/>
          <w:szCs w:val="18"/>
        </w:rPr>
        <w:t>e.g.</w:t>
      </w:r>
      <w:r w:rsidRPr="00017003">
        <w:rPr>
          <w:rFonts w:asciiTheme="minorHAnsi" w:hAnsiTheme="minorHAnsi" w:cstheme="minorHAnsi"/>
          <w:spacing w:val="-1"/>
          <w:sz w:val="22"/>
          <w:szCs w:val="18"/>
        </w:rPr>
        <w: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tables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with</w:t>
      </w:r>
      <w:r w:rsidRPr="00017003">
        <w:rPr>
          <w:rFonts w:asciiTheme="minorHAnsi" w:hAnsiTheme="minorHAnsi" w:cstheme="minorHAnsi"/>
          <w:sz w:val="22"/>
          <w:szCs w:val="18"/>
        </w:rPr>
        <w:t xml:space="preserve"> maximum </w:t>
      </w:r>
      <w:r w:rsidRPr="00017003">
        <w:rPr>
          <w:rFonts w:asciiTheme="minorHAnsi" w:hAnsiTheme="minorHAnsi" w:cstheme="minorHAnsi"/>
          <w:spacing w:val="-1"/>
          <w:sz w:val="22"/>
          <w:szCs w:val="18"/>
        </w:rPr>
        <w:t>and/or significant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impacts, associated</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 xml:space="preserve">receptor </w:t>
      </w:r>
      <w:r w:rsidRPr="00017003">
        <w:rPr>
          <w:rFonts w:asciiTheme="minorHAnsi" w:hAnsiTheme="minorHAnsi" w:cstheme="minorHAnsi"/>
          <w:sz w:val="22"/>
          <w:szCs w:val="18"/>
        </w:rPr>
        <w:t>location,</w:t>
      </w:r>
      <w:r w:rsidRPr="00017003">
        <w:rPr>
          <w:rFonts w:asciiTheme="minorHAnsi" w:hAnsiTheme="minorHAnsi" w:cstheme="minorHAnsi"/>
          <w:spacing w:val="83"/>
          <w:sz w:val="22"/>
          <w:szCs w:val="18"/>
        </w:rPr>
        <w:t xml:space="preserve"> </w:t>
      </w:r>
      <w:r w:rsidRPr="00017003">
        <w:rPr>
          <w:rFonts w:asciiTheme="minorHAnsi" w:hAnsiTheme="minorHAnsi" w:cstheme="minorHAnsi"/>
          <w:spacing w:val="-1"/>
          <w:sz w:val="22"/>
          <w:szCs w:val="18"/>
        </w:rPr>
        <w:t>meteorological</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data,</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and</w:t>
      </w:r>
      <w:r w:rsidRPr="00017003">
        <w:rPr>
          <w:rFonts w:asciiTheme="minorHAnsi" w:hAnsiTheme="minorHAnsi" w:cstheme="minorHAnsi"/>
          <w:spacing w:val="2"/>
          <w:sz w:val="22"/>
          <w:szCs w:val="18"/>
        </w:rPr>
        <w:t xml:space="preserve"> </w:t>
      </w:r>
      <w:r w:rsidRPr="00017003">
        <w:rPr>
          <w:rFonts w:asciiTheme="minorHAnsi" w:hAnsiTheme="minorHAnsi" w:cstheme="minorHAnsi"/>
          <w:spacing w:val="-1"/>
          <w:sz w:val="22"/>
          <w:szCs w:val="18"/>
        </w:rPr>
        <w:t>modeling</w:t>
      </w:r>
      <w:r w:rsidRPr="00017003">
        <w:rPr>
          <w:rFonts w:asciiTheme="minorHAnsi" w:hAnsiTheme="minorHAnsi" w:cstheme="minorHAnsi"/>
          <w:spacing w:val="-3"/>
          <w:sz w:val="22"/>
          <w:szCs w:val="18"/>
        </w:rPr>
        <w:t xml:space="preserve"> </w:t>
      </w:r>
      <w:r w:rsidRPr="00017003">
        <w:rPr>
          <w:rFonts w:asciiTheme="minorHAnsi" w:hAnsiTheme="minorHAnsi" w:cstheme="minorHAnsi"/>
          <w:spacing w:val="-1"/>
          <w:sz w:val="22"/>
          <w:szCs w:val="18"/>
        </w:rPr>
        <w:t xml:space="preserve">scenario) </w:t>
      </w:r>
      <w:r w:rsidRPr="00017003">
        <w:rPr>
          <w:rFonts w:asciiTheme="minorHAnsi" w:hAnsiTheme="minorHAnsi" w:cstheme="minorHAnsi"/>
          <w:sz w:val="22"/>
          <w:szCs w:val="18"/>
        </w:rPr>
        <w:t>based</w:t>
      </w:r>
      <w:r w:rsidRPr="00017003">
        <w:rPr>
          <w:rFonts w:asciiTheme="minorHAnsi" w:hAnsiTheme="minorHAnsi" w:cstheme="minorHAnsi"/>
          <w:spacing w:val="2"/>
          <w:sz w:val="22"/>
          <w:szCs w:val="18"/>
        </w:rPr>
        <w:t xml:space="preserve"> </w:t>
      </w:r>
      <w:r w:rsidRPr="00017003">
        <w:rPr>
          <w:rFonts w:asciiTheme="minorHAnsi" w:hAnsiTheme="minorHAnsi" w:cstheme="minorHAnsi"/>
          <w:sz w:val="22"/>
          <w:szCs w:val="18"/>
        </w:rPr>
        <w:t>on the</w:t>
      </w:r>
      <w:r w:rsidRPr="00017003">
        <w:rPr>
          <w:rFonts w:asciiTheme="minorHAnsi" w:hAnsiTheme="minorHAnsi" w:cstheme="minorHAnsi"/>
          <w:spacing w:val="-1"/>
          <w:sz w:val="22"/>
          <w:szCs w:val="18"/>
        </w:rPr>
        <w:t xml:space="preserve"> corresponding</w:t>
      </w:r>
      <w:r w:rsidRPr="00017003">
        <w:rPr>
          <w:rFonts w:asciiTheme="minorHAnsi" w:hAnsiTheme="minorHAnsi" w:cstheme="minorHAnsi"/>
          <w:sz w:val="22"/>
          <w:szCs w:val="18"/>
        </w:rPr>
        <w:t xml:space="preserve"> form of</w:t>
      </w:r>
      <w:r w:rsidRPr="00017003">
        <w:rPr>
          <w:rFonts w:asciiTheme="minorHAnsi" w:hAnsiTheme="minorHAnsi" w:cstheme="minorHAnsi"/>
          <w:spacing w:val="-1"/>
          <w:sz w:val="22"/>
          <w:szCs w:val="18"/>
        </w:rPr>
        <w:t xml:space="preserve"> each</w:t>
      </w:r>
      <w:r w:rsidRPr="00017003">
        <w:rPr>
          <w:rFonts w:asciiTheme="minorHAnsi" w:hAnsiTheme="minorHAnsi" w:cstheme="minorHAnsi"/>
          <w:spacing w:val="77"/>
          <w:sz w:val="22"/>
          <w:szCs w:val="18"/>
        </w:rPr>
        <w:t xml:space="preserve"> </w:t>
      </w:r>
      <w:r w:rsidRPr="00017003">
        <w:rPr>
          <w:rFonts w:asciiTheme="minorHAnsi" w:hAnsiTheme="minorHAnsi" w:cstheme="minorHAnsi"/>
          <w:spacing w:val="-1"/>
          <w:sz w:val="22"/>
          <w:szCs w:val="18"/>
        </w:rPr>
        <w:t>NAAQS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w:t>
      </w:r>
      <w:r w:rsidRPr="00017003">
        <w:rPr>
          <w:rFonts w:asciiTheme="minorHAnsi" w:hAnsiTheme="minorHAnsi" w:cstheme="minorHAnsi"/>
          <w:i/>
          <w:iCs/>
          <w:spacing w:val="-1"/>
          <w:sz w:val="22"/>
          <w:szCs w:val="18"/>
        </w:rPr>
        <w:t>i.e.</w:t>
      </w:r>
      <w:r w:rsidRPr="00017003">
        <w:rPr>
          <w:rFonts w:asciiTheme="minorHAnsi" w:hAnsiTheme="minorHAnsi" w:cstheme="minorHAnsi"/>
          <w:spacing w:val="-1"/>
          <w:sz w:val="22"/>
          <w:szCs w:val="18"/>
        </w:rPr>
        <w: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averaging</w:t>
      </w:r>
      <w:r w:rsidRPr="00017003">
        <w:rPr>
          <w:rFonts w:asciiTheme="minorHAnsi" w:hAnsiTheme="minorHAnsi" w:cstheme="minorHAnsi"/>
          <w:spacing w:val="-3"/>
          <w:sz w:val="22"/>
          <w:szCs w:val="18"/>
        </w:rPr>
        <w:t xml:space="preserve"> </w:t>
      </w:r>
      <w:r w:rsidRPr="00017003">
        <w:rPr>
          <w:rFonts w:asciiTheme="minorHAnsi" w:hAnsiTheme="minorHAnsi" w:cstheme="minorHAnsi"/>
          <w:sz w:val="22"/>
          <w:szCs w:val="18"/>
        </w:rPr>
        <w:t>times)</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or</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the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PSD</w:t>
      </w:r>
      <w:r w:rsidRPr="00017003">
        <w:rPr>
          <w:rFonts w:asciiTheme="minorHAnsi" w:hAnsiTheme="minorHAnsi" w:cstheme="minorHAnsi"/>
          <w:spacing w:val="-1"/>
          <w:sz w:val="22"/>
          <w:szCs w:val="18"/>
        </w:rPr>
        <w:t xml:space="preserve"> increment.</w:t>
      </w:r>
    </w:p>
    <w:p w14:paraId="40964EB2" w14:textId="2220D6CC" w:rsidR="00596D57" w:rsidRPr="00017003" w:rsidRDefault="00596D57" w:rsidP="00017003">
      <w:pPr>
        <w:pStyle w:val="BodyText"/>
        <w:numPr>
          <w:ilvl w:val="0"/>
          <w:numId w:val="33"/>
        </w:numPr>
        <w:spacing w:line="252" w:lineRule="auto"/>
        <w:ind w:right="593"/>
        <w:jc w:val="left"/>
        <w:rPr>
          <w:rFonts w:asciiTheme="minorHAnsi" w:hAnsiTheme="minorHAnsi" w:cstheme="minorHAnsi"/>
          <w:sz w:val="22"/>
          <w:szCs w:val="18"/>
        </w:rPr>
      </w:pPr>
      <w:r w:rsidRPr="00017003">
        <w:rPr>
          <w:rFonts w:asciiTheme="minorHAnsi" w:hAnsiTheme="minorHAnsi" w:cstheme="minorHAnsi"/>
          <w:spacing w:val="-1"/>
          <w:sz w:val="22"/>
          <w:szCs w:val="18"/>
        </w:rPr>
        <w:t>Concentration</w:t>
      </w:r>
      <w:r w:rsidRPr="00017003">
        <w:rPr>
          <w:rFonts w:asciiTheme="minorHAnsi" w:hAnsiTheme="minorHAnsi" w:cstheme="minorHAnsi"/>
          <w:sz w:val="22"/>
          <w:szCs w:val="18"/>
        </w:rPr>
        <w:t xml:space="preserve"> plots of</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 xml:space="preserve">maximum </w:t>
      </w:r>
      <w:r w:rsidRPr="00017003">
        <w:rPr>
          <w:rFonts w:asciiTheme="minorHAnsi" w:hAnsiTheme="minorHAnsi" w:cstheme="minorHAnsi"/>
          <w:spacing w:val="-1"/>
          <w:sz w:val="22"/>
          <w:szCs w:val="18"/>
        </w:rPr>
        <w:t>and/or significant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impacts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overlaid</w:t>
      </w:r>
      <w:r w:rsidRPr="00017003">
        <w:rPr>
          <w:rFonts w:asciiTheme="minorHAnsi" w:hAnsiTheme="minorHAnsi" w:cstheme="minorHAnsi"/>
          <w:sz w:val="22"/>
          <w:szCs w:val="18"/>
        </w:rPr>
        <w:t xml:space="preserve"> on previous</w:t>
      </w:r>
      <w:r w:rsidRPr="00017003">
        <w:rPr>
          <w:rFonts w:asciiTheme="minorHAnsi" w:hAnsiTheme="minorHAnsi" w:cstheme="minorHAnsi"/>
          <w:spacing w:val="65"/>
          <w:sz w:val="22"/>
          <w:szCs w:val="18"/>
        </w:rPr>
        <w:t xml:space="preserve"> </w:t>
      </w:r>
      <w:r w:rsidRPr="00017003">
        <w:rPr>
          <w:rFonts w:asciiTheme="minorHAnsi" w:hAnsiTheme="minorHAnsi" w:cstheme="minorHAnsi"/>
          <w:spacing w:val="-1"/>
          <w:sz w:val="22"/>
          <w:szCs w:val="18"/>
        </w:rPr>
        <w:t>discussed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 xml:space="preserve">source </w:t>
      </w:r>
      <w:r w:rsidRPr="00017003">
        <w:rPr>
          <w:rFonts w:asciiTheme="minorHAnsi" w:hAnsiTheme="minorHAnsi" w:cstheme="minorHAnsi"/>
          <w:sz w:val="22"/>
          <w:szCs w:val="18"/>
        </w:rPr>
        <w:t xml:space="preserve">location </w:t>
      </w:r>
      <w:r w:rsidRPr="00017003">
        <w:rPr>
          <w:rFonts w:asciiTheme="minorHAnsi" w:hAnsiTheme="minorHAnsi" w:cstheme="minorHAnsi"/>
          <w:spacing w:val="-1"/>
          <w:sz w:val="22"/>
          <w:szCs w:val="18"/>
        </w:rPr>
        <w:t>maps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identifying</w:t>
      </w:r>
      <w:r w:rsidRPr="00017003">
        <w:rPr>
          <w:rFonts w:asciiTheme="minorHAnsi" w:hAnsiTheme="minorHAnsi" w:cstheme="minorHAnsi"/>
          <w:spacing w:val="-3"/>
          <w:sz w:val="22"/>
          <w:szCs w:val="18"/>
        </w:rPr>
        <w:t xml:space="preserve"> </w:t>
      </w:r>
      <w:r w:rsidRPr="00017003">
        <w:rPr>
          <w:rFonts w:asciiTheme="minorHAnsi" w:hAnsiTheme="minorHAnsi" w:cstheme="minorHAnsi"/>
          <w:spacing w:val="-1"/>
          <w:sz w:val="22"/>
          <w:szCs w:val="18"/>
        </w:rPr>
        <w:t>topographic features,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Class</w:t>
      </w:r>
      <w:r w:rsidRPr="00017003">
        <w:rPr>
          <w:rFonts w:asciiTheme="minorHAnsi" w:hAnsiTheme="minorHAnsi" w:cstheme="minorHAnsi"/>
          <w:spacing w:val="2"/>
          <w:sz w:val="22"/>
          <w:szCs w:val="18"/>
        </w:rPr>
        <w:t xml:space="preserve"> </w:t>
      </w:r>
      <w:r w:rsidRPr="00017003">
        <w:rPr>
          <w:rFonts w:asciiTheme="minorHAnsi" w:hAnsiTheme="minorHAnsi" w:cstheme="minorHAnsi"/>
          <w:sz w:val="22"/>
          <w:szCs w:val="18"/>
        </w:rPr>
        <w:t>I</w:t>
      </w:r>
      <w:r w:rsidRPr="00017003">
        <w:rPr>
          <w:rFonts w:asciiTheme="minorHAnsi" w:hAnsiTheme="minorHAnsi" w:cstheme="minorHAnsi"/>
          <w:spacing w:val="-4"/>
          <w:sz w:val="22"/>
          <w:szCs w:val="18"/>
        </w:rPr>
        <w:t xml:space="preserve"> </w:t>
      </w:r>
      <w:r w:rsidRPr="00017003">
        <w:rPr>
          <w:rFonts w:asciiTheme="minorHAnsi" w:hAnsiTheme="minorHAnsi" w:cstheme="minorHAnsi"/>
          <w:sz w:val="22"/>
          <w:szCs w:val="18"/>
        </w:rPr>
        <w:t>areas,</w:t>
      </w:r>
      <w:r w:rsidRPr="00017003">
        <w:rPr>
          <w:rFonts w:asciiTheme="minorHAnsi" w:hAnsiTheme="minorHAnsi" w:cstheme="minorHAnsi"/>
          <w:spacing w:val="85"/>
          <w:sz w:val="22"/>
          <w:szCs w:val="18"/>
        </w:rPr>
        <w:t xml:space="preserve"> </w:t>
      </w:r>
      <w:r w:rsidRPr="00017003">
        <w:rPr>
          <w:rFonts w:asciiTheme="minorHAnsi" w:hAnsiTheme="minorHAnsi" w:cstheme="minorHAnsi"/>
          <w:spacing w:val="-1"/>
          <w:sz w:val="22"/>
          <w:szCs w:val="18"/>
        </w:rPr>
        <w:t>nonattainment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areas,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other major sources,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monitoring</w:t>
      </w:r>
      <w:r w:rsidRPr="00017003">
        <w:rPr>
          <w:rFonts w:asciiTheme="minorHAnsi" w:hAnsiTheme="minorHAnsi" w:cstheme="minorHAnsi"/>
          <w:spacing w:val="-3"/>
          <w:sz w:val="22"/>
          <w:szCs w:val="18"/>
        </w:rPr>
        <w:t xml:space="preserve"> </w:t>
      </w:r>
      <w:r w:rsidRPr="00017003">
        <w:rPr>
          <w:rFonts w:asciiTheme="minorHAnsi" w:hAnsiTheme="minorHAnsi" w:cstheme="minorHAnsi"/>
          <w:sz w:val="22"/>
          <w:szCs w:val="18"/>
        </w:rPr>
        <w:t xml:space="preserve">locations, </w:t>
      </w:r>
      <w:r w:rsidRPr="00017003">
        <w:rPr>
          <w:rFonts w:asciiTheme="minorHAnsi" w:hAnsiTheme="minorHAnsi" w:cstheme="minorHAnsi"/>
          <w:spacing w:val="-1"/>
          <w:sz w:val="22"/>
          <w:szCs w:val="18"/>
        </w:rPr>
        <w:t>met</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sites,</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etc.</w:t>
      </w:r>
    </w:p>
    <w:p w14:paraId="6155E63E" w14:textId="60DD260D" w:rsidR="00596D57" w:rsidRPr="00017003" w:rsidRDefault="00596D57" w:rsidP="00017003">
      <w:pPr>
        <w:pStyle w:val="BodyText"/>
        <w:numPr>
          <w:ilvl w:val="0"/>
          <w:numId w:val="33"/>
        </w:numPr>
        <w:spacing w:line="252" w:lineRule="auto"/>
        <w:ind w:right="149"/>
        <w:jc w:val="left"/>
        <w:rPr>
          <w:rFonts w:asciiTheme="minorHAnsi" w:hAnsiTheme="minorHAnsi" w:cstheme="minorHAnsi"/>
          <w:sz w:val="22"/>
          <w:szCs w:val="18"/>
        </w:rPr>
      </w:pPr>
      <w:r w:rsidRPr="00017003">
        <w:rPr>
          <w:rFonts w:asciiTheme="minorHAnsi" w:hAnsiTheme="minorHAnsi" w:cstheme="minorHAnsi"/>
          <w:spacing w:val="-1"/>
          <w:sz w:val="22"/>
          <w:szCs w:val="18"/>
        </w:rPr>
        <w:t>Modeled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concentrations</w:t>
      </w:r>
      <w:r w:rsidRPr="00017003">
        <w:rPr>
          <w:rFonts w:asciiTheme="minorHAnsi" w:hAnsiTheme="minorHAnsi" w:cstheme="minorHAnsi"/>
          <w:spacing w:val="2"/>
          <w:sz w:val="22"/>
          <w:szCs w:val="18"/>
        </w:rPr>
        <w:t xml:space="preserve"> </w:t>
      </w:r>
      <w:r w:rsidRPr="00017003">
        <w:rPr>
          <w:rFonts w:asciiTheme="minorHAnsi" w:hAnsiTheme="minorHAnsi" w:cstheme="minorHAnsi"/>
          <w:sz w:val="22"/>
          <w:szCs w:val="18"/>
        </w:rPr>
        <w:t>should not be</w:t>
      </w:r>
      <w:r w:rsidRPr="00017003">
        <w:rPr>
          <w:rFonts w:asciiTheme="minorHAnsi" w:hAnsiTheme="minorHAnsi" w:cstheme="minorHAnsi"/>
          <w:spacing w:val="-1"/>
          <w:sz w:val="22"/>
          <w:szCs w:val="18"/>
        </w:rPr>
        <w:t xml:space="preserve"> rounded</w:t>
      </w:r>
      <w:r w:rsidRPr="00017003">
        <w:rPr>
          <w:rFonts w:asciiTheme="minorHAnsi" w:hAnsiTheme="minorHAnsi" w:cstheme="minorHAnsi"/>
          <w:sz w:val="22"/>
          <w:szCs w:val="18"/>
        </w:rPr>
        <w:t xml:space="preserve"> </w:t>
      </w:r>
      <w:r w:rsidRPr="00017003">
        <w:rPr>
          <w:rFonts w:asciiTheme="minorHAnsi" w:hAnsiTheme="minorHAnsi" w:cstheme="minorHAnsi"/>
          <w:spacing w:val="-1"/>
          <w:sz w:val="22"/>
          <w:szCs w:val="18"/>
        </w:rPr>
        <w:t xml:space="preserve">before </w:t>
      </w:r>
      <w:r w:rsidRPr="00017003">
        <w:rPr>
          <w:rFonts w:asciiTheme="minorHAnsi" w:hAnsiTheme="minorHAnsi" w:cstheme="minorHAnsi"/>
          <w:sz w:val="22"/>
          <w:szCs w:val="18"/>
        </w:rPr>
        <w:t>comparing</w:t>
      </w:r>
      <w:r w:rsidRPr="00017003">
        <w:rPr>
          <w:rFonts w:asciiTheme="minorHAnsi" w:hAnsiTheme="minorHAnsi" w:cstheme="minorHAnsi"/>
          <w:spacing w:val="-3"/>
          <w:sz w:val="22"/>
          <w:szCs w:val="18"/>
        </w:rPr>
        <w:t xml:space="preserve"> </w:t>
      </w:r>
      <w:r w:rsidRPr="00017003">
        <w:rPr>
          <w:rFonts w:asciiTheme="minorHAnsi" w:hAnsiTheme="minorHAnsi" w:cstheme="minorHAnsi"/>
          <w:sz w:val="22"/>
          <w:szCs w:val="18"/>
        </w:rPr>
        <w:t>the</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resulting</w:t>
      </w:r>
      <w:r w:rsidRPr="00017003">
        <w:rPr>
          <w:rFonts w:asciiTheme="minorHAnsi" w:hAnsiTheme="minorHAnsi" w:cstheme="minorHAnsi"/>
          <w:spacing w:val="-3"/>
          <w:sz w:val="22"/>
          <w:szCs w:val="18"/>
        </w:rPr>
        <w:t xml:space="preserve"> </w:t>
      </w:r>
      <w:r w:rsidRPr="00017003">
        <w:rPr>
          <w:rFonts w:asciiTheme="minorHAnsi" w:hAnsiTheme="minorHAnsi" w:cstheme="minorHAnsi"/>
          <w:spacing w:val="-1"/>
          <w:sz w:val="22"/>
          <w:szCs w:val="18"/>
        </w:rPr>
        <w:t>design</w:t>
      </w:r>
      <w:r w:rsidRPr="00017003">
        <w:rPr>
          <w:rFonts w:asciiTheme="minorHAnsi" w:hAnsiTheme="minorHAnsi" w:cstheme="minorHAnsi"/>
          <w:spacing w:val="63"/>
          <w:sz w:val="22"/>
          <w:szCs w:val="18"/>
        </w:rPr>
        <w:t xml:space="preserve"> </w:t>
      </w:r>
      <w:r w:rsidRPr="00017003">
        <w:rPr>
          <w:rFonts w:asciiTheme="minorHAnsi" w:hAnsiTheme="minorHAnsi" w:cstheme="minorHAnsi"/>
          <w:spacing w:val="-1"/>
          <w:sz w:val="22"/>
          <w:szCs w:val="18"/>
        </w:rPr>
        <w:t>concentration</w:t>
      </w:r>
      <w:r w:rsidRPr="00017003">
        <w:rPr>
          <w:rFonts w:asciiTheme="minorHAnsi" w:hAnsiTheme="minorHAnsi" w:cstheme="minorHAnsi"/>
          <w:sz w:val="22"/>
          <w:szCs w:val="18"/>
        </w:rPr>
        <w:t xml:space="preserve"> to the</w:t>
      </w:r>
      <w:r w:rsidRPr="00017003">
        <w:rPr>
          <w:rFonts w:asciiTheme="minorHAnsi" w:hAnsiTheme="minorHAnsi" w:cstheme="minorHAnsi"/>
          <w:spacing w:val="-1"/>
          <w:sz w:val="22"/>
          <w:szCs w:val="18"/>
        </w:rPr>
        <w:t xml:space="preserve"> NAAQS</w:t>
      </w:r>
      <w:r w:rsidRPr="00017003">
        <w:rPr>
          <w:rFonts w:asciiTheme="minorHAnsi" w:hAnsiTheme="minorHAnsi" w:cstheme="minorHAnsi"/>
          <w:sz w:val="22"/>
          <w:szCs w:val="18"/>
        </w:rPr>
        <w:t xml:space="preserve"> or</w:t>
      </w:r>
      <w:r w:rsidRPr="00017003">
        <w:rPr>
          <w:rFonts w:asciiTheme="minorHAnsi" w:hAnsiTheme="minorHAnsi" w:cstheme="minorHAnsi"/>
          <w:spacing w:val="-1"/>
          <w:sz w:val="22"/>
          <w:szCs w:val="18"/>
        </w:rPr>
        <w:t xml:space="preserve"> </w:t>
      </w:r>
      <w:r w:rsidRPr="00017003">
        <w:rPr>
          <w:rFonts w:asciiTheme="minorHAnsi" w:hAnsiTheme="minorHAnsi" w:cstheme="minorHAnsi"/>
          <w:sz w:val="22"/>
          <w:szCs w:val="18"/>
        </w:rPr>
        <w:t>PSD</w:t>
      </w:r>
      <w:r w:rsidRPr="00017003">
        <w:rPr>
          <w:rFonts w:asciiTheme="minorHAnsi" w:hAnsiTheme="minorHAnsi" w:cstheme="minorHAnsi"/>
          <w:spacing w:val="-1"/>
          <w:sz w:val="22"/>
          <w:szCs w:val="18"/>
        </w:rPr>
        <w:t xml:space="preserve"> increment</w:t>
      </w:r>
      <w:bookmarkStart w:id="70" w:name="General_Considerations"/>
      <w:bookmarkEnd w:id="70"/>
    </w:p>
    <w:p w14:paraId="643C901F" w14:textId="7CC0256A" w:rsidR="00A80D16" w:rsidRPr="00A80D16" w:rsidRDefault="00596D57" w:rsidP="00A80D16">
      <w:pPr>
        <w:pStyle w:val="Heading6"/>
        <w:numPr>
          <w:ilvl w:val="4"/>
          <w:numId w:val="15"/>
        </w:numPr>
      </w:pPr>
      <w:r>
        <w:br w:type="page"/>
      </w:r>
    </w:p>
    <w:p w14:paraId="1C5C603E" w14:textId="40FE384B" w:rsidR="004F5587" w:rsidRDefault="004F5587" w:rsidP="00A80D16">
      <w:pPr>
        <w:pStyle w:val="Heading1"/>
        <w:numPr>
          <w:ilvl w:val="0"/>
          <w:numId w:val="0"/>
        </w:numPr>
        <w:spacing w:after="240"/>
        <w:ind w:left="432" w:hanging="432"/>
        <w:rPr>
          <w:rFonts w:eastAsia="Tw Cen MT"/>
        </w:rPr>
      </w:pPr>
      <w:bookmarkStart w:id="71" w:name="_References"/>
      <w:bookmarkStart w:id="72" w:name="_Toc147226905"/>
      <w:bookmarkEnd w:id="71"/>
      <w:r>
        <w:rPr>
          <w:rFonts w:eastAsia="Tw Cen MT"/>
        </w:rPr>
        <w:lastRenderedPageBreak/>
        <w:t>References</w:t>
      </w:r>
      <w:bookmarkEnd w:id="72"/>
    </w:p>
    <w:p w14:paraId="1EE4F5E7" w14:textId="18F87520" w:rsidR="004F5587" w:rsidRPr="00057BF2" w:rsidRDefault="004F5587" w:rsidP="004F5587">
      <w:pPr>
        <w:spacing w:after="268" w:line="240" w:lineRule="auto"/>
        <w:rPr>
          <w:rFonts w:eastAsia="Times New Roman" w:cstheme="minorHAnsi"/>
          <w:color w:val="000000"/>
        </w:rPr>
      </w:pPr>
      <w:r w:rsidRPr="00057BF2">
        <w:rPr>
          <w:rFonts w:eastAsia="Times New Roman" w:cstheme="minorHAnsi"/>
          <w:color w:val="000000"/>
        </w:rPr>
        <w:t xml:space="preserve">CT DEP, </w:t>
      </w:r>
      <w:r w:rsidR="00DE7071">
        <w:rPr>
          <w:rFonts w:eastAsia="Times New Roman" w:cstheme="minorHAnsi"/>
          <w:color w:val="000000"/>
        </w:rPr>
        <w:t>1989</w:t>
      </w:r>
      <w:r w:rsidRPr="00057BF2">
        <w:rPr>
          <w:rFonts w:eastAsia="Times New Roman" w:cstheme="minorHAnsi"/>
          <w:color w:val="000000"/>
        </w:rPr>
        <w:t>: Ambient Impact Analysis Guideline.</w:t>
      </w:r>
    </w:p>
    <w:p w14:paraId="364FFF11" w14:textId="0EB21861" w:rsidR="00DE7071" w:rsidRPr="00057BF2" w:rsidRDefault="00DE7071" w:rsidP="00DE7071">
      <w:pPr>
        <w:spacing w:after="268" w:line="240" w:lineRule="auto"/>
        <w:rPr>
          <w:rFonts w:eastAsia="Times New Roman" w:cstheme="minorHAnsi"/>
          <w:color w:val="000000"/>
        </w:rPr>
      </w:pPr>
      <w:r w:rsidRPr="00057BF2">
        <w:rPr>
          <w:rFonts w:eastAsia="Times New Roman" w:cstheme="minorHAnsi"/>
          <w:color w:val="000000"/>
        </w:rPr>
        <w:t>CT DEP, 20</w:t>
      </w:r>
      <w:r>
        <w:rPr>
          <w:rFonts w:eastAsia="Times New Roman" w:cstheme="minorHAnsi"/>
          <w:color w:val="000000"/>
        </w:rPr>
        <w:t>09</w:t>
      </w:r>
      <w:r w:rsidRPr="00057BF2">
        <w:rPr>
          <w:rFonts w:eastAsia="Times New Roman" w:cstheme="minorHAnsi"/>
          <w:color w:val="000000"/>
        </w:rPr>
        <w:t xml:space="preserve">: Ambient Impact Analysis Guideline. A Guideline for Performing Stationary Source Air Quality Modeling in Connecticut. </w:t>
      </w:r>
    </w:p>
    <w:p w14:paraId="35F9117C" w14:textId="77777777" w:rsidR="00DE7071" w:rsidRPr="00057BF2" w:rsidRDefault="00DE7071" w:rsidP="00DE7071">
      <w:pPr>
        <w:spacing w:after="268" w:line="240" w:lineRule="auto"/>
        <w:rPr>
          <w:rFonts w:eastAsia="Times New Roman" w:cstheme="minorHAnsi"/>
          <w:color w:val="000000"/>
        </w:rPr>
      </w:pPr>
      <w:r w:rsidRPr="00057BF2">
        <w:rPr>
          <w:rFonts w:eastAsia="Times New Roman" w:cstheme="minorHAnsi"/>
          <w:color w:val="000000"/>
        </w:rPr>
        <w:t>CT DEEP, 201</w:t>
      </w:r>
      <w:r>
        <w:rPr>
          <w:rFonts w:eastAsia="Times New Roman" w:cstheme="minorHAnsi"/>
          <w:color w:val="000000"/>
        </w:rPr>
        <w:t>8</w:t>
      </w:r>
      <w:r w:rsidRPr="00057BF2">
        <w:rPr>
          <w:rFonts w:eastAsia="Times New Roman" w:cstheme="minorHAnsi"/>
          <w:color w:val="000000"/>
        </w:rPr>
        <w:t xml:space="preserve">: Ambient Impact Analysis Guideline. A Guideline for Performing Stationary Source Air Quality Modeling in Connecticut. </w:t>
      </w:r>
    </w:p>
    <w:p w14:paraId="50BA6E6B" w14:textId="107FF4E1" w:rsidR="004F5587" w:rsidRPr="00057BF2" w:rsidRDefault="004F5587" w:rsidP="004F5587">
      <w:pPr>
        <w:spacing w:after="268" w:line="240" w:lineRule="auto"/>
        <w:rPr>
          <w:rFonts w:eastAsia="Times New Roman" w:cstheme="minorHAnsi"/>
        </w:rPr>
      </w:pPr>
      <w:r w:rsidRPr="00057BF2">
        <w:rPr>
          <w:rFonts w:eastAsia="Times New Roman" w:cstheme="minorHAnsi"/>
          <w:color w:val="000000"/>
        </w:rPr>
        <w:t>EPA, 1980: A Screening Procedure for the Impacts of Air Pollution Sources on Plants, Soils, and Animals</w:t>
      </w:r>
      <w:r w:rsidR="005A2FFF" w:rsidRPr="00057BF2">
        <w:rPr>
          <w:rFonts w:eastAsia="Times New Roman" w:cstheme="minorHAnsi"/>
          <w:color w:val="000000"/>
        </w:rPr>
        <w:t xml:space="preserve">. </w:t>
      </w:r>
      <w:r w:rsidRPr="00057BF2">
        <w:rPr>
          <w:rFonts w:eastAsia="Times New Roman" w:cstheme="minorHAnsi"/>
          <w:color w:val="000000"/>
        </w:rPr>
        <w:t xml:space="preserve">EPA Publication No. EPA 450/2-81-078. </w:t>
      </w:r>
      <w:r w:rsidRPr="00057BF2">
        <w:rPr>
          <w:rFonts w:eastAsia="Times New Roman" w:cstheme="minorHAnsi"/>
        </w:rPr>
        <w:t>Office of Air Quality Planning and Standards, U.S. Environmental Protection Agency, Research Triangle Park, NC</w:t>
      </w:r>
      <w:r w:rsidR="005A2FFF" w:rsidRPr="00057BF2">
        <w:rPr>
          <w:rFonts w:eastAsia="Times New Roman" w:cstheme="minorHAnsi"/>
        </w:rPr>
        <w:t xml:space="preserve">. </w:t>
      </w:r>
    </w:p>
    <w:p w14:paraId="1B2ACDFF" w14:textId="77777777" w:rsidR="004F5587" w:rsidRPr="00057BF2" w:rsidRDefault="004F5587" w:rsidP="004F5587">
      <w:pPr>
        <w:spacing w:after="268" w:line="240" w:lineRule="auto"/>
        <w:rPr>
          <w:rFonts w:eastAsia="Times New Roman" w:cstheme="minorHAnsi"/>
        </w:rPr>
      </w:pPr>
      <w:r w:rsidRPr="00057BF2">
        <w:rPr>
          <w:rFonts w:eastAsia="Times New Roman" w:cstheme="minorHAnsi"/>
        </w:rPr>
        <w:t>EPA, August 1980: Prevention of Significant Deterioration 40 CFR 52.21, August 7, 1980</w:t>
      </w:r>
    </w:p>
    <w:p w14:paraId="542D8248" w14:textId="5900C509" w:rsidR="004F5587" w:rsidRPr="00057BF2" w:rsidRDefault="004F5587" w:rsidP="004F5587">
      <w:pPr>
        <w:spacing w:after="268" w:line="240" w:lineRule="auto"/>
        <w:rPr>
          <w:rFonts w:eastAsia="Times New Roman" w:cstheme="minorHAnsi"/>
        </w:rPr>
      </w:pPr>
      <w:r w:rsidRPr="00057BF2">
        <w:rPr>
          <w:rFonts w:eastAsia="Times New Roman" w:cstheme="minorHAnsi"/>
        </w:rPr>
        <w:t>EPA, 1985: Guideline for Determination of Good Engineering Practice Stack Height (Technical Support Document for the Stack Height Regulations) – Revised</w:t>
      </w:r>
      <w:r w:rsidR="005A2FFF" w:rsidRPr="00057BF2">
        <w:rPr>
          <w:rFonts w:eastAsia="Times New Roman" w:cstheme="minorHAnsi"/>
        </w:rPr>
        <w:t xml:space="preserve">. </w:t>
      </w:r>
      <w:r w:rsidRPr="00057BF2">
        <w:rPr>
          <w:rFonts w:eastAsia="Times New Roman" w:cstheme="minorHAnsi"/>
        </w:rPr>
        <w:t>EPA Publication No. EPA-450/4-80-023R. Office of Air Quality Planning and Standards, U.S. Environmental Protection Agency, Research Triangle Park, NC.</w:t>
      </w:r>
    </w:p>
    <w:p w14:paraId="70EBEB68" w14:textId="7B133E1B" w:rsidR="004F5587" w:rsidRPr="00057BF2" w:rsidRDefault="004F5587" w:rsidP="004F5587">
      <w:pPr>
        <w:spacing w:after="268" w:line="240" w:lineRule="auto"/>
        <w:rPr>
          <w:rFonts w:eastAsia="Times New Roman" w:cstheme="minorHAnsi"/>
        </w:rPr>
      </w:pPr>
      <w:r w:rsidRPr="00057BF2">
        <w:rPr>
          <w:rFonts w:eastAsia="Times New Roman" w:cstheme="minorHAnsi"/>
        </w:rPr>
        <w:t>EPA, 2000: Meteorological Monitoring Guidance for Regulatory Modeling Applications (EPA-454/R-99-005), Office of Air Quality Planning &amp; Standards, U.S. Environmental Protection Agency, Research Triangle Park, NC</w:t>
      </w:r>
      <w:r w:rsidR="005A2FFF" w:rsidRPr="00057BF2">
        <w:rPr>
          <w:rFonts w:eastAsia="Times New Roman" w:cstheme="minorHAnsi"/>
        </w:rPr>
        <w:t xml:space="preserve">. </w:t>
      </w:r>
    </w:p>
    <w:p w14:paraId="25B2DA29" w14:textId="77777777" w:rsidR="004F5587" w:rsidRPr="00057BF2" w:rsidRDefault="004F5587" w:rsidP="004F5587">
      <w:pPr>
        <w:spacing w:after="268" w:line="240" w:lineRule="auto"/>
        <w:rPr>
          <w:rFonts w:eastAsia="Times New Roman" w:cstheme="minorHAnsi"/>
        </w:rPr>
      </w:pPr>
      <w:r w:rsidRPr="00057BF2">
        <w:rPr>
          <w:rFonts w:eastAsia="Times New Roman" w:cstheme="minorHAnsi"/>
        </w:rPr>
        <w:t>EPA, 2010: Guidance Concerning the Implementation of the 1-hour NO</w:t>
      </w:r>
      <w:r w:rsidRPr="00057BF2">
        <w:rPr>
          <w:rFonts w:eastAsia="Times New Roman" w:cstheme="minorHAnsi"/>
          <w:vertAlign w:val="subscript"/>
        </w:rPr>
        <w:t>2</w:t>
      </w:r>
      <w:r w:rsidRPr="00057BF2">
        <w:rPr>
          <w:rFonts w:eastAsia="Times New Roman" w:cstheme="minorHAnsi"/>
        </w:rPr>
        <w:t xml:space="preserve"> NAAQS for the Prevention of Deterioration Program. Memorandum dated June 28, 2010, Office of Air Quality Planning &amp; Standards, U.S. Environmental Protection Agency, Research Triangle Park, NC.</w:t>
      </w:r>
    </w:p>
    <w:p w14:paraId="59682797" w14:textId="77777777" w:rsidR="004F5587" w:rsidRPr="00057BF2" w:rsidRDefault="004F5587" w:rsidP="004F5587">
      <w:pPr>
        <w:spacing w:after="268" w:line="240" w:lineRule="auto"/>
        <w:rPr>
          <w:rFonts w:eastAsia="Times New Roman" w:cstheme="minorHAnsi"/>
        </w:rPr>
      </w:pPr>
      <w:r w:rsidRPr="00057BF2">
        <w:rPr>
          <w:rFonts w:eastAsia="Times New Roman" w:cstheme="minorHAnsi"/>
        </w:rPr>
        <w:t>EPA, 2010: Guidance Concerning the Implementation of the 1-hour SO</w:t>
      </w:r>
      <w:r w:rsidRPr="00057BF2">
        <w:rPr>
          <w:rFonts w:eastAsia="Times New Roman" w:cstheme="minorHAnsi"/>
          <w:vertAlign w:val="subscript"/>
        </w:rPr>
        <w:t>2</w:t>
      </w:r>
      <w:r w:rsidRPr="00057BF2">
        <w:rPr>
          <w:rFonts w:eastAsia="Times New Roman" w:cstheme="minorHAnsi"/>
        </w:rPr>
        <w:t xml:space="preserve"> NAAQS for the Prevention of Deterioration Program. Memorandum dated August 23, 2010, Office of Air Quality Planning &amp; Standards, U.S. Environmental Protection Agency, Research Triangle Park, NC.</w:t>
      </w:r>
    </w:p>
    <w:p w14:paraId="0BC3BDC0" w14:textId="77777777" w:rsidR="004F5587" w:rsidRPr="00057BF2" w:rsidRDefault="004F5587" w:rsidP="004F5587">
      <w:pPr>
        <w:spacing w:after="268" w:line="240" w:lineRule="auto"/>
        <w:rPr>
          <w:rFonts w:eastAsia="Times New Roman" w:cstheme="minorHAnsi"/>
        </w:rPr>
      </w:pPr>
      <w:r w:rsidRPr="00057BF2">
        <w:rPr>
          <w:rFonts w:eastAsia="Times New Roman" w:cstheme="minorHAnsi"/>
        </w:rPr>
        <w:t>EPA, 2011: Additional Clarification Regarding Application of Appendix W Modeling Guidance for the 1-hour NO</w:t>
      </w:r>
      <w:r w:rsidRPr="00057BF2">
        <w:rPr>
          <w:rFonts w:eastAsia="Times New Roman" w:cstheme="minorHAnsi"/>
          <w:vertAlign w:val="subscript"/>
        </w:rPr>
        <w:t>2</w:t>
      </w:r>
      <w:r w:rsidRPr="00057BF2">
        <w:rPr>
          <w:rFonts w:eastAsia="Times New Roman" w:cstheme="minorHAnsi"/>
        </w:rPr>
        <w:t xml:space="preserve"> National Ambient Air Quality Standard. Memorandum (March 1, 2011), Office of Air Quality Planning &amp; Standards, U.S. Environmental Protection Agency, Research Triangle Park, NC.</w:t>
      </w:r>
    </w:p>
    <w:p w14:paraId="6F5325D2" w14:textId="77777777" w:rsidR="004F5587" w:rsidRPr="00057BF2" w:rsidRDefault="004F5587" w:rsidP="004F5587">
      <w:pPr>
        <w:spacing w:after="268" w:line="240" w:lineRule="auto"/>
        <w:rPr>
          <w:rFonts w:eastAsia="Times New Roman" w:cstheme="minorHAnsi"/>
        </w:rPr>
      </w:pPr>
      <w:r w:rsidRPr="00057BF2">
        <w:rPr>
          <w:rFonts w:eastAsia="Times New Roman" w:cstheme="minorHAnsi"/>
        </w:rPr>
        <w:t>EPA, 2014: Clarification on the Use of AERMOD Dispersion Modeling for Demonstrating Compliance with the NO</w:t>
      </w:r>
      <w:r w:rsidRPr="00057BF2">
        <w:rPr>
          <w:rFonts w:eastAsia="Times New Roman" w:cstheme="minorHAnsi"/>
          <w:vertAlign w:val="subscript"/>
        </w:rPr>
        <w:t>2</w:t>
      </w:r>
      <w:r w:rsidRPr="00057BF2">
        <w:rPr>
          <w:rFonts w:eastAsia="Times New Roman" w:cstheme="minorHAnsi"/>
        </w:rPr>
        <w:t xml:space="preserve"> National Ambient Air Quality Standard. Memorandum dated September 30, 2014, Office of Air Quality Planning &amp; Standards, U.S. Environmental Protection Agency, Research Triangle Park, NC.</w:t>
      </w:r>
    </w:p>
    <w:p w14:paraId="63DED688" w14:textId="77777777" w:rsidR="004F5587" w:rsidRPr="00057BF2" w:rsidRDefault="004F5587" w:rsidP="004F5587">
      <w:pPr>
        <w:spacing w:after="0" w:line="240" w:lineRule="auto"/>
        <w:rPr>
          <w:rFonts w:eastAsia="Times New Roman" w:cstheme="minorHAnsi"/>
          <w:color w:val="000000"/>
        </w:rPr>
      </w:pPr>
      <w:r w:rsidRPr="00057BF2">
        <w:rPr>
          <w:rFonts w:eastAsia="Times New Roman" w:cstheme="minorHAnsi"/>
          <w:color w:val="000000"/>
        </w:rPr>
        <w:t>EPA, 2017: Revisions to the Guideline on Air Quality Models: Enhancements to the AERMOD Dispersion Modeling System and Incorporation of Approaches to Address Ozone and Fine Particulate Matter. 40 CFR Part 51 Appendix W.</w:t>
      </w:r>
    </w:p>
    <w:p w14:paraId="76D91950" w14:textId="77777777" w:rsidR="004F5587" w:rsidRPr="00057BF2" w:rsidRDefault="004F5587" w:rsidP="004F5587">
      <w:pPr>
        <w:spacing w:after="0" w:line="240" w:lineRule="auto"/>
        <w:rPr>
          <w:rFonts w:eastAsia="Times New Roman" w:cstheme="minorHAnsi"/>
          <w:color w:val="000000"/>
        </w:rPr>
      </w:pPr>
    </w:p>
    <w:p w14:paraId="01AD0036" w14:textId="7A755729" w:rsidR="004F5587" w:rsidRDefault="004F5587" w:rsidP="004F5587">
      <w:pPr>
        <w:spacing w:after="268" w:line="240" w:lineRule="auto"/>
        <w:rPr>
          <w:rFonts w:eastAsia="Times New Roman" w:cstheme="minorHAnsi"/>
        </w:rPr>
      </w:pPr>
      <w:r w:rsidRPr="00057BF2">
        <w:rPr>
          <w:rFonts w:eastAsia="Times New Roman" w:cstheme="minorHAnsi"/>
        </w:rPr>
        <w:t>EPA, 2018: Guidance on Significant Impact Levels for Ozone and Fine Particle in the Prevention of Significant Deterioration Permitting Program. Memorandum dated April 17, 2018, Office of Air Quality Planning &amp; Standards, U.S. Environmental Protection Agency, Research Triangle Park, NC.</w:t>
      </w:r>
    </w:p>
    <w:p w14:paraId="029DBD8E" w14:textId="1B6F6288" w:rsidR="000D5F6C" w:rsidRPr="00212632" w:rsidRDefault="00212632" w:rsidP="000D5F6C">
      <w:pPr>
        <w:spacing w:after="268" w:line="240" w:lineRule="auto"/>
        <w:rPr>
          <w:rFonts w:ascii="Calibri" w:eastAsia="Times New Roman" w:hAnsi="Calibri" w:cs="Calibri"/>
        </w:rPr>
      </w:pPr>
      <w:r w:rsidRPr="00212632">
        <w:rPr>
          <w:rFonts w:ascii="Calibri" w:hAnsi="Calibri" w:cs="Calibri"/>
          <w:sz w:val="24"/>
          <w:szCs w:val="24"/>
        </w:rPr>
        <w:lastRenderedPageBreak/>
        <w:t>EPA, 2019</w:t>
      </w:r>
      <w:r>
        <w:rPr>
          <w:rFonts w:ascii="Calibri" w:hAnsi="Calibri" w:cs="Calibri"/>
          <w:sz w:val="24"/>
          <w:szCs w:val="24"/>
        </w:rPr>
        <w:t>:</w:t>
      </w:r>
      <w:r w:rsidRPr="00212632">
        <w:rPr>
          <w:rFonts w:ascii="Calibri" w:hAnsi="Calibri" w:cs="Calibri"/>
          <w:sz w:val="24"/>
          <w:szCs w:val="24"/>
        </w:rPr>
        <w:t xml:space="preserve"> </w:t>
      </w:r>
      <w:r>
        <w:rPr>
          <w:rFonts w:ascii="Calibri" w:hAnsi="Calibri" w:cs="Calibri"/>
          <w:sz w:val="24"/>
          <w:szCs w:val="24"/>
        </w:rPr>
        <w:t xml:space="preserve">Guidance on </w:t>
      </w:r>
      <w:r w:rsidR="000D5F6C" w:rsidRPr="00212632">
        <w:rPr>
          <w:rFonts w:ascii="Calibri" w:hAnsi="Calibri" w:cs="Calibri"/>
          <w:sz w:val="23"/>
          <w:szCs w:val="23"/>
        </w:rPr>
        <w:t>Additional Methods, Determinations, and Analyses to Modify Air Quality Data Beyond Exceptional Events</w:t>
      </w:r>
      <w:r w:rsidR="00ED2757">
        <w:rPr>
          <w:rFonts w:ascii="Calibri" w:hAnsi="Calibri" w:cs="Calibri"/>
          <w:sz w:val="23"/>
          <w:szCs w:val="23"/>
        </w:rPr>
        <w:t xml:space="preserve">. </w:t>
      </w:r>
      <w:r w:rsidR="00ED2757" w:rsidRPr="00057BF2">
        <w:rPr>
          <w:rFonts w:eastAsia="Times New Roman" w:cstheme="minorHAnsi"/>
        </w:rPr>
        <w:t xml:space="preserve">Memorandum dated April </w:t>
      </w:r>
      <w:r w:rsidR="00ED2757">
        <w:rPr>
          <w:rFonts w:eastAsia="Times New Roman" w:cstheme="minorHAnsi"/>
        </w:rPr>
        <w:t>4</w:t>
      </w:r>
      <w:r w:rsidR="00ED2757" w:rsidRPr="00057BF2">
        <w:rPr>
          <w:rFonts w:eastAsia="Times New Roman" w:cstheme="minorHAnsi"/>
        </w:rPr>
        <w:t>, 201</w:t>
      </w:r>
      <w:r w:rsidR="00ED2757">
        <w:rPr>
          <w:rFonts w:eastAsia="Times New Roman" w:cstheme="minorHAnsi"/>
        </w:rPr>
        <w:t>9</w:t>
      </w:r>
      <w:r w:rsidR="00ED2757" w:rsidRPr="00057BF2">
        <w:rPr>
          <w:rFonts w:eastAsia="Times New Roman" w:cstheme="minorHAnsi"/>
        </w:rPr>
        <w:t>, Office of Air Quality Planning &amp; Standards, U.S. Environmental Protection Agency, Research Triangle Park, NC.</w:t>
      </w:r>
    </w:p>
    <w:p w14:paraId="64EDCBB1" w14:textId="77777777" w:rsidR="004F5587" w:rsidRPr="00057BF2" w:rsidRDefault="004F5587" w:rsidP="004F5587">
      <w:pPr>
        <w:spacing w:after="0" w:line="240" w:lineRule="auto"/>
        <w:rPr>
          <w:rFonts w:eastAsia="Times New Roman" w:cstheme="minorHAnsi"/>
          <w:color w:val="000000"/>
        </w:rPr>
      </w:pPr>
      <w:r w:rsidRPr="00057BF2">
        <w:rPr>
          <w:rFonts w:eastAsia="Times New Roman" w:cstheme="minorHAnsi"/>
          <w:color w:val="000000"/>
        </w:rPr>
        <w:t>EPA, 2019: Guidance on the Development of Modeled Emission Rates for Precursors (MERPS) as a Tier 1 Demonstration Tool for Ozone and PM</w:t>
      </w:r>
      <w:r w:rsidRPr="00057BF2">
        <w:rPr>
          <w:rFonts w:eastAsia="Times New Roman" w:cstheme="minorHAnsi"/>
          <w:color w:val="000000"/>
          <w:vertAlign w:val="subscript"/>
        </w:rPr>
        <w:t>2.5</w:t>
      </w:r>
      <w:r w:rsidRPr="00057BF2">
        <w:rPr>
          <w:rFonts w:eastAsia="Times New Roman" w:cstheme="minorHAnsi"/>
          <w:color w:val="000000"/>
        </w:rPr>
        <w:t xml:space="preserve"> under the PSD Permit Modeling Program. Memorandum dated April 30, 2019, EPA-454/R-19-003, Office of Air Quality Planning &amp; Standards, U.S. Environmental Protection Agency, Research Triangle Park, NC.</w:t>
      </w:r>
    </w:p>
    <w:p w14:paraId="11AC285D" w14:textId="77777777" w:rsidR="004F5587" w:rsidRPr="00057BF2" w:rsidRDefault="004F5587" w:rsidP="004F5587">
      <w:pPr>
        <w:spacing w:after="0" w:line="240" w:lineRule="auto"/>
        <w:rPr>
          <w:rFonts w:eastAsia="Times New Roman" w:cstheme="minorHAnsi"/>
          <w:color w:val="000000"/>
        </w:rPr>
      </w:pPr>
    </w:p>
    <w:p w14:paraId="149520D9" w14:textId="77777777" w:rsidR="004F5587" w:rsidRPr="00057BF2" w:rsidRDefault="004F5587" w:rsidP="004F5587">
      <w:pPr>
        <w:spacing w:after="268" w:line="240" w:lineRule="auto"/>
        <w:rPr>
          <w:rFonts w:eastAsia="Times New Roman" w:cstheme="minorHAnsi"/>
        </w:rPr>
      </w:pPr>
      <w:r w:rsidRPr="00057BF2">
        <w:rPr>
          <w:rFonts w:eastAsia="Times New Roman" w:cstheme="minorHAnsi"/>
        </w:rPr>
        <w:t>EPA, 2019</w:t>
      </w:r>
      <w:r w:rsidRPr="00057BF2">
        <w:rPr>
          <w:rFonts w:eastAsia="MENMJP+CourierNewPS" w:cstheme="minorHAnsi"/>
        </w:rPr>
        <w:t xml:space="preserve">: Guidance, Revised Policy on Exclusions from “Ambient Air”. </w:t>
      </w:r>
      <w:r w:rsidRPr="00057BF2">
        <w:rPr>
          <w:rFonts w:eastAsia="Times New Roman" w:cstheme="minorHAnsi"/>
        </w:rPr>
        <w:t>Memorandum dated December 2, 2019, Office of Air Quality Planning &amp; Standards, U.S. Environmental Protection Agency, Research Triangle Park, NC.</w:t>
      </w:r>
    </w:p>
    <w:p w14:paraId="3819ECFD" w14:textId="77777777" w:rsidR="004F5587" w:rsidRPr="00AE5D65" w:rsidRDefault="004F5587" w:rsidP="004F5587">
      <w:pPr>
        <w:spacing w:after="268" w:line="240" w:lineRule="auto"/>
        <w:rPr>
          <w:rFonts w:eastAsia="Times New Roman" w:cstheme="minorHAnsi"/>
          <w:color w:val="000000" w:themeColor="text1"/>
        </w:rPr>
      </w:pPr>
      <w:r w:rsidRPr="00AE5D65">
        <w:rPr>
          <w:rFonts w:eastAsia="Times New Roman" w:cstheme="minorHAnsi"/>
          <w:color w:val="000000" w:themeColor="text1"/>
        </w:rPr>
        <w:t>EPA, 2022</w:t>
      </w:r>
      <w:r w:rsidRPr="00AE5D65">
        <w:rPr>
          <w:rFonts w:eastAsia="MENMJP+CourierNewPS" w:cstheme="minorHAnsi"/>
          <w:color w:val="000000" w:themeColor="text1"/>
        </w:rPr>
        <w:t xml:space="preserve">: Guidance for Ozone and Fine Particulate Matter Permit Modeling, </w:t>
      </w:r>
      <w:r w:rsidRPr="00AE5D65">
        <w:rPr>
          <w:rFonts w:eastAsia="Times New Roman" w:cstheme="minorHAnsi"/>
          <w:color w:val="000000" w:themeColor="text1"/>
        </w:rPr>
        <w:t>dated July 29, 2022, Office of Air Quality Planning &amp; Standards, U.S. Environmental Protection Agency, Research Triangle Park, NC.</w:t>
      </w:r>
    </w:p>
    <w:bookmarkEnd w:id="14"/>
    <w:bookmarkEnd w:id="7"/>
    <w:p w14:paraId="31739C48" w14:textId="0F159195" w:rsidR="00A34B71" w:rsidRDefault="00A34B71" w:rsidP="00A34B71"/>
    <w:sectPr w:rsidR="00A34B71" w:rsidSect="0087166D">
      <w:pgSz w:w="12240" w:h="15840"/>
      <w:pgMar w:top="1800" w:right="720" w:bottom="24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BAA07" w14:textId="77777777" w:rsidR="009738FF" w:rsidRDefault="009738FF" w:rsidP="00A34B71">
      <w:pPr>
        <w:spacing w:after="0" w:line="240" w:lineRule="auto"/>
      </w:pPr>
      <w:r>
        <w:separator/>
      </w:r>
    </w:p>
  </w:endnote>
  <w:endnote w:type="continuationSeparator" w:id="0">
    <w:p w14:paraId="42C7DF34" w14:textId="77777777" w:rsidR="009738FF" w:rsidRDefault="009738FF" w:rsidP="00A34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Thin">
    <w:altName w:val="Calibri"/>
    <w:charset w:val="00"/>
    <w:family w:val="auto"/>
    <w:pitch w:val="variable"/>
    <w:sig w:usb0="A00000FF" w:usb1="4000205B" w:usb2="00000000" w:usb3="00000000" w:csb0="00000193"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Public Sans Thin ExtraBold">
    <w:altName w:val="Calibri"/>
    <w:charset w:val="00"/>
    <w:family w:val="auto"/>
    <w:pitch w:val="variable"/>
    <w:sig w:usb0="A00000FF" w:usb1="4000205B" w:usb2="00000000" w:usb3="00000000" w:csb0="00000193" w:csb1="00000000"/>
  </w:font>
  <w:font w:name="MENMJP+CourierNewP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085C" w14:textId="5D5E320C" w:rsidR="009738FF" w:rsidRDefault="009738FF" w:rsidP="005C6408">
    <w:pPr>
      <w:pStyle w:val="Footer"/>
      <w:pBdr>
        <w:top w:val="single" w:sz="24" w:space="0" w:color="272661"/>
      </w:pBdr>
    </w:pPr>
    <w:r>
      <w:t>AIAG 2023</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t>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48E4A" w14:textId="77777777" w:rsidR="009738FF" w:rsidRDefault="009738FF" w:rsidP="00A34B71">
      <w:pPr>
        <w:spacing w:after="0" w:line="240" w:lineRule="auto"/>
      </w:pPr>
      <w:r>
        <w:separator/>
      </w:r>
    </w:p>
  </w:footnote>
  <w:footnote w:type="continuationSeparator" w:id="0">
    <w:p w14:paraId="387FF46D" w14:textId="77777777" w:rsidR="009738FF" w:rsidRDefault="009738FF" w:rsidP="00A34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1968" w14:textId="1EDFF286" w:rsidR="009738FF" w:rsidRPr="00582DB9" w:rsidRDefault="009738FF" w:rsidP="00E85ED8">
    <w:pPr>
      <w:pStyle w:val="Header"/>
      <w:tabs>
        <w:tab w:val="clear" w:pos="4680"/>
        <w:tab w:val="left" w:pos="1491"/>
        <w:tab w:val="center" w:pos="4770"/>
      </w:tabs>
      <w:ind w:left="-450"/>
      <w:rPr>
        <w:rFonts w:ascii="Tw Cen MT" w:hAnsi="Tw Cen MT"/>
        <w:sz w:val="24"/>
        <w:szCs w:val="24"/>
      </w:rPr>
    </w:pPr>
    <w:r w:rsidRPr="005C6408">
      <w:rPr>
        <w:rFonts w:ascii="Tw Cen MT" w:hAnsi="Tw Cen MT"/>
        <w:noProof/>
        <w:sz w:val="24"/>
        <w:szCs w:val="24"/>
      </w:rPr>
      <w:drawing>
        <wp:anchor distT="0" distB="0" distL="114300" distR="114300" simplePos="0" relativeHeight="251660288" behindDoc="0" locked="0" layoutInCell="1" allowOverlap="1" wp14:anchorId="52C0C3B1" wp14:editId="55DF8A3B">
          <wp:simplePos x="0" y="0"/>
          <wp:positionH relativeFrom="page">
            <wp:posOffset>500743</wp:posOffset>
          </wp:positionH>
          <wp:positionV relativeFrom="paragraph">
            <wp:posOffset>-159748</wp:posOffset>
          </wp:positionV>
          <wp:extent cx="2349500" cy="520065"/>
          <wp:effectExtent l="0" t="0" r="0" b="635"/>
          <wp:wrapSquare wrapText="bothSides"/>
          <wp:docPr id="208"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6408">
      <w:rPr>
        <w:rFonts w:ascii="Tw Cen MT" w:hAnsi="Tw Cen MT"/>
        <w:noProof/>
        <w:sz w:val="24"/>
        <w:szCs w:val="24"/>
      </w:rPr>
      <w:drawing>
        <wp:anchor distT="0" distB="0" distL="114300" distR="114300" simplePos="0" relativeHeight="251659264" behindDoc="1" locked="0" layoutInCell="1" allowOverlap="1" wp14:anchorId="6A12BB25" wp14:editId="0486D8AB">
          <wp:simplePos x="0" y="0"/>
          <wp:positionH relativeFrom="page">
            <wp:posOffset>3342005</wp:posOffset>
          </wp:positionH>
          <wp:positionV relativeFrom="page">
            <wp:posOffset>0</wp:posOffset>
          </wp:positionV>
          <wp:extent cx="4741545" cy="1079500"/>
          <wp:effectExtent l="0" t="0" r="0" b="0"/>
          <wp:wrapNone/>
          <wp:docPr id="20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4"/>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474154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127"/>
    <w:multiLevelType w:val="hybridMultilevel"/>
    <w:tmpl w:val="1B40EC08"/>
    <w:lvl w:ilvl="0" w:tplc="86B6982E">
      <w:start w:val="1"/>
      <w:numFmt w:val="upperRoman"/>
      <w:lvlText w:val="%1."/>
      <w:lvlJc w:val="left"/>
      <w:pPr>
        <w:ind w:left="1789" w:hanging="250"/>
      </w:pPr>
      <w:rPr>
        <w:rFonts w:asciiTheme="minorHAnsi" w:eastAsia="Times New Roman" w:hAnsiTheme="minorHAnsi" w:cstheme="minorHAnsi" w:hint="default"/>
        <w:b/>
        <w:bCs/>
        <w:spacing w:val="1"/>
        <w:sz w:val="24"/>
        <w:szCs w:val="28"/>
      </w:rPr>
    </w:lvl>
    <w:lvl w:ilvl="1" w:tplc="AA3644AA">
      <w:start w:val="1"/>
      <w:numFmt w:val="decimal"/>
      <w:lvlText w:val="(%2)"/>
      <w:lvlJc w:val="left"/>
      <w:pPr>
        <w:ind w:left="3360" w:hanging="339"/>
      </w:pPr>
      <w:rPr>
        <w:rFonts w:asciiTheme="minorHAnsi" w:eastAsia="Times New Roman" w:hAnsiTheme="minorHAnsi" w:cstheme="minorHAnsi" w:hint="default"/>
        <w:spacing w:val="-1"/>
        <w:sz w:val="24"/>
        <w:szCs w:val="24"/>
      </w:rPr>
    </w:lvl>
    <w:lvl w:ilvl="2" w:tplc="52864DBE">
      <w:start w:val="1"/>
      <w:numFmt w:val="bullet"/>
      <w:lvlText w:val="•"/>
      <w:lvlJc w:val="left"/>
      <w:pPr>
        <w:ind w:left="3355" w:hanging="339"/>
      </w:pPr>
    </w:lvl>
    <w:lvl w:ilvl="3" w:tplc="CDDAD96E">
      <w:start w:val="1"/>
      <w:numFmt w:val="bullet"/>
      <w:lvlText w:val="•"/>
      <w:lvlJc w:val="left"/>
      <w:pPr>
        <w:ind w:left="3350" w:hanging="339"/>
      </w:pPr>
    </w:lvl>
    <w:lvl w:ilvl="4" w:tplc="E0EEA7B2">
      <w:start w:val="1"/>
      <w:numFmt w:val="bullet"/>
      <w:lvlText w:val="•"/>
      <w:lvlJc w:val="left"/>
      <w:pPr>
        <w:ind w:left="3345" w:hanging="339"/>
      </w:pPr>
    </w:lvl>
    <w:lvl w:ilvl="5" w:tplc="E7704848">
      <w:start w:val="1"/>
      <w:numFmt w:val="bullet"/>
      <w:lvlText w:val="•"/>
      <w:lvlJc w:val="left"/>
      <w:pPr>
        <w:ind w:left="3340" w:hanging="339"/>
      </w:pPr>
    </w:lvl>
    <w:lvl w:ilvl="6" w:tplc="4F9C6B84">
      <w:start w:val="1"/>
      <w:numFmt w:val="bullet"/>
      <w:lvlText w:val="•"/>
      <w:lvlJc w:val="left"/>
      <w:pPr>
        <w:ind w:left="3336" w:hanging="339"/>
      </w:pPr>
    </w:lvl>
    <w:lvl w:ilvl="7" w:tplc="04988662">
      <w:start w:val="1"/>
      <w:numFmt w:val="bullet"/>
      <w:lvlText w:val="•"/>
      <w:lvlJc w:val="left"/>
      <w:pPr>
        <w:ind w:left="3331" w:hanging="339"/>
      </w:pPr>
    </w:lvl>
    <w:lvl w:ilvl="8" w:tplc="EA22B120">
      <w:start w:val="1"/>
      <w:numFmt w:val="bullet"/>
      <w:lvlText w:val="•"/>
      <w:lvlJc w:val="left"/>
      <w:pPr>
        <w:ind w:left="3326" w:hanging="339"/>
      </w:pPr>
    </w:lvl>
  </w:abstractNum>
  <w:abstractNum w:abstractNumId="1" w15:restartNumberingAfterBreak="0">
    <w:nsid w:val="063F406E"/>
    <w:multiLevelType w:val="hybridMultilevel"/>
    <w:tmpl w:val="107245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2E1CA2"/>
    <w:multiLevelType w:val="multilevel"/>
    <w:tmpl w:val="64684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985D48"/>
    <w:multiLevelType w:val="hybridMultilevel"/>
    <w:tmpl w:val="1BA29656"/>
    <w:lvl w:ilvl="0" w:tplc="DEE494B8">
      <w:start w:val="1"/>
      <w:numFmt w:val="bullet"/>
      <w:lvlText w:val=""/>
      <w:lvlJc w:val="left"/>
      <w:pPr>
        <w:ind w:left="1080" w:hanging="360"/>
      </w:pPr>
      <w:rPr>
        <w:rFonts w:ascii="Wingdings" w:hAnsi="Wingdings"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1B244D"/>
    <w:multiLevelType w:val="hybridMultilevel"/>
    <w:tmpl w:val="C0D671B4"/>
    <w:lvl w:ilvl="0" w:tplc="FCD4E08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325F28"/>
    <w:multiLevelType w:val="multilevel"/>
    <w:tmpl w:val="B2AC11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CA1D35"/>
    <w:multiLevelType w:val="multilevel"/>
    <w:tmpl w:val="40B00F02"/>
    <w:lvl w:ilvl="0">
      <w:start w:val="1"/>
      <w:numFmt w:val="decimal"/>
      <w:pStyle w:val="Heading1"/>
      <w:lvlText w:val="Section %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decimal"/>
      <w:pStyle w:val="Heading2"/>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314" w:hanging="1314"/>
      </w:pPr>
      <w:rPr>
        <w:rFonts w:hint="default"/>
      </w:rPr>
    </w:lvl>
    <w:lvl w:ilvl="4">
      <w:start w:val="1"/>
      <w:numFmt w:val="upperLetter"/>
      <w:lvlRestart w:val="0"/>
      <w:pStyle w:val="Heading6"/>
      <w:lvlText w:val="Appendix %5"/>
      <w:lvlJc w:val="left"/>
      <w:pPr>
        <w:ind w:left="432" w:hanging="432"/>
      </w:pPr>
      <w:rPr>
        <w:rFonts w:hint="default"/>
      </w:rPr>
    </w:lvl>
    <w:lvl w:ilvl="5">
      <w:start w:val="1"/>
      <w:numFmt w:val="decimal"/>
      <w:pStyle w:val="Heading7"/>
      <w:lvlText w:val="%5.%6"/>
      <w:lvlJc w:val="left"/>
      <w:pPr>
        <w:ind w:left="1296" w:hanging="1296"/>
      </w:pPr>
      <w:rPr>
        <w:rFonts w:hint="default"/>
      </w:rPr>
    </w:lvl>
    <w:lvl w:ilvl="6">
      <w:numFmt w:val="decimal"/>
      <w:lvlText w:val="%6.%7"/>
      <w:lvlJc w:val="left"/>
      <w:pPr>
        <w:ind w:left="1296" w:hanging="1296"/>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15:restartNumberingAfterBreak="0">
    <w:nsid w:val="16F9065B"/>
    <w:multiLevelType w:val="hybridMultilevel"/>
    <w:tmpl w:val="FC96D1BE"/>
    <w:lvl w:ilvl="0" w:tplc="FCD4E08C">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DD367D"/>
    <w:multiLevelType w:val="hybridMultilevel"/>
    <w:tmpl w:val="40905C7C"/>
    <w:lvl w:ilvl="0" w:tplc="DEE494B8">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B814DF"/>
    <w:multiLevelType w:val="multilevel"/>
    <w:tmpl w:val="E4E256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F07CB4"/>
    <w:multiLevelType w:val="multilevel"/>
    <w:tmpl w:val="AFF0FE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650CC3"/>
    <w:multiLevelType w:val="multilevel"/>
    <w:tmpl w:val="9CF4DB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8F6EBC"/>
    <w:multiLevelType w:val="multilevel"/>
    <w:tmpl w:val="304C490C"/>
    <w:lvl w:ilvl="0">
      <w:start w:val="1"/>
      <w:numFmt w:val="upperLetter"/>
      <w:lvlText w:val="Appendix %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1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none"/>
      <w:lvlText w:val=""/>
      <w:lvlJc w:val="left"/>
      <w:pPr>
        <w:ind w:left="1296" w:hanging="1296"/>
      </w:pPr>
      <w:rPr>
        <w:rFonts w:hint="default"/>
      </w:rPr>
    </w:lvl>
    <w:lvl w:ilvl="7">
      <w:start w:val="1"/>
      <w:numFmt w:val="decimal"/>
      <w:lvlText w:val="%7"/>
      <w:lvlJc w:val="left"/>
      <w:pPr>
        <w:ind w:left="1440" w:hanging="1440"/>
      </w:pPr>
      <w:rPr>
        <w:rFonts w:hint="default"/>
      </w:rPr>
    </w:lvl>
    <w:lvl w:ilvl="8">
      <w:start w:val="1"/>
      <w:numFmt w:val="decimal"/>
      <w:pStyle w:val="Example2"/>
      <w:lvlText w:val="Example %9"/>
      <w:lvlJc w:val="left"/>
      <w:pPr>
        <w:ind w:left="1584" w:hanging="1584"/>
      </w:pPr>
      <w:rPr>
        <w:rFonts w:hint="default"/>
      </w:rPr>
    </w:lvl>
  </w:abstractNum>
  <w:abstractNum w:abstractNumId="13" w15:restartNumberingAfterBreak="0">
    <w:nsid w:val="3A1F013A"/>
    <w:multiLevelType w:val="hybridMultilevel"/>
    <w:tmpl w:val="6DC8F124"/>
    <w:lvl w:ilvl="0" w:tplc="FCD4E0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C7042"/>
    <w:multiLevelType w:val="hybridMultilevel"/>
    <w:tmpl w:val="F6DE3FD0"/>
    <w:lvl w:ilvl="0" w:tplc="DEE494B8">
      <w:start w:val="1"/>
      <w:numFmt w:val="bullet"/>
      <w:lvlText w:val=""/>
      <w:lvlJc w:val="left"/>
      <w:pPr>
        <w:ind w:left="1080" w:hanging="360"/>
      </w:pPr>
      <w:rPr>
        <w:rFonts w:ascii="Wingdings" w:hAnsi="Wingdings" w:hint="default"/>
        <w:sz w:val="22"/>
        <w:szCs w:val="2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14E03AC"/>
    <w:multiLevelType w:val="hybridMultilevel"/>
    <w:tmpl w:val="35962AB0"/>
    <w:lvl w:ilvl="0" w:tplc="FCD4E0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F0F38"/>
    <w:multiLevelType w:val="hybridMultilevel"/>
    <w:tmpl w:val="3960A000"/>
    <w:lvl w:ilvl="0" w:tplc="DEE494B8">
      <w:start w:val="1"/>
      <w:numFmt w:val="bullet"/>
      <w:lvlText w:val=""/>
      <w:lvlJc w:val="left"/>
      <w:pPr>
        <w:ind w:left="1080" w:hanging="360"/>
      </w:pPr>
      <w:rPr>
        <w:rFonts w:ascii="Wingdings" w:hAnsi="Wingdings"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1EF1F1C"/>
    <w:multiLevelType w:val="multilevel"/>
    <w:tmpl w:val="6FB4A6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74E42A6"/>
    <w:multiLevelType w:val="hybridMultilevel"/>
    <w:tmpl w:val="C8202D2C"/>
    <w:lvl w:ilvl="0" w:tplc="FCD4E08C">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478868C3"/>
    <w:multiLevelType w:val="hybridMultilevel"/>
    <w:tmpl w:val="87D0B790"/>
    <w:lvl w:ilvl="0" w:tplc="FCD4E08C">
      <w:start w:val="1"/>
      <w:numFmt w:val="bullet"/>
      <w:lvlText w:val=""/>
      <w:lvlJc w:val="left"/>
      <w:pPr>
        <w:ind w:left="1559" w:hanging="360"/>
      </w:pPr>
      <w:rPr>
        <w:rFonts w:ascii="Wingdings" w:hAnsi="Wingdings"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20" w15:restartNumberingAfterBreak="0">
    <w:nsid w:val="48F47506"/>
    <w:multiLevelType w:val="multilevel"/>
    <w:tmpl w:val="04090021"/>
    <w:styleLink w:val="Style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DA048C6"/>
    <w:multiLevelType w:val="hybridMultilevel"/>
    <w:tmpl w:val="564647E2"/>
    <w:lvl w:ilvl="0" w:tplc="FCD4E08C">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2" w15:restartNumberingAfterBreak="0">
    <w:nsid w:val="4E277FD7"/>
    <w:multiLevelType w:val="hybridMultilevel"/>
    <w:tmpl w:val="4E1ACF08"/>
    <w:lvl w:ilvl="0" w:tplc="DEE494B8">
      <w:start w:val="1"/>
      <w:numFmt w:val="bullet"/>
      <w:lvlText w:val=""/>
      <w:lvlJc w:val="left"/>
      <w:pPr>
        <w:ind w:left="1800" w:hanging="360"/>
      </w:pPr>
      <w:rPr>
        <w:rFonts w:ascii="Wingdings" w:hAnsi="Wingdings" w:hint="default"/>
        <w:sz w:val="22"/>
        <w:szCs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F6C34CA"/>
    <w:multiLevelType w:val="hybridMultilevel"/>
    <w:tmpl w:val="DA6E3942"/>
    <w:lvl w:ilvl="0" w:tplc="FCD4E08C">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6506DB"/>
    <w:multiLevelType w:val="hybridMultilevel"/>
    <w:tmpl w:val="52D05570"/>
    <w:lvl w:ilvl="0" w:tplc="FCD4E08C">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2524D11"/>
    <w:multiLevelType w:val="hybridMultilevel"/>
    <w:tmpl w:val="AE10169A"/>
    <w:lvl w:ilvl="0" w:tplc="DEE494B8">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5673DC"/>
    <w:multiLevelType w:val="hybridMultilevel"/>
    <w:tmpl w:val="00B80AEC"/>
    <w:lvl w:ilvl="0" w:tplc="FCD4E08C">
      <w:start w:val="1"/>
      <w:numFmt w:val="bullet"/>
      <w:lvlText w:val=""/>
      <w:lvlJc w:val="left"/>
      <w:pPr>
        <w:ind w:left="720" w:hanging="360"/>
      </w:pPr>
      <w:rPr>
        <w:rFonts w:ascii="Wingdings" w:hAnsi="Wingdings" w:hint="default"/>
      </w:rPr>
    </w:lvl>
    <w:lvl w:ilvl="1" w:tplc="FCD4E08C">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F37F36"/>
    <w:multiLevelType w:val="hybridMultilevel"/>
    <w:tmpl w:val="0F022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4F34010"/>
    <w:multiLevelType w:val="multilevel"/>
    <w:tmpl w:val="EA6CE2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9B81F44"/>
    <w:multiLevelType w:val="hybridMultilevel"/>
    <w:tmpl w:val="36305474"/>
    <w:lvl w:ilvl="0" w:tplc="FCD4E08C">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AC876ED"/>
    <w:multiLevelType w:val="hybridMultilevel"/>
    <w:tmpl w:val="870EB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D3F11F0"/>
    <w:multiLevelType w:val="hybridMultilevel"/>
    <w:tmpl w:val="C0D2C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D9140D9"/>
    <w:multiLevelType w:val="hybridMultilevel"/>
    <w:tmpl w:val="08CE35C0"/>
    <w:lvl w:ilvl="0" w:tplc="FCD4E08C">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F034A25"/>
    <w:multiLevelType w:val="hybridMultilevel"/>
    <w:tmpl w:val="475E3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F66CC4"/>
    <w:multiLevelType w:val="hybridMultilevel"/>
    <w:tmpl w:val="AEE4E304"/>
    <w:lvl w:ilvl="0" w:tplc="FCD4E08C">
      <w:start w:val="1"/>
      <w:numFmt w:val="bullet"/>
      <w:lvlText w:val=""/>
      <w:lvlJc w:val="left"/>
      <w:pPr>
        <w:ind w:left="720" w:hanging="360"/>
      </w:pPr>
      <w:rPr>
        <w:rFonts w:ascii="Wingdings" w:hAnsi="Wingdings" w:hint="default"/>
      </w:rPr>
    </w:lvl>
    <w:lvl w:ilvl="1" w:tplc="FCD4E08C">
      <w:start w:val="1"/>
      <w:numFmt w:val="bullet"/>
      <w:lvlText w:val=""/>
      <w:lvlJc w:val="left"/>
      <w:pPr>
        <w:ind w:left="1440" w:hanging="360"/>
      </w:pPr>
      <w:rPr>
        <w:rFonts w:ascii="Wingdings" w:hAnsi="Wingdings" w:hint="default"/>
      </w:rPr>
    </w:lvl>
    <w:lvl w:ilvl="2" w:tplc="FCD4E08C">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D6249"/>
    <w:multiLevelType w:val="hybridMultilevel"/>
    <w:tmpl w:val="874AB016"/>
    <w:lvl w:ilvl="0" w:tplc="FCD4E08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654659A"/>
    <w:multiLevelType w:val="hybridMultilevel"/>
    <w:tmpl w:val="199E11D6"/>
    <w:lvl w:ilvl="0" w:tplc="FCD4E08C">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693A1FA8"/>
    <w:multiLevelType w:val="hybridMultilevel"/>
    <w:tmpl w:val="45380372"/>
    <w:lvl w:ilvl="0" w:tplc="FCD4E08C">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D2F79DC"/>
    <w:multiLevelType w:val="multilevel"/>
    <w:tmpl w:val="82A474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362422B"/>
    <w:multiLevelType w:val="hybridMultilevel"/>
    <w:tmpl w:val="7C485968"/>
    <w:lvl w:ilvl="0" w:tplc="FCD4E08C">
      <w:start w:val="1"/>
      <w:numFmt w:val="bullet"/>
      <w:lvlText w:val=""/>
      <w:lvlJc w:val="left"/>
      <w:pPr>
        <w:ind w:left="1180" w:hanging="360"/>
      </w:pPr>
      <w:rPr>
        <w:rFonts w:ascii="Wingdings" w:hAnsi="Wingdings" w:hint="default"/>
      </w:rPr>
    </w:lvl>
    <w:lvl w:ilvl="1" w:tplc="FCD4E08C">
      <w:start w:val="1"/>
      <w:numFmt w:val="bullet"/>
      <w:lvlText w:val=""/>
      <w:lvlJc w:val="left"/>
      <w:pPr>
        <w:ind w:left="1440" w:hanging="360"/>
      </w:pPr>
      <w:rPr>
        <w:rFonts w:ascii="Wingdings" w:hAnsi="Wingdings" w:hint="default"/>
      </w:rPr>
    </w:lvl>
    <w:lvl w:ilvl="2" w:tplc="FCD4E08C">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347044"/>
    <w:multiLevelType w:val="hybridMultilevel"/>
    <w:tmpl w:val="F1EEF6E0"/>
    <w:lvl w:ilvl="0" w:tplc="DEE494B8">
      <w:start w:val="1"/>
      <w:numFmt w:val="bullet"/>
      <w:lvlText w:val=""/>
      <w:lvlJc w:val="left"/>
      <w:pPr>
        <w:ind w:left="1080" w:hanging="360"/>
      </w:pPr>
      <w:rPr>
        <w:rFonts w:ascii="Wingdings" w:hAnsi="Wingdings"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78B57960"/>
    <w:multiLevelType w:val="multilevel"/>
    <w:tmpl w:val="413E5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B037E66"/>
    <w:multiLevelType w:val="multilevel"/>
    <w:tmpl w:val="A79CB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E141F18"/>
    <w:multiLevelType w:val="hybridMultilevel"/>
    <w:tmpl w:val="36D86B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DE2C96"/>
    <w:multiLevelType w:val="multilevel"/>
    <w:tmpl w:val="04090021"/>
    <w:numStyleLink w:val="Style1"/>
  </w:abstractNum>
  <w:num w:numId="1" w16cid:durableId="314992204">
    <w:abstractNumId w:val="12"/>
  </w:num>
  <w:num w:numId="2" w16cid:durableId="1928226419">
    <w:abstractNumId w:val="6"/>
  </w:num>
  <w:num w:numId="3" w16cid:durableId="204486097">
    <w:abstractNumId w:val="17"/>
  </w:num>
  <w:num w:numId="4" w16cid:durableId="1976789887">
    <w:abstractNumId w:val="10"/>
  </w:num>
  <w:num w:numId="5" w16cid:durableId="653070823">
    <w:abstractNumId w:val="41"/>
  </w:num>
  <w:num w:numId="6" w16cid:durableId="1315187239">
    <w:abstractNumId w:val="5"/>
  </w:num>
  <w:num w:numId="7" w16cid:durableId="258024446">
    <w:abstractNumId w:val="38"/>
  </w:num>
  <w:num w:numId="8" w16cid:durableId="1881279920">
    <w:abstractNumId w:val="11"/>
  </w:num>
  <w:num w:numId="9" w16cid:durableId="1511869856">
    <w:abstractNumId w:val="9"/>
  </w:num>
  <w:num w:numId="10" w16cid:durableId="346490331">
    <w:abstractNumId w:val="42"/>
  </w:num>
  <w:num w:numId="11" w16cid:durableId="1714647958">
    <w:abstractNumId w:val="2"/>
  </w:num>
  <w:num w:numId="12" w16cid:durableId="1350793146">
    <w:abstractNumId w:val="28"/>
  </w:num>
  <w:num w:numId="13" w16cid:durableId="2142766711">
    <w:abstractNumId w:val="20"/>
  </w:num>
  <w:num w:numId="14" w16cid:durableId="1803185114">
    <w:abstractNumId w:val="44"/>
  </w:num>
  <w:num w:numId="15" w16cid:durableId="2000965256">
    <w:abstractNumId w:val="6"/>
    <w:lvlOverride w:ilvl="0">
      <w:startOverride w:val="7"/>
    </w:lvlOverride>
    <w:lvlOverride w:ilvl="1"/>
    <w:lvlOverride w:ilvl="2">
      <w:startOverride w:val="1"/>
    </w:lvlOverride>
    <w:lvlOverride w:ilvl="3">
      <w:startOverride w:val="1"/>
    </w:lvlOverride>
    <w:lvlOverride w:ilvl="4">
      <w:startOverride w:val="2"/>
    </w:lvlOverride>
    <w:lvlOverride w:ilvl="5">
      <w:startOverride w:val="1"/>
    </w:lvlOverride>
    <w:lvlOverride w:ilvl="6"/>
    <w:lvlOverride w:ilvl="7">
      <w:startOverride w:val="1"/>
    </w:lvlOverride>
    <w:lvlOverride w:ilvl="8">
      <w:startOverride w:val="1"/>
    </w:lvlOverride>
  </w:num>
  <w:num w:numId="16" w16cid:durableId="783502296">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7" w16cid:durableId="943617180">
    <w:abstractNumId w:val="13"/>
  </w:num>
  <w:num w:numId="18" w16cid:durableId="444694184">
    <w:abstractNumId w:val="15"/>
  </w:num>
  <w:num w:numId="19" w16cid:durableId="1970165278">
    <w:abstractNumId w:val="36"/>
  </w:num>
  <w:num w:numId="20" w16cid:durableId="863784552">
    <w:abstractNumId w:val="22"/>
  </w:num>
  <w:num w:numId="21" w16cid:durableId="1667829387">
    <w:abstractNumId w:val="39"/>
  </w:num>
  <w:num w:numId="22" w16cid:durableId="710302100">
    <w:abstractNumId w:val="34"/>
  </w:num>
  <w:num w:numId="23" w16cid:durableId="661813748">
    <w:abstractNumId w:val="4"/>
  </w:num>
  <w:num w:numId="24" w16cid:durableId="792598753">
    <w:abstractNumId w:val="26"/>
  </w:num>
  <w:num w:numId="25" w16cid:durableId="1926258224">
    <w:abstractNumId w:val="7"/>
  </w:num>
  <w:num w:numId="26" w16cid:durableId="852911758">
    <w:abstractNumId w:val="37"/>
  </w:num>
  <w:num w:numId="27" w16cid:durableId="1255015289">
    <w:abstractNumId w:val="32"/>
  </w:num>
  <w:num w:numId="28" w16cid:durableId="1688823861">
    <w:abstractNumId w:val="35"/>
  </w:num>
  <w:num w:numId="29" w16cid:durableId="1026566115">
    <w:abstractNumId w:val="19"/>
  </w:num>
  <w:num w:numId="30" w16cid:durableId="39788243">
    <w:abstractNumId w:val="21"/>
  </w:num>
  <w:num w:numId="31" w16cid:durableId="1310475595">
    <w:abstractNumId w:val="23"/>
  </w:num>
  <w:num w:numId="32" w16cid:durableId="492796749">
    <w:abstractNumId w:val="24"/>
  </w:num>
  <w:num w:numId="33" w16cid:durableId="1305306523">
    <w:abstractNumId w:val="29"/>
  </w:num>
  <w:num w:numId="34" w16cid:durableId="15624030">
    <w:abstractNumId w:val="30"/>
  </w:num>
  <w:num w:numId="35" w16cid:durableId="1690712860">
    <w:abstractNumId w:val="33"/>
  </w:num>
  <w:num w:numId="36" w16cid:durableId="1329285023">
    <w:abstractNumId w:val="31"/>
  </w:num>
  <w:num w:numId="37" w16cid:durableId="1193491898">
    <w:abstractNumId w:val="27"/>
  </w:num>
  <w:num w:numId="38" w16cid:durableId="115413689">
    <w:abstractNumId w:val="43"/>
  </w:num>
  <w:num w:numId="39" w16cid:durableId="1027606711">
    <w:abstractNumId w:val="1"/>
  </w:num>
  <w:num w:numId="40" w16cid:durableId="450436433">
    <w:abstractNumId w:val="18"/>
  </w:num>
  <w:num w:numId="41" w16cid:durableId="1742021877">
    <w:abstractNumId w:val="3"/>
  </w:num>
  <w:num w:numId="42" w16cid:durableId="748625027">
    <w:abstractNumId w:val="40"/>
  </w:num>
  <w:num w:numId="43" w16cid:durableId="7996299">
    <w:abstractNumId w:val="16"/>
  </w:num>
  <w:num w:numId="44" w16cid:durableId="1519349113">
    <w:abstractNumId w:val="14"/>
  </w:num>
  <w:num w:numId="45" w16cid:durableId="1975678615">
    <w:abstractNumId w:val="25"/>
  </w:num>
  <w:num w:numId="46" w16cid:durableId="140737661">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B71"/>
    <w:rsid w:val="00006D3F"/>
    <w:rsid w:val="0001108A"/>
    <w:rsid w:val="00012613"/>
    <w:rsid w:val="000147F8"/>
    <w:rsid w:val="00017003"/>
    <w:rsid w:val="0002127D"/>
    <w:rsid w:val="000313F4"/>
    <w:rsid w:val="00032B77"/>
    <w:rsid w:val="000355A5"/>
    <w:rsid w:val="00042CF4"/>
    <w:rsid w:val="000451AC"/>
    <w:rsid w:val="000455FC"/>
    <w:rsid w:val="00050543"/>
    <w:rsid w:val="00054BB3"/>
    <w:rsid w:val="00057BF2"/>
    <w:rsid w:val="000630EF"/>
    <w:rsid w:val="00076B41"/>
    <w:rsid w:val="00094C65"/>
    <w:rsid w:val="000A34B7"/>
    <w:rsid w:val="000A4D3C"/>
    <w:rsid w:val="000A6CA3"/>
    <w:rsid w:val="000A7E1C"/>
    <w:rsid w:val="000C14B1"/>
    <w:rsid w:val="000C4C1A"/>
    <w:rsid w:val="000C7B74"/>
    <w:rsid w:val="000D174F"/>
    <w:rsid w:val="000D432B"/>
    <w:rsid w:val="000D5B11"/>
    <w:rsid w:val="000D5F6C"/>
    <w:rsid w:val="000E3D85"/>
    <w:rsid w:val="000F2FED"/>
    <w:rsid w:val="001105DB"/>
    <w:rsid w:val="00110EBF"/>
    <w:rsid w:val="00127209"/>
    <w:rsid w:val="00134A97"/>
    <w:rsid w:val="00146E38"/>
    <w:rsid w:val="00153CBA"/>
    <w:rsid w:val="00160E5F"/>
    <w:rsid w:val="00163DEF"/>
    <w:rsid w:val="00170760"/>
    <w:rsid w:val="00182C91"/>
    <w:rsid w:val="00190DFE"/>
    <w:rsid w:val="0019293B"/>
    <w:rsid w:val="001A0F86"/>
    <w:rsid w:val="001A78E7"/>
    <w:rsid w:val="001B4AFC"/>
    <w:rsid w:val="001B4B55"/>
    <w:rsid w:val="001B6AEE"/>
    <w:rsid w:val="001D1EFC"/>
    <w:rsid w:val="001D7B10"/>
    <w:rsid w:val="001E0D7F"/>
    <w:rsid w:val="001E3FDB"/>
    <w:rsid w:val="001E7335"/>
    <w:rsid w:val="001F0055"/>
    <w:rsid w:val="001F35EE"/>
    <w:rsid w:val="001F3DB2"/>
    <w:rsid w:val="00204F76"/>
    <w:rsid w:val="00206452"/>
    <w:rsid w:val="00212632"/>
    <w:rsid w:val="00221951"/>
    <w:rsid w:val="00246786"/>
    <w:rsid w:val="00251FA3"/>
    <w:rsid w:val="00253AC2"/>
    <w:rsid w:val="0026101F"/>
    <w:rsid w:val="00265B68"/>
    <w:rsid w:val="002720BC"/>
    <w:rsid w:val="00275D95"/>
    <w:rsid w:val="00277BE5"/>
    <w:rsid w:val="00292DB1"/>
    <w:rsid w:val="00296C9E"/>
    <w:rsid w:val="00297F09"/>
    <w:rsid w:val="002A07DE"/>
    <w:rsid w:val="002A1F76"/>
    <w:rsid w:val="002A3C4F"/>
    <w:rsid w:val="002B31AA"/>
    <w:rsid w:val="002D584D"/>
    <w:rsid w:val="002E6D6C"/>
    <w:rsid w:val="002E70FD"/>
    <w:rsid w:val="002F73E8"/>
    <w:rsid w:val="003212B0"/>
    <w:rsid w:val="00321400"/>
    <w:rsid w:val="003306E5"/>
    <w:rsid w:val="00333284"/>
    <w:rsid w:val="003371FD"/>
    <w:rsid w:val="00350F20"/>
    <w:rsid w:val="00357E0C"/>
    <w:rsid w:val="0036457C"/>
    <w:rsid w:val="00366D3E"/>
    <w:rsid w:val="00367435"/>
    <w:rsid w:val="00367753"/>
    <w:rsid w:val="003849B6"/>
    <w:rsid w:val="00390DD2"/>
    <w:rsid w:val="003917CA"/>
    <w:rsid w:val="00392C7D"/>
    <w:rsid w:val="003965F0"/>
    <w:rsid w:val="003B6E17"/>
    <w:rsid w:val="003C6AF0"/>
    <w:rsid w:val="003D296D"/>
    <w:rsid w:val="003D70BB"/>
    <w:rsid w:val="003D79A0"/>
    <w:rsid w:val="003E385C"/>
    <w:rsid w:val="003E7B08"/>
    <w:rsid w:val="003F07FF"/>
    <w:rsid w:val="003F5882"/>
    <w:rsid w:val="0042006D"/>
    <w:rsid w:val="004246D4"/>
    <w:rsid w:val="00427C07"/>
    <w:rsid w:val="00446353"/>
    <w:rsid w:val="00447355"/>
    <w:rsid w:val="0045169A"/>
    <w:rsid w:val="00451EAF"/>
    <w:rsid w:val="00456937"/>
    <w:rsid w:val="0046497B"/>
    <w:rsid w:val="00473324"/>
    <w:rsid w:val="00474D4D"/>
    <w:rsid w:val="004849BD"/>
    <w:rsid w:val="004904FE"/>
    <w:rsid w:val="004A3FDE"/>
    <w:rsid w:val="004B515E"/>
    <w:rsid w:val="004B5365"/>
    <w:rsid w:val="004C1317"/>
    <w:rsid w:val="004C5156"/>
    <w:rsid w:val="004D119F"/>
    <w:rsid w:val="004D4720"/>
    <w:rsid w:val="004D7C0B"/>
    <w:rsid w:val="004E043D"/>
    <w:rsid w:val="004E4C0A"/>
    <w:rsid w:val="004F4786"/>
    <w:rsid w:val="004F5587"/>
    <w:rsid w:val="00500A44"/>
    <w:rsid w:val="005011A6"/>
    <w:rsid w:val="00505834"/>
    <w:rsid w:val="0051770F"/>
    <w:rsid w:val="00531266"/>
    <w:rsid w:val="005333BD"/>
    <w:rsid w:val="00534756"/>
    <w:rsid w:val="00545845"/>
    <w:rsid w:val="00545C04"/>
    <w:rsid w:val="0055361A"/>
    <w:rsid w:val="00562C8A"/>
    <w:rsid w:val="00571A17"/>
    <w:rsid w:val="00571CBC"/>
    <w:rsid w:val="0057231D"/>
    <w:rsid w:val="005727AE"/>
    <w:rsid w:val="00573FA9"/>
    <w:rsid w:val="005763B4"/>
    <w:rsid w:val="005764F8"/>
    <w:rsid w:val="005909AD"/>
    <w:rsid w:val="0059201E"/>
    <w:rsid w:val="005922C9"/>
    <w:rsid w:val="00595244"/>
    <w:rsid w:val="005957CC"/>
    <w:rsid w:val="00596D57"/>
    <w:rsid w:val="00597446"/>
    <w:rsid w:val="005A2FFF"/>
    <w:rsid w:val="005B022D"/>
    <w:rsid w:val="005B31A1"/>
    <w:rsid w:val="005B7589"/>
    <w:rsid w:val="005C0B68"/>
    <w:rsid w:val="005C6408"/>
    <w:rsid w:val="005C6E5D"/>
    <w:rsid w:val="005D0B37"/>
    <w:rsid w:val="005D1DB8"/>
    <w:rsid w:val="005D36B2"/>
    <w:rsid w:val="005D3A0F"/>
    <w:rsid w:val="005D55C6"/>
    <w:rsid w:val="005D69EE"/>
    <w:rsid w:val="005F0492"/>
    <w:rsid w:val="005F61A3"/>
    <w:rsid w:val="00604294"/>
    <w:rsid w:val="00610753"/>
    <w:rsid w:val="00615A70"/>
    <w:rsid w:val="00615B0E"/>
    <w:rsid w:val="00617D96"/>
    <w:rsid w:val="00635995"/>
    <w:rsid w:val="00642751"/>
    <w:rsid w:val="006464A0"/>
    <w:rsid w:val="00650652"/>
    <w:rsid w:val="00653432"/>
    <w:rsid w:val="0066029A"/>
    <w:rsid w:val="006800AE"/>
    <w:rsid w:val="006841DC"/>
    <w:rsid w:val="00685CEC"/>
    <w:rsid w:val="00691032"/>
    <w:rsid w:val="00691F18"/>
    <w:rsid w:val="0069346E"/>
    <w:rsid w:val="006C1A44"/>
    <w:rsid w:val="006D3625"/>
    <w:rsid w:val="006F059B"/>
    <w:rsid w:val="006F3E3E"/>
    <w:rsid w:val="007034D2"/>
    <w:rsid w:val="007073AE"/>
    <w:rsid w:val="007157B5"/>
    <w:rsid w:val="00723046"/>
    <w:rsid w:val="00723944"/>
    <w:rsid w:val="00725664"/>
    <w:rsid w:val="00727E3E"/>
    <w:rsid w:val="007320B9"/>
    <w:rsid w:val="007362A7"/>
    <w:rsid w:val="0074725C"/>
    <w:rsid w:val="0075364C"/>
    <w:rsid w:val="007571C6"/>
    <w:rsid w:val="007573A7"/>
    <w:rsid w:val="00775633"/>
    <w:rsid w:val="00793F56"/>
    <w:rsid w:val="007A34A3"/>
    <w:rsid w:val="007A70F5"/>
    <w:rsid w:val="007B6C6E"/>
    <w:rsid w:val="007C6E2D"/>
    <w:rsid w:val="007E160B"/>
    <w:rsid w:val="007E3083"/>
    <w:rsid w:val="007E6FC2"/>
    <w:rsid w:val="007F644D"/>
    <w:rsid w:val="00801BB2"/>
    <w:rsid w:val="00803347"/>
    <w:rsid w:val="00810A15"/>
    <w:rsid w:val="00814AF3"/>
    <w:rsid w:val="00817E3F"/>
    <w:rsid w:val="008204D4"/>
    <w:rsid w:val="00827183"/>
    <w:rsid w:val="008319A6"/>
    <w:rsid w:val="00835DAA"/>
    <w:rsid w:val="008541D1"/>
    <w:rsid w:val="00857825"/>
    <w:rsid w:val="00860113"/>
    <w:rsid w:val="0087166D"/>
    <w:rsid w:val="00872FD6"/>
    <w:rsid w:val="00875067"/>
    <w:rsid w:val="0088561B"/>
    <w:rsid w:val="00891ACA"/>
    <w:rsid w:val="008A500E"/>
    <w:rsid w:val="008C666E"/>
    <w:rsid w:val="008C7E1F"/>
    <w:rsid w:val="008D0381"/>
    <w:rsid w:val="008D078D"/>
    <w:rsid w:val="008D106B"/>
    <w:rsid w:val="008D19CB"/>
    <w:rsid w:val="008D3152"/>
    <w:rsid w:val="008D5F93"/>
    <w:rsid w:val="008D7484"/>
    <w:rsid w:val="008F18E5"/>
    <w:rsid w:val="008F1D5C"/>
    <w:rsid w:val="008F2030"/>
    <w:rsid w:val="008F5220"/>
    <w:rsid w:val="009018FE"/>
    <w:rsid w:val="00912375"/>
    <w:rsid w:val="00917C76"/>
    <w:rsid w:val="0092704D"/>
    <w:rsid w:val="009313C8"/>
    <w:rsid w:val="00937680"/>
    <w:rsid w:val="009421B3"/>
    <w:rsid w:val="00946929"/>
    <w:rsid w:val="00950609"/>
    <w:rsid w:val="009577AB"/>
    <w:rsid w:val="00962E7D"/>
    <w:rsid w:val="009738FF"/>
    <w:rsid w:val="00980DBF"/>
    <w:rsid w:val="00982542"/>
    <w:rsid w:val="00984EA0"/>
    <w:rsid w:val="009916FA"/>
    <w:rsid w:val="00991934"/>
    <w:rsid w:val="009A2280"/>
    <w:rsid w:val="009B23E9"/>
    <w:rsid w:val="009B2781"/>
    <w:rsid w:val="009B7810"/>
    <w:rsid w:val="009C788F"/>
    <w:rsid w:val="009D1308"/>
    <w:rsid w:val="009D1FD4"/>
    <w:rsid w:val="009D2297"/>
    <w:rsid w:val="009D2D95"/>
    <w:rsid w:val="009D5425"/>
    <w:rsid w:val="009D6CAF"/>
    <w:rsid w:val="009E1772"/>
    <w:rsid w:val="009E5211"/>
    <w:rsid w:val="009F1958"/>
    <w:rsid w:val="00A117BC"/>
    <w:rsid w:val="00A20EFB"/>
    <w:rsid w:val="00A24B50"/>
    <w:rsid w:val="00A25008"/>
    <w:rsid w:val="00A31BC6"/>
    <w:rsid w:val="00A34B71"/>
    <w:rsid w:val="00A4512E"/>
    <w:rsid w:val="00A47F4D"/>
    <w:rsid w:val="00A51A13"/>
    <w:rsid w:val="00A524F5"/>
    <w:rsid w:val="00A52CF9"/>
    <w:rsid w:val="00A56C4B"/>
    <w:rsid w:val="00A80D16"/>
    <w:rsid w:val="00A83B74"/>
    <w:rsid w:val="00A9237B"/>
    <w:rsid w:val="00AB0735"/>
    <w:rsid w:val="00AB3422"/>
    <w:rsid w:val="00AC6064"/>
    <w:rsid w:val="00AD174E"/>
    <w:rsid w:val="00AD2925"/>
    <w:rsid w:val="00AD34DE"/>
    <w:rsid w:val="00AE3DE8"/>
    <w:rsid w:val="00AE40AF"/>
    <w:rsid w:val="00AE4BAC"/>
    <w:rsid w:val="00AE4CA9"/>
    <w:rsid w:val="00AE5D65"/>
    <w:rsid w:val="00AF3166"/>
    <w:rsid w:val="00AF3681"/>
    <w:rsid w:val="00AF451C"/>
    <w:rsid w:val="00B22722"/>
    <w:rsid w:val="00B25099"/>
    <w:rsid w:val="00B2524B"/>
    <w:rsid w:val="00B3454E"/>
    <w:rsid w:val="00B36AA0"/>
    <w:rsid w:val="00B4229F"/>
    <w:rsid w:val="00B46EDD"/>
    <w:rsid w:val="00B50993"/>
    <w:rsid w:val="00B7046C"/>
    <w:rsid w:val="00B705B0"/>
    <w:rsid w:val="00B7174B"/>
    <w:rsid w:val="00B77C02"/>
    <w:rsid w:val="00B8678E"/>
    <w:rsid w:val="00B86D78"/>
    <w:rsid w:val="00B906D0"/>
    <w:rsid w:val="00B918F1"/>
    <w:rsid w:val="00B94405"/>
    <w:rsid w:val="00BA0267"/>
    <w:rsid w:val="00BA5B09"/>
    <w:rsid w:val="00BA5CE5"/>
    <w:rsid w:val="00BB06FC"/>
    <w:rsid w:val="00BB30DE"/>
    <w:rsid w:val="00BB547A"/>
    <w:rsid w:val="00BC0844"/>
    <w:rsid w:val="00BC2FD2"/>
    <w:rsid w:val="00BD16CB"/>
    <w:rsid w:val="00BD6C83"/>
    <w:rsid w:val="00BE5CC6"/>
    <w:rsid w:val="00BF6A58"/>
    <w:rsid w:val="00C02AC7"/>
    <w:rsid w:val="00C12387"/>
    <w:rsid w:val="00C13B5A"/>
    <w:rsid w:val="00C20538"/>
    <w:rsid w:val="00C24410"/>
    <w:rsid w:val="00C306D0"/>
    <w:rsid w:val="00C30C4A"/>
    <w:rsid w:val="00C33DFC"/>
    <w:rsid w:val="00C402B8"/>
    <w:rsid w:val="00C65F90"/>
    <w:rsid w:val="00C720A3"/>
    <w:rsid w:val="00C748B9"/>
    <w:rsid w:val="00C817BF"/>
    <w:rsid w:val="00CB3502"/>
    <w:rsid w:val="00CB3680"/>
    <w:rsid w:val="00CB6711"/>
    <w:rsid w:val="00CD4B05"/>
    <w:rsid w:val="00CE5FAA"/>
    <w:rsid w:val="00CE64A2"/>
    <w:rsid w:val="00CF2017"/>
    <w:rsid w:val="00D02BAF"/>
    <w:rsid w:val="00D035EC"/>
    <w:rsid w:val="00D04FFD"/>
    <w:rsid w:val="00D140C7"/>
    <w:rsid w:val="00D15F06"/>
    <w:rsid w:val="00D20164"/>
    <w:rsid w:val="00D2113B"/>
    <w:rsid w:val="00D40B3B"/>
    <w:rsid w:val="00D40CEB"/>
    <w:rsid w:val="00D41FC4"/>
    <w:rsid w:val="00D7139B"/>
    <w:rsid w:val="00D72806"/>
    <w:rsid w:val="00D74B60"/>
    <w:rsid w:val="00D7539F"/>
    <w:rsid w:val="00D753D3"/>
    <w:rsid w:val="00D82DEE"/>
    <w:rsid w:val="00D871EE"/>
    <w:rsid w:val="00D94B73"/>
    <w:rsid w:val="00D9656B"/>
    <w:rsid w:val="00DA51F1"/>
    <w:rsid w:val="00DB2D9A"/>
    <w:rsid w:val="00DB435C"/>
    <w:rsid w:val="00DB7F32"/>
    <w:rsid w:val="00DC0512"/>
    <w:rsid w:val="00DC0CCE"/>
    <w:rsid w:val="00DC7424"/>
    <w:rsid w:val="00DD4EB3"/>
    <w:rsid w:val="00DD54F7"/>
    <w:rsid w:val="00DE41B2"/>
    <w:rsid w:val="00DE5554"/>
    <w:rsid w:val="00DE7071"/>
    <w:rsid w:val="00DE70E2"/>
    <w:rsid w:val="00DF026C"/>
    <w:rsid w:val="00DF35F8"/>
    <w:rsid w:val="00DF53BF"/>
    <w:rsid w:val="00DF7C8D"/>
    <w:rsid w:val="00E02AC2"/>
    <w:rsid w:val="00E0516A"/>
    <w:rsid w:val="00E05BCE"/>
    <w:rsid w:val="00E159E0"/>
    <w:rsid w:val="00E205D4"/>
    <w:rsid w:val="00E21EDD"/>
    <w:rsid w:val="00E43542"/>
    <w:rsid w:val="00E50AE7"/>
    <w:rsid w:val="00E513D7"/>
    <w:rsid w:val="00E620CE"/>
    <w:rsid w:val="00E84405"/>
    <w:rsid w:val="00E85ED8"/>
    <w:rsid w:val="00E97D29"/>
    <w:rsid w:val="00EB24F1"/>
    <w:rsid w:val="00EB7E28"/>
    <w:rsid w:val="00EC7EE9"/>
    <w:rsid w:val="00ED2757"/>
    <w:rsid w:val="00ED4E81"/>
    <w:rsid w:val="00EF1185"/>
    <w:rsid w:val="00EF1909"/>
    <w:rsid w:val="00EF3A20"/>
    <w:rsid w:val="00F03AC5"/>
    <w:rsid w:val="00F03AE4"/>
    <w:rsid w:val="00F0644F"/>
    <w:rsid w:val="00F11C92"/>
    <w:rsid w:val="00F251F4"/>
    <w:rsid w:val="00F33CCD"/>
    <w:rsid w:val="00F378CA"/>
    <w:rsid w:val="00F441D7"/>
    <w:rsid w:val="00F46CD5"/>
    <w:rsid w:val="00F55B8E"/>
    <w:rsid w:val="00F57067"/>
    <w:rsid w:val="00F60CE9"/>
    <w:rsid w:val="00F62296"/>
    <w:rsid w:val="00F6243B"/>
    <w:rsid w:val="00F72CF8"/>
    <w:rsid w:val="00F738BE"/>
    <w:rsid w:val="00F8398D"/>
    <w:rsid w:val="00F93126"/>
    <w:rsid w:val="00F940E4"/>
    <w:rsid w:val="00F952A7"/>
    <w:rsid w:val="00F9574A"/>
    <w:rsid w:val="00F97084"/>
    <w:rsid w:val="00FA1C61"/>
    <w:rsid w:val="00FA3414"/>
    <w:rsid w:val="00FA61D2"/>
    <w:rsid w:val="00FB0631"/>
    <w:rsid w:val="00FB5687"/>
    <w:rsid w:val="00FC111A"/>
    <w:rsid w:val="00FC4645"/>
    <w:rsid w:val="00FC7F03"/>
    <w:rsid w:val="00FE0155"/>
    <w:rsid w:val="00FE2D1C"/>
    <w:rsid w:val="00FE5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273B729B"/>
  <w15:chartTrackingRefBased/>
  <w15:docId w15:val="{570F56ED-3CF7-474C-8AAF-683E062E8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B71"/>
    <w:pPr>
      <w:jc w:val="both"/>
    </w:pPr>
  </w:style>
  <w:style w:type="paragraph" w:styleId="Heading1">
    <w:name w:val="heading 1"/>
    <w:aliases w:val="Section"/>
    <w:basedOn w:val="Normal"/>
    <w:next w:val="Normal"/>
    <w:link w:val="Heading1Char"/>
    <w:uiPriority w:val="9"/>
    <w:qFormat/>
    <w:rsid w:val="00803347"/>
    <w:pPr>
      <w:keepNext/>
      <w:keepLines/>
      <w:numPr>
        <w:numId w:val="2"/>
      </w:numPr>
      <w:spacing w:after="120"/>
      <w:jc w:val="left"/>
      <w:outlineLvl w:val="0"/>
    </w:pPr>
    <w:rPr>
      <w:rFonts w:ascii="Public Sans Thin" w:eastAsiaTheme="majorEastAsia" w:hAnsi="Public Sans Thin" w:cstheme="majorBidi"/>
      <w:color w:val="272661"/>
      <w:sz w:val="32"/>
      <w:szCs w:val="32"/>
    </w:rPr>
  </w:style>
  <w:style w:type="paragraph" w:styleId="Heading2">
    <w:name w:val="heading 2"/>
    <w:aliases w:val="Subsection"/>
    <w:basedOn w:val="Normal"/>
    <w:next w:val="Normal"/>
    <w:link w:val="Heading2Char"/>
    <w:uiPriority w:val="9"/>
    <w:unhideWhenUsed/>
    <w:qFormat/>
    <w:rsid w:val="006464A0"/>
    <w:pPr>
      <w:keepNext/>
      <w:keepLines/>
      <w:numPr>
        <w:ilvl w:val="1"/>
        <w:numId w:val="2"/>
      </w:numPr>
      <w:spacing w:before="40" w:after="0"/>
      <w:outlineLvl w:val="1"/>
    </w:pPr>
    <w:rPr>
      <w:rFonts w:ascii="Public Sans Thin" w:eastAsiaTheme="majorEastAsia" w:hAnsi="Public Sans Thin" w:cstheme="majorBidi"/>
      <w:color w:val="272661"/>
      <w:sz w:val="28"/>
      <w:szCs w:val="28"/>
    </w:rPr>
  </w:style>
  <w:style w:type="paragraph" w:styleId="Heading3">
    <w:name w:val="heading 3"/>
    <w:aliases w:val="Part"/>
    <w:basedOn w:val="Normal"/>
    <w:next w:val="Normal"/>
    <w:link w:val="Heading3Char"/>
    <w:uiPriority w:val="9"/>
    <w:unhideWhenUsed/>
    <w:qFormat/>
    <w:rsid w:val="00A34B71"/>
    <w:pPr>
      <w:keepNext/>
      <w:keepLines/>
      <w:numPr>
        <w:ilvl w:val="2"/>
        <w:numId w:val="2"/>
      </w:numPr>
      <w:spacing w:before="40" w:after="0"/>
      <w:outlineLvl w:val="2"/>
    </w:pPr>
    <w:rPr>
      <w:rFonts w:ascii="Tw Cen MT" w:eastAsiaTheme="majorEastAsia" w:hAnsi="Tw Cen MT" w:cstheme="majorBidi"/>
      <w:color w:val="272661"/>
      <w:sz w:val="26"/>
      <w:szCs w:val="26"/>
    </w:rPr>
  </w:style>
  <w:style w:type="paragraph" w:styleId="Heading4">
    <w:name w:val="heading 4"/>
    <w:aliases w:val="Subpart"/>
    <w:basedOn w:val="Normal"/>
    <w:next w:val="Normal"/>
    <w:link w:val="Heading4Char"/>
    <w:uiPriority w:val="9"/>
    <w:unhideWhenUsed/>
    <w:qFormat/>
    <w:rsid w:val="008319A6"/>
    <w:pPr>
      <w:keepNext/>
      <w:keepLines/>
      <w:numPr>
        <w:ilvl w:val="3"/>
        <w:numId w:val="2"/>
      </w:numPr>
      <w:spacing w:before="40" w:after="0"/>
      <w:jc w:val="left"/>
      <w:outlineLvl w:val="3"/>
    </w:pPr>
    <w:rPr>
      <w:rFonts w:ascii="Tw Cen MT" w:eastAsiaTheme="majorEastAsia" w:hAnsi="Tw Cen MT" w:cstheme="majorBidi"/>
      <w:color w:val="272661"/>
      <w:sz w:val="24"/>
    </w:rPr>
  </w:style>
  <w:style w:type="paragraph" w:styleId="Heading5">
    <w:name w:val="heading 5"/>
    <w:basedOn w:val="Heading2"/>
    <w:next w:val="Normal"/>
    <w:link w:val="Heading5Char"/>
    <w:uiPriority w:val="9"/>
    <w:unhideWhenUsed/>
    <w:rsid w:val="00A34B71"/>
    <w:pPr>
      <w:outlineLvl w:val="4"/>
    </w:pPr>
  </w:style>
  <w:style w:type="paragraph" w:styleId="Heading6">
    <w:name w:val="heading 6"/>
    <w:aliases w:val="Appendix"/>
    <w:basedOn w:val="Heading1"/>
    <w:next w:val="Normal"/>
    <w:link w:val="Heading6Char"/>
    <w:uiPriority w:val="9"/>
    <w:unhideWhenUsed/>
    <w:qFormat/>
    <w:rsid w:val="00B906D0"/>
    <w:pPr>
      <w:numPr>
        <w:ilvl w:val="4"/>
      </w:numPr>
      <w:ind w:left="0" w:firstLine="0"/>
      <w:outlineLvl w:val="5"/>
    </w:pPr>
  </w:style>
  <w:style w:type="paragraph" w:styleId="Heading7">
    <w:name w:val="heading 7"/>
    <w:aliases w:val="App. Subsection"/>
    <w:basedOn w:val="Heading2"/>
    <w:next w:val="Normal"/>
    <w:link w:val="Heading7Char"/>
    <w:uiPriority w:val="9"/>
    <w:unhideWhenUsed/>
    <w:qFormat/>
    <w:rsid w:val="00A34B71"/>
    <w:pPr>
      <w:numPr>
        <w:ilvl w:val="5"/>
      </w:numPr>
      <w:outlineLvl w:val="6"/>
    </w:pPr>
    <w:rPr>
      <w14:scene3d>
        <w14:camera w14:prst="orthographicFront"/>
        <w14:lightRig w14:rig="threePt" w14:dir="t">
          <w14:rot w14:lat="0" w14:lon="0" w14:rev="0"/>
        </w14:lightRig>
      </w14:scene3d>
    </w:rPr>
  </w:style>
  <w:style w:type="paragraph" w:styleId="Heading8">
    <w:name w:val="heading 8"/>
    <w:aliases w:val="App. Table"/>
    <w:basedOn w:val="Caption"/>
    <w:next w:val="Normal"/>
    <w:link w:val="Heading8Char"/>
    <w:uiPriority w:val="9"/>
    <w:unhideWhenUsed/>
    <w:qFormat/>
    <w:rsid w:val="00A34B71"/>
    <w:pPr>
      <w:numPr>
        <w:ilvl w:val="7"/>
        <w:numId w:val="2"/>
      </w:numPr>
      <w:outlineLvl w:val="7"/>
    </w:pPr>
  </w:style>
  <w:style w:type="paragraph" w:styleId="Heading9">
    <w:name w:val="heading 9"/>
    <w:aliases w:val="Area Sources"/>
    <w:next w:val="Normal"/>
    <w:link w:val="Heading9Char"/>
    <w:autoRedefine/>
    <w:uiPriority w:val="9"/>
    <w:unhideWhenUsed/>
    <w:qFormat/>
    <w:rsid w:val="00A34B71"/>
    <w:pPr>
      <w:numPr>
        <w:ilvl w:val="8"/>
        <w:numId w:val="2"/>
      </w:numPr>
      <w:outlineLvl w:val="8"/>
    </w:pPr>
    <w:rPr>
      <w:rFonts w:ascii="Tw Cen MT" w:hAnsi="Tw Cen MT" w:cs="Arial"/>
      <w:b/>
      <w:bCs/>
      <w:color w:val="27266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803347"/>
    <w:rPr>
      <w:rFonts w:ascii="Public Sans Thin" w:eastAsiaTheme="majorEastAsia" w:hAnsi="Public Sans Thin" w:cstheme="majorBidi"/>
      <w:color w:val="272661"/>
      <w:sz w:val="32"/>
      <w:szCs w:val="32"/>
    </w:rPr>
  </w:style>
  <w:style w:type="character" w:customStyle="1" w:styleId="Heading2Char">
    <w:name w:val="Heading 2 Char"/>
    <w:aliases w:val="Subsection Char"/>
    <w:basedOn w:val="DefaultParagraphFont"/>
    <w:link w:val="Heading2"/>
    <w:uiPriority w:val="9"/>
    <w:rsid w:val="006464A0"/>
    <w:rPr>
      <w:rFonts w:ascii="Public Sans Thin" w:eastAsiaTheme="majorEastAsia" w:hAnsi="Public Sans Thin" w:cstheme="majorBidi"/>
      <w:color w:val="272661"/>
      <w:sz w:val="28"/>
      <w:szCs w:val="28"/>
    </w:rPr>
  </w:style>
  <w:style w:type="character" w:customStyle="1" w:styleId="Heading3Char">
    <w:name w:val="Heading 3 Char"/>
    <w:aliases w:val="Part Char"/>
    <w:basedOn w:val="DefaultParagraphFont"/>
    <w:link w:val="Heading3"/>
    <w:uiPriority w:val="9"/>
    <w:rsid w:val="00A34B71"/>
    <w:rPr>
      <w:rFonts w:ascii="Tw Cen MT" w:eastAsiaTheme="majorEastAsia" w:hAnsi="Tw Cen MT" w:cstheme="majorBidi"/>
      <w:color w:val="272661"/>
      <w:sz w:val="26"/>
      <w:szCs w:val="26"/>
    </w:rPr>
  </w:style>
  <w:style w:type="character" w:customStyle="1" w:styleId="Heading4Char">
    <w:name w:val="Heading 4 Char"/>
    <w:aliases w:val="Subpart Char"/>
    <w:basedOn w:val="DefaultParagraphFont"/>
    <w:link w:val="Heading4"/>
    <w:uiPriority w:val="9"/>
    <w:rsid w:val="008319A6"/>
    <w:rPr>
      <w:rFonts w:ascii="Tw Cen MT" w:eastAsiaTheme="majorEastAsia" w:hAnsi="Tw Cen MT" w:cstheme="majorBidi"/>
      <w:color w:val="272661"/>
      <w:sz w:val="24"/>
    </w:rPr>
  </w:style>
  <w:style w:type="character" w:customStyle="1" w:styleId="Heading5Char">
    <w:name w:val="Heading 5 Char"/>
    <w:basedOn w:val="DefaultParagraphFont"/>
    <w:link w:val="Heading5"/>
    <w:uiPriority w:val="9"/>
    <w:rsid w:val="00A34B71"/>
    <w:rPr>
      <w:rFonts w:ascii="Public Sans Thin" w:eastAsiaTheme="majorEastAsia" w:hAnsi="Public Sans Thin" w:cstheme="majorBidi"/>
      <w:color w:val="272661"/>
      <w:sz w:val="28"/>
      <w:szCs w:val="28"/>
    </w:rPr>
  </w:style>
  <w:style w:type="character" w:customStyle="1" w:styleId="Heading6Char">
    <w:name w:val="Heading 6 Char"/>
    <w:aliases w:val="Appendix Char"/>
    <w:basedOn w:val="DefaultParagraphFont"/>
    <w:link w:val="Heading6"/>
    <w:uiPriority w:val="9"/>
    <w:rsid w:val="00B906D0"/>
    <w:rPr>
      <w:rFonts w:ascii="Public Sans Thin" w:eastAsiaTheme="majorEastAsia" w:hAnsi="Public Sans Thin" w:cstheme="majorBidi"/>
      <w:color w:val="272661"/>
      <w:sz w:val="32"/>
      <w:szCs w:val="32"/>
    </w:rPr>
  </w:style>
  <w:style w:type="character" w:customStyle="1" w:styleId="Heading7Char">
    <w:name w:val="Heading 7 Char"/>
    <w:aliases w:val="App. Subsection Char"/>
    <w:basedOn w:val="DefaultParagraphFont"/>
    <w:link w:val="Heading7"/>
    <w:uiPriority w:val="9"/>
    <w:rsid w:val="00A34B71"/>
    <w:rPr>
      <w:rFonts w:ascii="Public Sans Thin" w:eastAsiaTheme="majorEastAsia" w:hAnsi="Public Sans Thin" w:cstheme="majorBidi"/>
      <w:color w:val="272661"/>
      <w:sz w:val="28"/>
      <w:szCs w:val="28"/>
      <w14:scene3d>
        <w14:camera w14:prst="orthographicFront"/>
        <w14:lightRig w14:rig="threePt" w14:dir="t">
          <w14:rot w14:lat="0" w14:lon="0" w14:rev="0"/>
        </w14:lightRig>
      </w14:scene3d>
    </w:rPr>
  </w:style>
  <w:style w:type="character" w:customStyle="1" w:styleId="Heading8Char">
    <w:name w:val="Heading 8 Char"/>
    <w:aliases w:val="App. Table Char"/>
    <w:basedOn w:val="DefaultParagraphFont"/>
    <w:link w:val="Heading8"/>
    <w:uiPriority w:val="9"/>
    <w:rsid w:val="00A34B71"/>
    <w:rPr>
      <w:color w:val="000000" w:themeColor="text1"/>
      <w:sz w:val="18"/>
    </w:rPr>
  </w:style>
  <w:style w:type="character" w:customStyle="1" w:styleId="Heading9Char">
    <w:name w:val="Heading 9 Char"/>
    <w:aliases w:val="Area Sources Char"/>
    <w:basedOn w:val="DefaultParagraphFont"/>
    <w:link w:val="Heading9"/>
    <w:uiPriority w:val="9"/>
    <w:rsid w:val="00A34B71"/>
    <w:rPr>
      <w:rFonts w:ascii="Tw Cen MT" w:hAnsi="Tw Cen MT" w:cs="Arial"/>
      <w:b/>
      <w:bCs/>
      <w:color w:val="272661"/>
      <w:sz w:val="28"/>
      <w:szCs w:val="24"/>
    </w:rPr>
  </w:style>
  <w:style w:type="paragraph" w:styleId="Caption">
    <w:name w:val="caption"/>
    <w:basedOn w:val="Normal"/>
    <w:next w:val="Normal"/>
    <w:uiPriority w:val="35"/>
    <w:unhideWhenUsed/>
    <w:qFormat/>
    <w:rsid w:val="00A34B71"/>
    <w:pPr>
      <w:keepNext/>
      <w:spacing w:after="0" w:line="240" w:lineRule="auto"/>
      <w:jc w:val="center"/>
    </w:pPr>
    <w:rPr>
      <w:color w:val="000000" w:themeColor="text1"/>
      <w:sz w:val="18"/>
    </w:rPr>
  </w:style>
  <w:style w:type="paragraph" w:styleId="Header">
    <w:name w:val="header"/>
    <w:basedOn w:val="Normal"/>
    <w:link w:val="HeaderChar"/>
    <w:uiPriority w:val="99"/>
    <w:unhideWhenUsed/>
    <w:rsid w:val="00A34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B71"/>
  </w:style>
  <w:style w:type="paragraph" w:styleId="Footer">
    <w:name w:val="footer"/>
    <w:basedOn w:val="Normal"/>
    <w:link w:val="FooterChar"/>
    <w:uiPriority w:val="99"/>
    <w:unhideWhenUsed/>
    <w:rsid w:val="00A34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B71"/>
  </w:style>
  <w:style w:type="character" w:styleId="PlaceholderText">
    <w:name w:val="Placeholder Text"/>
    <w:basedOn w:val="DefaultParagraphFont"/>
    <w:uiPriority w:val="99"/>
    <w:semiHidden/>
    <w:rsid w:val="00A34B71"/>
    <w:rPr>
      <w:color w:val="808080"/>
    </w:rPr>
  </w:style>
  <w:style w:type="character" w:styleId="CommentReference">
    <w:name w:val="annotation reference"/>
    <w:basedOn w:val="DefaultParagraphFont"/>
    <w:uiPriority w:val="99"/>
    <w:semiHidden/>
    <w:unhideWhenUsed/>
    <w:rsid w:val="00A34B71"/>
    <w:rPr>
      <w:sz w:val="16"/>
      <w:szCs w:val="16"/>
    </w:rPr>
  </w:style>
  <w:style w:type="paragraph" w:styleId="CommentText">
    <w:name w:val="annotation text"/>
    <w:basedOn w:val="Normal"/>
    <w:link w:val="CommentTextChar"/>
    <w:uiPriority w:val="99"/>
    <w:unhideWhenUsed/>
    <w:rsid w:val="00A34B71"/>
    <w:pPr>
      <w:spacing w:line="240" w:lineRule="auto"/>
    </w:pPr>
    <w:rPr>
      <w:sz w:val="20"/>
      <w:szCs w:val="20"/>
    </w:rPr>
  </w:style>
  <w:style w:type="character" w:customStyle="1" w:styleId="CommentTextChar">
    <w:name w:val="Comment Text Char"/>
    <w:basedOn w:val="DefaultParagraphFont"/>
    <w:link w:val="CommentText"/>
    <w:uiPriority w:val="99"/>
    <w:rsid w:val="00A34B71"/>
    <w:rPr>
      <w:sz w:val="20"/>
      <w:szCs w:val="20"/>
    </w:rPr>
  </w:style>
  <w:style w:type="paragraph" w:styleId="CommentSubject">
    <w:name w:val="annotation subject"/>
    <w:basedOn w:val="CommentText"/>
    <w:next w:val="CommentText"/>
    <w:link w:val="CommentSubjectChar"/>
    <w:uiPriority w:val="99"/>
    <w:semiHidden/>
    <w:unhideWhenUsed/>
    <w:rsid w:val="00A34B71"/>
    <w:rPr>
      <w:b/>
      <w:bCs/>
    </w:rPr>
  </w:style>
  <w:style w:type="character" w:customStyle="1" w:styleId="CommentSubjectChar">
    <w:name w:val="Comment Subject Char"/>
    <w:basedOn w:val="CommentTextChar"/>
    <w:link w:val="CommentSubject"/>
    <w:uiPriority w:val="99"/>
    <w:semiHidden/>
    <w:rsid w:val="00A34B71"/>
    <w:rPr>
      <w:b/>
      <w:bCs/>
      <w:sz w:val="20"/>
      <w:szCs w:val="20"/>
    </w:rPr>
  </w:style>
  <w:style w:type="paragraph" w:styleId="BalloonText">
    <w:name w:val="Balloon Text"/>
    <w:basedOn w:val="Normal"/>
    <w:link w:val="BalloonTextChar"/>
    <w:uiPriority w:val="99"/>
    <w:semiHidden/>
    <w:unhideWhenUsed/>
    <w:rsid w:val="00A34B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B71"/>
    <w:rPr>
      <w:rFonts w:ascii="Segoe UI" w:hAnsi="Segoe UI" w:cs="Segoe UI"/>
      <w:sz w:val="18"/>
      <w:szCs w:val="18"/>
    </w:rPr>
  </w:style>
  <w:style w:type="paragraph" w:styleId="FootnoteText">
    <w:name w:val="footnote text"/>
    <w:basedOn w:val="Normal"/>
    <w:link w:val="FootnoteTextChar"/>
    <w:uiPriority w:val="99"/>
    <w:unhideWhenUsed/>
    <w:rsid w:val="00A34B71"/>
    <w:pPr>
      <w:spacing w:after="0" w:line="240" w:lineRule="auto"/>
    </w:pPr>
    <w:rPr>
      <w:sz w:val="20"/>
      <w:szCs w:val="20"/>
    </w:rPr>
  </w:style>
  <w:style w:type="character" w:customStyle="1" w:styleId="FootnoteTextChar">
    <w:name w:val="Footnote Text Char"/>
    <w:basedOn w:val="DefaultParagraphFont"/>
    <w:link w:val="FootnoteText"/>
    <w:uiPriority w:val="99"/>
    <w:rsid w:val="00A34B71"/>
    <w:rPr>
      <w:sz w:val="20"/>
      <w:szCs w:val="20"/>
    </w:rPr>
  </w:style>
  <w:style w:type="character" w:styleId="FootnoteReference">
    <w:name w:val="footnote reference"/>
    <w:basedOn w:val="DefaultParagraphFont"/>
    <w:uiPriority w:val="99"/>
    <w:semiHidden/>
    <w:unhideWhenUsed/>
    <w:rsid w:val="00A34B71"/>
    <w:rPr>
      <w:vertAlign w:val="superscript"/>
    </w:rPr>
  </w:style>
  <w:style w:type="character" w:customStyle="1" w:styleId="A0">
    <w:name w:val="A0"/>
    <w:uiPriority w:val="99"/>
    <w:rsid w:val="00A34B71"/>
    <w:rPr>
      <w:rFonts w:cs="Goudy Oldstyle Std"/>
      <w:b/>
      <w:bCs/>
      <w:color w:val="000000"/>
      <w:sz w:val="48"/>
      <w:szCs w:val="48"/>
    </w:rPr>
  </w:style>
  <w:style w:type="paragraph" w:styleId="ListParagraph">
    <w:name w:val="List Paragraph"/>
    <w:basedOn w:val="Normal"/>
    <w:uiPriority w:val="34"/>
    <w:qFormat/>
    <w:rsid w:val="00A34B71"/>
    <w:pPr>
      <w:ind w:left="720"/>
      <w:contextualSpacing/>
    </w:pPr>
  </w:style>
  <w:style w:type="character" w:styleId="Hyperlink">
    <w:name w:val="Hyperlink"/>
    <w:uiPriority w:val="99"/>
    <w:rsid w:val="00A34B71"/>
    <w:rPr>
      <w:color w:val="0000FF"/>
      <w:u w:val="single"/>
    </w:rPr>
  </w:style>
  <w:style w:type="paragraph" w:customStyle="1" w:styleId="psection-1">
    <w:name w:val="psection-1"/>
    <w:basedOn w:val="Normal"/>
    <w:rsid w:val="00A34B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rsid w:val="00A34B71"/>
  </w:style>
  <w:style w:type="character" w:customStyle="1" w:styleId="et03">
    <w:name w:val="et03"/>
    <w:rsid w:val="00A34B71"/>
  </w:style>
  <w:style w:type="paragraph" w:customStyle="1" w:styleId="psection-2">
    <w:name w:val="psection-2"/>
    <w:basedOn w:val="Normal"/>
    <w:rsid w:val="00A34B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
    <w:name w:val="sup"/>
    <w:rsid w:val="00A34B71"/>
  </w:style>
  <w:style w:type="paragraph" w:customStyle="1" w:styleId="psection-3">
    <w:name w:val="psection-3"/>
    <w:basedOn w:val="Normal"/>
    <w:rsid w:val="00A34B7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34B71"/>
    <w:pPr>
      <w:spacing w:after="0" w:line="240" w:lineRule="auto"/>
    </w:pPr>
  </w:style>
  <w:style w:type="table" w:styleId="TableGrid">
    <w:name w:val="Table Grid"/>
    <w:basedOn w:val="TableNormal"/>
    <w:uiPriority w:val="39"/>
    <w:rsid w:val="00A34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34B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4B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4B7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34B71"/>
    <w:rPr>
      <w:rFonts w:eastAsiaTheme="minorEastAsia"/>
      <w:color w:val="5A5A5A" w:themeColor="text1" w:themeTint="A5"/>
      <w:spacing w:val="15"/>
    </w:rPr>
  </w:style>
  <w:style w:type="table" w:styleId="GridTable4-Accent1">
    <w:name w:val="Grid Table 4 Accent 1"/>
    <w:basedOn w:val="TableNormal"/>
    <w:uiPriority w:val="49"/>
    <w:rsid w:val="00A34B7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A34B71"/>
    <w:pPr>
      <w:ind w:left="0" w:firstLine="0"/>
      <w:outlineLvl w:val="9"/>
    </w:pPr>
  </w:style>
  <w:style w:type="paragraph" w:styleId="TOC1">
    <w:name w:val="toc 1"/>
    <w:basedOn w:val="Normal"/>
    <w:next w:val="Normal"/>
    <w:autoRedefine/>
    <w:uiPriority w:val="39"/>
    <w:unhideWhenUsed/>
    <w:rsid w:val="00A34B71"/>
    <w:pPr>
      <w:tabs>
        <w:tab w:val="left" w:pos="1100"/>
        <w:tab w:val="right" w:leader="dot" w:pos="10790"/>
      </w:tabs>
      <w:spacing w:after="100"/>
    </w:pPr>
  </w:style>
  <w:style w:type="paragraph" w:styleId="TOC2">
    <w:name w:val="toc 2"/>
    <w:basedOn w:val="Normal"/>
    <w:next w:val="Normal"/>
    <w:autoRedefine/>
    <w:uiPriority w:val="39"/>
    <w:unhideWhenUsed/>
    <w:rsid w:val="00A34B71"/>
    <w:pPr>
      <w:spacing w:after="100"/>
      <w:ind w:left="220"/>
    </w:pPr>
  </w:style>
  <w:style w:type="table" w:styleId="ListTable3-Accent1">
    <w:name w:val="List Table 3 Accent 1"/>
    <w:basedOn w:val="TableNormal"/>
    <w:uiPriority w:val="48"/>
    <w:rsid w:val="00A34B7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OC3">
    <w:name w:val="toc 3"/>
    <w:basedOn w:val="Normal"/>
    <w:next w:val="Normal"/>
    <w:autoRedefine/>
    <w:uiPriority w:val="39"/>
    <w:unhideWhenUsed/>
    <w:rsid w:val="00A34B71"/>
    <w:pPr>
      <w:spacing w:after="100"/>
      <w:ind w:left="440"/>
    </w:pPr>
  </w:style>
  <w:style w:type="character" w:styleId="FollowedHyperlink">
    <w:name w:val="FollowedHyperlink"/>
    <w:basedOn w:val="DefaultParagraphFont"/>
    <w:uiPriority w:val="99"/>
    <w:semiHidden/>
    <w:unhideWhenUsed/>
    <w:rsid w:val="00A34B71"/>
    <w:rPr>
      <w:color w:val="954F72" w:themeColor="followedHyperlink"/>
      <w:u w:val="single"/>
    </w:rPr>
  </w:style>
  <w:style w:type="paragraph" w:customStyle="1" w:styleId="xl32">
    <w:name w:val="xl32"/>
    <w:basedOn w:val="Normal"/>
    <w:rsid w:val="00A34B71"/>
    <w:pP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unhideWhenUsed/>
    <w:rsid w:val="00A34B71"/>
    <w:rPr>
      <w:color w:val="605E5C"/>
      <w:shd w:val="clear" w:color="auto" w:fill="E1DFDD"/>
    </w:rPr>
  </w:style>
  <w:style w:type="paragraph" w:customStyle="1" w:styleId="OmniPage1">
    <w:name w:val="OmniPage #1"/>
    <w:rsid w:val="00A34B71"/>
    <w:pPr>
      <w:tabs>
        <w:tab w:val="left" w:pos="219"/>
        <w:tab w:val="right" w:pos="7891"/>
      </w:tabs>
      <w:spacing w:after="0" w:line="240" w:lineRule="auto"/>
      <w:jc w:val="center"/>
    </w:pPr>
    <w:rPr>
      <w:rFonts w:ascii="Times" w:eastAsia="Times New Roman" w:hAnsi="Times" w:cs="Times New Roman"/>
      <w:sz w:val="20"/>
      <w:szCs w:val="20"/>
    </w:rPr>
  </w:style>
  <w:style w:type="paragraph" w:styleId="BodyText">
    <w:name w:val="Body Text"/>
    <w:basedOn w:val="Normal"/>
    <w:link w:val="BodyTextChar"/>
    <w:semiHidden/>
    <w:rsid w:val="00A34B71"/>
    <w:pPr>
      <w:keepNext/>
      <w:widowControl w:val="0"/>
      <w:spacing w:after="0" w:line="240" w:lineRule="auto"/>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semiHidden/>
    <w:rsid w:val="00A34B71"/>
    <w:rPr>
      <w:rFonts w:ascii="Times New Roman" w:eastAsia="Times New Roman" w:hAnsi="Times New Roman" w:cs="Times New Roman"/>
      <w:snapToGrid w:val="0"/>
      <w:sz w:val="24"/>
      <w:szCs w:val="20"/>
    </w:rPr>
  </w:style>
  <w:style w:type="paragraph" w:styleId="NoSpacing">
    <w:name w:val="No Spacing"/>
    <w:link w:val="NoSpacingChar"/>
    <w:uiPriority w:val="1"/>
    <w:qFormat/>
    <w:rsid w:val="00A34B71"/>
    <w:pPr>
      <w:spacing w:after="0" w:line="240" w:lineRule="auto"/>
    </w:pPr>
    <w:rPr>
      <w:rFonts w:eastAsiaTheme="minorEastAsia"/>
    </w:rPr>
  </w:style>
  <w:style w:type="character" w:customStyle="1" w:styleId="NoSpacingChar">
    <w:name w:val="No Spacing Char"/>
    <w:basedOn w:val="DefaultParagraphFont"/>
    <w:link w:val="NoSpacing"/>
    <w:uiPriority w:val="1"/>
    <w:rsid w:val="00A34B71"/>
    <w:rPr>
      <w:rFonts w:eastAsiaTheme="minorEastAsia"/>
    </w:rPr>
  </w:style>
  <w:style w:type="paragraph" w:styleId="Bibliography">
    <w:name w:val="Bibliography"/>
    <w:basedOn w:val="Normal"/>
    <w:next w:val="Normal"/>
    <w:uiPriority w:val="37"/>
    <w:unhideWhenUsed/>
    <w:rsid w:val="00A34B71"/>
  </w:style>
  <w:style w:type="character" w:customStyle="1" w:styleId="Mention1">
    <w:name w:val="Mention1"/>
    <w:basedOn w:val="DefaultParagraphFont"/>
    <w:uiPriority w:val="99"/>
    <w:unhideWhenUsed/>
    <w:rsid w:val="00A34B71"/>
    <w:rPr>
      <w:color w:val="2B579A"/>
      <w:shd w:val="clear" w:color="auto" w:fill="E1DFDD"/>
    </w:rPr>
  </w:style>
  <w:style w:type="character" w:customStyle="1" w:styleId="UnresolvedMention2">
    <w:name w:val="Unresolved Mention2"/>
    <w:basedOn w:val="DefaultParagraphFont"/>
    <w:uiPriority w:val="99"/>
    <w:unhideWhenUsed/>
    <w:rsid w:val="00A34B71"/>
    <w:rPr>
      <w:color w:val="605E5C"/>
      <w:shd w:val="clear" w:color="auto" w:fill="E1DFDD"/>
    </w:rPr>
  </w:style>
  <w:style w:type="character" w:customStyle="1" w:styleId="Mention2">
    <w:name w:val="Mention2"/>
    <w:basedOn w:val="DefaultParagraphFont"/>
    <w:uiPriority w:val="99"/>
    <w:unhideWhenUsed/>
    <w:rsid w:val="00A34B71"/>
    <w:rPr>
      <w:color w:val="2B579A"/>
      <w:shd w:val="clear" w:color="auto" w:fill="E1DFDD"/>
    </w:rPr>
  </w:style>
  <w:style w:type="character" w:customStyle="1" w:styleId="UnresolvedMention3">
    <w:name w:val="Unresolved Mention3"/>
    <w:basedOn w:val="DefaultParagraphFont"/>
    <w:uiPriority w:val="99"/>
    <w:unhideWhenUsed/>
    <w:rsid w:val="00A34B71"/>
    <w:rPr>
      <w:color w:val="605E5C"/>
      <w:shd w:val="clear" w:color="auto" w:fill="E1DFDD"/>
    </w:rPr>
  </w:style>
  <w:style w:type="character" w:customStyle="1" w:styleId="Mention3">
    <w:name w:val="Mention3"/>
    <w:basedOn w:val="DefaultParagraphFont"/>
    <w:uiPriority w:val="99"/>
    <w:unhideWhenUsed/>
    <w:rsid w:val="00A34B71"/>
    <w:rPr>
      <w:color w:val="2B579A"/>
      <w:shd w:val="clear" w:color="auto" w:fill="E1DFDD"/>
    </w:rPr>
  </w:style>
  <w:style w:type="paragraph" w:styleId="TOC4">
    <w:name w:val="toc 4"/>
    <w:basedOn w:val="Normal"/>
    <w:next w:val="Normal"/>
    <w:autoRedefine/>
    <w:uiPriority w:val="39"/>
    <w:unhideWhenUsed/>
    <w:rsid w:val="00A34B71"/>
    <w:pPr>
      <w:spacing w:after="100"/>
      <w:ind w:left="660"/>
    </w:pPr>
  </w:style>
  <w:style w:type="paragraph" w:styleId="EndnoteText">
    <w:name w:val="endnote text"/>
    <w:basedOn w:val="Normal"/>
    <w:link w:val="EndnoteTextChar"/>
    <w:uiPriority w:val="99"/>
    <w:semiHidden/>
    <w:unhideWhenUsed/>
    <w:rsid w:val="00A34B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4B71"/>
    <w:rPr>
      <w:sz w:val="20"/>
      <w:szCs w:val="20"/>
    </w:rPr>
  </w:style>
  <w:style w:type="character" w:styleId="EndnoteReference">
    <w:name w:val="endnote reference"/>
    <w:basedOn w:val="DefaultParagraphFont"/>
    <w:uiPriority w:val="99"/>
    <w:semiHidden/>
    <w:unhideWhenUsed/>
    <w:rsid w:val="00A34B71"/>
    <w:rPr>
      <w:vertAlign w:val="superscript"/>
    </w:rPr>
  </w:style>
  <w:style w:type="character" w:customStyle="1" w:styleId="UnresolvedMention4">
    <w:name w:val="Unresolved Mention4"/>
    <w:basedOn w:val="DefaultParagraphFont"/>
    <w:uiPriority w:val="99"/>
    <w:unhideWhenUsed/>
    <w:rsid w:val="00A34B71"/>
    <w:rPr>
      <w:color w:val="605E5C"/>
      <w:shd w:val="clear" w:color="auto" w:fill="E1DFDD"/>
    </w:rPr>
  </w:style>
  <w:style w:type="character" w:customStyle="1" w:styleId="Mention4">
    <w:name w:val="Mention4"/>
    <w:basedOn w:val="DefaultParagraphFont"/>
    <w:uiPriority w:val="99"/>
    <w:unhideWhenUsed/>
    <w:rsid w:val="00A34B71"/>
    <w:rPr>
      <w:color w:val="2B579A"/>
      <w:shd w:val="clear" w:color="auto" w:fill="E1DFDD"/>
    </w:rPr>
  </w:style>
  <w:style w:type="character" w:customStyle="1" w:styleId="UnresolvedMention5">
    <w:name w:val="Unresolved Mention5"/>
    <w:basedOn w:val="DefaultParagraphFont"/>
    <w:uiPriority w:val="99"/>
    <w:semiHidden/>
    <w:unhideWhenUsed/>
    <w:rsid w:val="00A34B71"/>
    <w:rPr>
      <w:color w:val="605E5C"/>
      <w:shd w:val="clear" w:color="auto" w:fill="E1DFDD"/>
    </w:rPr>
  </w:style>
  <w:style w:type="character" w:customStyle="1" w:styleId="UnresolvedMention6">
    <w:name w:val="Unresolved Mention6"/>
    <w:basedOn w:val="DefaultParagraphFont"/>
    <w:uiPriority w:val="99"/>
    <w:semiHidden/>
    <w:unhideWhenUsed/>
    <w:rsid w:val="00A34B71"/>
    <w:rPr>
      <w:color w:val="605E5C"/>
      <w:shd w:val="clear" w:color="auto" w:fill="E1DFDD"/>
    </w:rPr>
  </w:style>
  <w:style w:type="character" w:customStyle="1" w:styleId="UnresolvedMention7">
    <w:name w:val="Unresolved Mention7"/>
    <w:basedOn w:val="DefaultParagraphFont"/>
    <w:uiPriority w:val="99"/>
    <w:semiHidden/>
    <w:unhideWhenUsed/>
    <w:rsid w:val="00A34B71"/>
    <w:rPr>
      <w:color w:val="605E5C"/>
      <w:shd w:val="clear" w:color="auto" w:fill="E1DFDD"/>
    </w:rPr>
  </w:style>
  <w:style w:type="paragraph" w:customStyle="1" w:styleId="Default">
    <w:name w:val="Default"/>
    <w:rsid w:val="00A34B71"/>
    <w:pPr>
      <w:autoSpaceDE w:val="0"/>
      <w:autoSpaceDN w:val="0"/>
      <w:adjustRightInd w:val="0"/>
      <w:spacing w:after="0" w:line="240" w:lineRule="auto"/>
    </w:pPr>
    <w:rPr>
      <w:rFonts w:ascii="Calibri" w:hAnsi="Calibri" w:cs="Calibri"/>
      <w:color w:val="000000"/>
      <w:sz w:val="24"/>
      <w:szCs w:val="24"/>
    </w:rPr>
  </w:style>
  <w:style w:type="character" w:customStyle="1" w:styleId="UnresolvedMention8">
    <w:name w:val="Unresolved Mention8"/>
    <w:basedOn w:val="DefaultParagraphFont"/>
    <w:uiPriority w:val="99"/>
    <w:unhideWhenUsed/>
    <w:rsid w:val="00A34B71"/>
    <w:rPr>
      <w:color w:val="605E5C"/>
      <w:shd w:val="clear" w:color="auto" w:fill="E1DFDD"/>
    </w:rPr>
  </w:style>
  <w:style w:type="character" w:customStyle="1" w:styleId="Mention5">
    <w:name w:val="Mention5"/>
    <w:basedOn w:val="DefaultParagraphFont"/>
    <w:uiPriority w:val="99"/>
    <w:unhideWhenUsed/>
    <w:rsid w:val="00A34B71"/>
    <w:rPr>
      <w:color w:val="2B579A"/>
      <w:shd w:val="clear" w:color="auto" w:fill="E1DFDD"/>
    </w:rPr>
  </w:style>
  <w:style w:type="paragraph" w:customStyle="1" w:styleId="xl82">
    <w:name w:val="xl82"/>
    <w:basedOn w:val="Normal"/>
    <w:rsid w:val="00A34B71"/>
    <w:pPr>
      <w:pBdr>
        <w:top w:val="single" w:sz="8" w:space="0" w:color="00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character" w:customStyle="1" w:styleId="UnresolvedMention10">
    <w:name w:val="Unresolved Mention10"/>
    <w:basedOn w:val="DefaultParagraphFont"/>
    <w:uiPriority w:val="99"/>
    <w:semiHidden/>
    <w:unhideWhenUsed/>
    <w:rsid w:val="00A34B71"/>
    <w:rPr>
      <w:color w:val="605E5C"/>
      <w:shd w:val="clear" w:color="auto" w:fill="E1DFDD"/>
    </w:rPr>
  </w:style>
  <w:style w:type="character" w:customStyle="1" w:styleId="UnresolvedMention9">
    <w:name w:val="Unresolved Mention9"/>
    <w:basedOn w:val="DefaultParagraphFont"/>
    <w:uiPriority w:val="99"/>
    <w:unhideWhenUsed/>
    <w:rsid w:val="00A34B71"/>
    <w:rPr>
      <w:color w:val="605E5C"/>
      <w:shd w:val="clear" w:color="auto" w:fill="E1DFDD"/>
    </w:rPr>
  </w:style>
  <w:style w:type="character" w:customStyle="1" w:styleId="Mention6">
    <w:name w:val="Mention6"/>
    <w:basedOn w:val="DefaultParagraphFont"/>
    <w:uiPriority w:val="99"/>
    <w:unhideWhenUsed/>
    <w:rsid w:val="00A34B71"/>
    <w:rPr>
      <w:color w:val="2B579A"/>
      <w:shd w:val="clear" w:color="auto" w:fill="E1DFDD"/>
    </w:rPr>
  </w:style>
  <w:style w:type="character" w:customStyle="1" w:styleId="UnresolvedMention11">
    <w:name w:val="Unresolved Mention11"/>
    <w:basedOn w:val="DefaultParagraphFont"/>
    <w:uiPriority w:val="99"/>
    <w:unhideWhenUsed/>
    <w:rsid w:val="00A34B71"/>
    <w:rPr>
      <w:color w:val="605E5C"/>
      <w:shd w:val="clear" w:color="auto" w:fill="E1DFDD"/>
    </w:rPr>
  </w:style>
  <w:style w:type="character" w:customStyle="1" w:styleId="UnresolvedMention110">
    <w:name w:val="Unresolved Mention110"/>
    <w:basedOn w:val="DefaultParagraphFont"/>
    <w:uiPriority w:val="99"/>
    <w:semiHidden/>
    <w:unhideWhenUsed/>
    <w:rsid w:val="00A34B71"/>
    <w:rPr>
      <w:color w:val="605E5C"/>
      <w:shd w:val="clear" w:color="auto" w:fill="E1DFDD"/>
    </w:rPr>
  </w:style>
  <w:style w:type="paragraph" w:styleId="NormalWeb">
    <w:name w:val="Normal (Web)"/>
    <w:basedOn w:val="Normal"/>
    <w:uiPriority w:val="99"/>
    <w:semiHidden/>
    <w:unhideWhenUsed/>
    <w:rsid w:val="00A34B7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tion7">
    <w:name w:val="Mention7"/>
    <w:basedOn w:val="DefaultParagraphFont"/>
    <w:uiPriority w:val="99"/>
    <w:unhideWhenUsed/>
    <w:rsid w:val="00A34B71"/>
    <w:rPr>
      <w:color w:val="2B579A"/>
      <w:shd w:val="clear" w:color="auto" w:fill="E1DFDD"/>
    </w:rPr>
  </w:style>
  <w:style w:type="paragraph" w:customStyle="1" w:styleId="msonormal0">
    <w:name w:val="msonormal"/>
    <w:basedOn w:val="Normal"/>
    <w:rsid w:val="00A34B7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ont5">
    <w:name w:val="font5"/>
    <w:basedOn w:val="Normal"/>
    <w:rsid w:val="00A34B71"/>
    <w:pPr>
      <w:spacing w:before="100" w:beforeAutospacing="1" w:after="100" w:afterAutospacing="1" w:line="240" w:lineRule="auto"/>
      <w:jc w:val="left"/>
    </w:pPr>
    <w:rPr>
      <w:rFonts w:ascii="Calibri" w:eastAsia="Times New Roman" w:hAnsi="Calibri" w:cs="Calibri"/>
      <w:b/>
      <w:bCs/>
    </w:rPr>
  </w:style>
  <w:style w:type="paragraph" w:customStyle="1" w:styleId="font6">
    <w:name w:val="font6"/>
    <w:basedOn w:val="Normal"/>
    <w:rsid w:val="00A34B71"/>
    <w:pPr>
      <w:spacing w:before="100" w:beforeAutospacing="1" w:after="100" w:afterAutospacing="1" w:line="240" w:lineRule="auto"/>
      <w:jc w:val="left"/>
    </w:pPr>
    <w:rPr>
      <w:rFonts w:ascii="Calibri" w:eastAsia="Times New Roman" w:hAnsi="Calibri" w:cs="Calibri"/>
      <w:b/>
      <w:bCs/>
    </w:rPr>
  </w:style>
  <w:style w:type="paragraph" w:customStyle="1" w:styleId="xl63">
    <w:name w:val="xl63"/>
    <w:basedOn w:val="Normal"/>
    <w:rsid w:val="00A34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4">
    <w:name w:val="xl64"/>
    <w:basedOn w:val="Normal"/>
    <w:rsid w:val="00A34B7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5">
    <w:name w:val="xl65"/>
    <w:basedOn w:val="Normal"/>
    <w:rsid w:val="00A34B7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6">
    <w:name w:val="xl66"/>
    <w:basedOn w:val="Normal"/>
    <w:rsid w:val="00A34B7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A34B7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8">
    <w:name w:val="xl68"/>
    <w:basedOn w:val="Normal"/>
    <w:rsid w:val="00A34B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A34B7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34B7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A34B7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A34B7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A34B7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A34B7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A34B71"/>
    <w:pPr>
      <w:pBdr>
        <w:top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6">
    <w:name w:val="xl76"/>
    <w:basedOn w:val="Normal"/>
    <w:rsid w:val="00A34B7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A34B71"/>
    <w:pPr>
      <w:pBdr>
        <w:top w:val="single" w:sz="4" w:space="0" w:color="auto"/>
        <w:left w:val="single" w:sz="4" w:space="0" w:color="auto"/>
        <w:bottom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8">
    <w:name w:val="xl78"/>
    <w:basedOn w:val="Normal"/>
    <w:rsid w:val="00A34B71"/>
    <w:pPr>
      <w:pBdr>
        <w:top w:val="single" w:sz="4" w:space="0" w:color="auto"/>
        <w:left w:val="single" w:sz="8"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9">
    <w:name w:val="xl79"/>
    <w:basedOn w:val="Normal"/>
    <w:rsid w:val="00A34B71"/>
    <w:pPr>
      <w:pBdr>
        <w:top w:val="single" w:sz="8" w:space="0" w:color="auto"/>
        <w:left w:val="single" w:sz="8" w:space="0" w:color="auto"/>
        <w:bottom w:val="single" w:sz="8"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A34B71"/>
    <w:pPr>
      <w:pBdr>
        <w:top w:val="single" w:sz="8" w:space="0" w:color="auto"/>
        <w:left w:val="single" w:sz="4" w:space="0" w:color="auto"/>
        <w:bottom w:val="single" w:sz="8"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A34B71"/>
    <w:pPr>
      <w:pBdr>
        <w:top w:val="single" w:sz="8" w:space="0" w:color="auto"/>
        <w:left w:val="single" w:sz="4" w:space="0" w:color="auto"/>
        <w:bottom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3">
    <w:name w:val="xl83"/>
    <w:basedOn w:val="Normal"/>
    <w:rsid w:val="00A34B71"/>
    <w:pPr>
      <w:pBdr>
        <w:top w:val="single" w:sz="8" w:space="0" w:color="auto"/>
        <w:left w:val="single" w:sz="4" w:space="0" w:color="auto"/>
        <w:bottom w:val="single" w:sz="8"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A34B7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5">
    <w:name w:val="xl85"/>
    <w:basedOn w:val="Normal"/>
    <w:rsid w:val="00A34B7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A34B7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A34B7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A34B7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Normal"/>
    <w:rsid w:val="00A34B7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A34B7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Normal"/>
    <w:rsid w:val="00A34B71"/>
    <w:pPr>
      <w:pBdr>
        <w:top w:val="single" w:sz="8" w:space="0" w:color="auto"/>
        <w:left w:val="single" w:sz="8" w:space="0" w:color="auto"/>
        <w:bottom w:val="double" w:sz="6"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A34B71"/>
    <w:pPr>
      <w:pBdr>
        <w:top w:val="single" w:sz="8" w:space="0" w:color="auto"/>
        <w:left w:val="single" w:sz="4" w:space="0" w:color="auto"/>
        <w:bottom w:val="double" w:sz="6"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3">
    <w:name w:val="xl93"/>
    <w:basedOn w:val="Normal"/>
    <w:rsid w:val="00A34B71"/>
    <w:pPr>
      <w:pBdr>
        <w:top w:val="single" w:sz="8" w:space="0" w:color="auto"/>
        <w:left w:val="single" w:sz="4" w:space="0" w:color="auto"/>
        <w:bottom w:val="double" w:sz="6"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4">
    <w:name w:val="xl94"/>
    <w:basedOn w:val="Normal"/>
    <w:rsid w:val="00A34B71"/>
    <w:pPr>
      <w:pBdr>
        <w:top w:val="single" w:sz="8" w:space="0" w:color="auto"/>
        <w:left w:val="single" w:sz="8" w:space="0" w:color="auto"/>
        <w:bottom w:val="double" w:sz="6"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5">
    <w:name w:val="xl95"/>
    <w:basedOn w:val="Normal"/>
    <w:rsid w:val="00A34B71"/>
    <w:pPr>
      <w:pBdr>
        <w:top w:val="single" w:sz="8" w:space="0" w:color="auto"/>
        <w:left w:val="single" w:sz="4" w:space="0" w:color="auto"/>
        <w:bottom w:val="double" w:sz="6"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6">
    <w:name w:val="xl96"/>
    <w:basedOn w:val="Normal"/>
    <w:rsid w:val="00A34B71"/>
    <w:pPr>
      <w:pBdr>
        <w:top w:val="single" w:sz="8" w:space="0" w:color="auto"/>
        <w:left w:val="single" w:sz="4" w:space="0" w:color="auto"/>
        <w:bottom w:val="double" w:sz="6"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7">
    <w:name w:val="xl97"/>
    <w:basedOn w:val="Normal"/>
    <w:rsid w:val="00A34B71"/>
    <w:pPr>
      <w:pBdr>
        <w:top w:val="single" w:sz="8" w:space="0" w:color="auto"/>
        <w:left w:val="single" w:sz="8"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Normal"/>
    <w:rsid w:val="00A34B71"/>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A34B71"/>
    <w:pPr>
      <w:pBdr>
        <w:top w:val="single" w:sz="8" w:space="0" w:color="auto"/>
        <w:left w:val="single" w:sz="4" w:space="0" w:color="auto"/>
        <w:bottom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Normal"/>
    <w:rsid w:val="00A34B71"/>
    <w:pPr>
      <w:pBdr>
        <w:top w:val="single" w:sz="8" w:space="0" w:color="auto"/>
        <w:left w:val="single" w:sz="8"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Normal"/>
    <w:rsid w:val="00A34B71"/>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2">
    <w:name w:val="xl102"/>
    <w:basedOn w:val="Normal"/>
    <w:rsid w:val="00A34B71"/>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Normal"/>
    <w:rsid w:val="00A34B71"/>
    <w:pPr>
      <w:pBdr>
        <w:top w:val="single" w:sz="4" w:space="0" w:color="auto"/>
        <w:left w:val="single" w:sz="8"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A34B71"/>
    <w:pPr>
      <w:pBdr>
        <w:top w:val="single" w:sz="4" w:space="0" w:color="auto"/>
        <w:left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Normal"/>
    <w:rsid w:val="00A34B71"/>
    <w:pPr>
      <w:pBdr>
        <w:top w:val="single" w:sz="4" w:space="0" w:color="auto"/>
        <w:lef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Normal"/>
    <w:rsid w:val="00A34B71"/>
    <w:pPr>
      <w:pBdr>
        <w:top w:val="single" w:sz="4" w:space="0" w:color="auto"/>
        <w:left w:val="single" w:sz="8"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7">
    <w:name w:val="xl107"/>
    <w:basedOn w:val="Normal"/>
    <w:rsid w:val="00A34B71"/>
    <w:pPr>
      <w:pBdr>
        <w:top w:val="single" w:sz="4" w:space="0" w:color="auto"/>
        <w:left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A34B71"/>
    <w:pPr>
      <w:pBdr>
        <w:top w:val="single" w:sz="4" w:space="0" w:color="auto"/>
        <w:left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styleId="GridTable4-Accent6">
    <w:name w:val="Grid Table 4 Accent 6"/>
    <w:basedOn w:val="TableNormal"/>
    <w:uiPriority w:val="49"/>
    <w:rsid w:val="00A34B7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5">
    <w:name w:val="toc 5"/>
    <w:basedOn w:val="Normal"/>
    <w:next w:val="Normal"/>
    <w:autoRedefine/>
    <w:uiPriority w:val="39"/>
    <w:unhideWhenUsed/>
    <w:rsid w:val="00A34B71"/>
    <w:pPr>
      <w:spacing w:after="100"/>
      <w:ind w:left="880"/>
      <w:jc w:val="left"/>
    </w:pPr>
    <w:rPr>
      <w:rFonts w:eastAsiaTheme="minorEastAsia"/>
    </w:rPr>
  </w:style>
  <w:style w:type="paragraph" w:styleId="TOC6">
    <w:name w:val="toc 6"/>
    <w:basedOn w:val="Normal"/>
    <w:next w:val="Normal"/>
    <w:autoRedefine/>
    <w:uiPriority w:val="39"/>
    <w:unhideWhenUsed/>
    <w:rsid w:val="00A34B71"/>
    <w:pPr>
      <w:spacing w:after="100"/>
      <w:ind w:left="1100"/>
      <w:jc w:val="left"/>
    </w:pPr>
    <w:rPr>
      <w:rFonts w:eastAsiaTheme="minorEastAsia"/>
    </w:rPr>
  </w:style>
  <w:style w:type="paragraph" w:styleId="TOC7">
    <w:name w:val="toc 7"/>
    <w:basedOn w:val="Normal"/>
    <w:next w:val="Normal"/>
    <w:autoRedefine/>
    <w:uiPriority w:val="39"/>
    <w:unhideWhenUsed/>
    <w:rsid w:val="00A34B71"/>
    <w:pPr>
      <w:spacing w:after="100"/>
      <w:ind w:left="1320"/>
      <w:jc w:val="left"/>
    </w:pPr>
    <w:rPr>
      <w:rFonts w:eastAsiaTheme="minorEastAsia"/>
    </w:rPr>
  </w:style>
  <w:style w:type="paragraph" w:styleId="TOC8">
    <w:name w:val="toc 8"/>
    <w:basedOn w:val="Normal"/>
    <w:next w:val="Normal"/>
    <w:autoRedefine/>
    <w:uiPriority w:val="39"/>
    <w:unhideWhenUsed/>
    <w:rsid w:val="00A34B71"/>
    <w:pPr>
      <w:spacing w:after="100"/>
      <w:ind w:left="1540"/>
      <w:jc w:val="left"/>
    </w:pPr>
    <w:rPr>
      <w:rFonts w:eastAsiaTheme="minorEastAsia"/>
    </w:rPr>
  </w:style>
  <w:style w:type="paragraph" w:styleId="TOC9">
    <w:name w:val="toc 9"/>
    <w:basedOn w:val="Normal"/>
    <w:next w:val="Normal"/>
    <w:autoRedefine/>
    <w:uiPriority w:val="39"/>
    <w:unhideWhenUsed/>
    <w:rsid w:val="00A34B71"/>
    <w:pPr>
      <w:spacing w:after="100"/>
      <w:ind w:left="1760"/>
      <w:jc w:val="left"/>
    </w:pPr>
    <w:rPr>
      <w:rFonts w:eastAsiaTheme="minorEastAsia"/>
    </w:rPr>
  </w:style>
  <w:style w:type="character" w:styleId="Strong">
    <w:name w:val="Strong"/>
    <w:basedOn w:val="DefaultParagraphFont"/>
    <w:uiPriority w:val="22"/>
    <w:qFormat/>
    <w:rsid w:val="00A34B71"/>
    <w:rPr>
      <w:b/>
      <w:bCs/>
    </w:rPr>
  </w:style>
  <w:style w:type="table" w:styleId="GridTable3">
    <w:name w:val="Grid Table 3"/>
    <w:basedOn w:val="TableNormal"/>
    <w:uiPriority w:val="48"/>
    <w:rsid w:val="00A34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12">
    <w:name w:val="Unresolved Mention12"/>
    <w:basedOn w:val="DefaultParagraphFont"/>
    <w:uiPriority w:val="99"/>
    <w:unhideWhenUsed/>
    <w:rsid w:val="00A34B71"/>
    <w:rPr>
      <w:color w:val="605E5C"/>
      <w:shd w:val="clear" w:color="auto" w:fill="E1DFDD"/>
    </w:rPr>
  </w:style>
  <w:style w:type="character" w:customStyle="1" w:styleId="Mention8">
    <w:name w:val="Mention8"/>
    <w:basedOn w:val="DefaultParagraphFont"/>
    <w:uiPriority w:val="99"/>
    <w:unhideWhenUsed/>
    <w:rsid w:val="00A34B71"/>
    <w:rPr>
      <w:color w:val="2B579A"/>
      <w:shd w:val="clear" w:color="auto" w:fill="E1DFDD"/>
    </w:rPr>
  </w:style>
  <w:style w:type="paragraph" w:customStyle="1" w:styleId="xl109">
    <w:name w:val="xl109"/>
    <w:basedOn w:val="Normal"/>
    <w:rsid w:val="00A34B7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0">
    <w:name w:val="xl110"/>
    <w:basedOn w:val="Normal"/>
    <w:rsid w:val="00A34B7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1">
    <w:name w:val="xl111"/>
    <w:basedOn w:val="Normal"/>
    <w:rsid w:val="00A34B71"/>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2">
    <w:name w:val="xl112"/>
    <w:basedOn w:val="Normal"/>
    <w:rsid w:val="00A34B71"/>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Normal"/>
    <w:rsid w:val="00A34B7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Normal"/>
    <w:rsid w:val="00A34B71"/>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Normal"/>
    <w:rsid w:val="00A34B7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A34B7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UnresolvedMention13">
    <w:name w:val="Unresolved Mention13"/>
    <w:basedOn w:val="DefaultParagraphFont"/>
    <w:uiPriority w:val="99"/>
    <w:unhideWhenUsed/>
    <w:rsid w:val="00A34B71"/>
    <w:rPr>
      <w:color w:val="605E5C"/>
      <w:shd w:val="clear" w:color="auto" w:fill="E1DFDD"/>
    </w:rPr>
  </w:style>
  <w:style w:type="character" w:customStyle="1" w:styleId="Mention9">
    <w:name w:val="Mention9"/>
    <w:basedOn w:val="DefaultParagraphFont"/>
    <w:uiPriority w:val="99"/>
    <w:unhideWhenUsed/>
    <w:rsid w:val="00A34B71"/>
    <w:rPr>
      <w:color w:val="2B579A"/>
      <w:shd w:val="clear" w:color="auto" w:fill="E1DFDD"/>
    </w:rPr>
  </w:style>
  <w:style w:type="character" w:customStyle="1" w:styleId="UnresolvedMention15">
    <w:name w:val="Unresolved Mention15"/>
    <w:basedOn w:val="DefaultParagraphFont"/>
    <w:uiPriority w:val="99"/>
    <w:unhideWhenUsed/>
    <w:rsid w:val="00A34B71"/>
    <w:rPr>
      <w:color w:val="605E5C"/>
      <w:shd w:val="clear" w:color="auto" w:fill="E1DFDD"/>
    </w:rPr>
  </w:style>
  <w:style w:type="character" w:customStyle="1" w:styleId="UnresolvedMention14">
    <w:name w:val="Unresolved Mention14"/>
    <w:basedOn w:val="DefaultParagraphFont"/>
    <w:uiPriority w:val="99"/>
    <w:semiHidden/>
    <w:unhideWhenUsed/>
    <w:rsid w:val="00A34B71"/>
    <w:rPr>
      <w:color w:val="605E5C"/>
      <w:shd w:val="clear" w:color="auto" w:fill="E1DFDD"/>
    </w:rPr>
  </w:style>
  <w:style w:type="table" w:customStyle="1" w:styleId="Section4SCCs">
    <w:name w:val="Section 4 SCCs"/>
    <w:basedOn w:val="TableNormal"/>
    <w:uiPriority w:val="99"/>
    <w:rsid w:val="00A34B71"/>
    <w:pPr>
      <w:spacing w:after="0" w:line="240" w:lineRule="auto"/>
      <w:jc w:val="center"/>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FFFFFF" w:themeFill="background1"/>
      <w:vAlign w:val="center"/>
    </w:tcPr>
    <w:tblStylePr w:type="firstRow">
      <w:pPr>
        <w:jc w:val="center"/>
      </w:pPr>
      <w:rPr>
        <w:rFonts w:ascii="Calibri" w:hAnsi="Calibri"/>
        <w:b/>
        <w:color w:val="auto"/>
        <w:sz w:val="22"/>
      </w:rPr>
      <w:tblPr/>
      <w:tcPr>
        <w:shd w:val="clear" w:color="auto" w:fill="D9D9D9" w:themeFill="background1" w:themeFillShade="D9"/>
      </w:tcPr>
    </w:tblStylePr>
    <w:tblStylePr w:type="firstCol">
      <w:pPr>
        <w:wordWrap/>
        <w:spacing w:line="240" w:lineRule="auto"/>
      </w:pPr>
    </w:tblStylePr>
  </w:style>
  <w:style w:type="table" w:customStyle="1" w:styleId="Test">
    <w:name w:val="Test"/>
    <w:basedOn w:val="TableNormal"/>
    <w:uiPriority w:val="99"/>
    <w:rsid w:val="00A34B7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character" w:customStyle="1" w:styleId="Mention10">
    <w:name w:val="Mention10"/>
    <w:basedOn w:val="DefaultParagraphFont"/>
    <w:uiPriority w:val="99"/>
    <w:unhideWhenUsed/>
    <w:rsid w:val="00A34B71"/>
    <w:rPr>
      <w:color w:val="2B579A"/>
      <w:shd w:val="clear" w:color="auto" w:fill="E1DFDD"/>
    </w:rPr>
  </w:style>
  <w:style w:type="character" w:customStyle="1" w:styleId="UnresolvedMention16">
    <w:name w:val="Unresolved Mention16"/>
    <w:basedOn w:val="DefaultParagraphFont"/>
    <w:uiPriority w:val="99"/>
    <w:semiHidden/>
    <w:unhideWhenUsed/>
    <w:rsid w:val="00A34B71"/>
    <w:rPr>
      <w:color w:val="605E5C"/>
      <w:shd w:val="clear" w:color="auto" w:fill="E1DFDD"/>
    </w:rPr>
  </w:style>
  <w:style w:type="table" w:styleId="GridTable1Light-Accent2">
    <w:name w:val="Grid Table 1 Light Accent 2"/>
    <w:basedOn w:val="TableNormal"/>
    <w:uiPriority w:val="46"/>
    <w:rsid w:val="00A34B7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17">
    <w:name w:val="Unresolved Mention17"/>
    <w:basedOn w:val="DefaultParagraphFont"/>
    <w:uiPriority w:val="99"/>
    <w:unhideWhenUsed/>
    <w:rsid w:val="00A34B71"/>
    <w:rPr>
      <w:color w:val="605E5C"/>
      <w:shd w:val="clear" w:color="auto" w:fill="E1DFDD"/>
    </w:rPr>
  </w:style>
  <w:style w:type="character" w:customStyle="1" w:styleId="Mention11">
    <w:name w:val="Mention11"/>
    <w:basedOn w:val="DefaultParagraphFont"/>
    <w:uiPriority w:val="99"/>
    <w:unhideWhenUsed/>
    <w:rsid w:val="00A34B71"/>
    <w:rPr>
      <w:color w:val="2B579A"/>
      <w:shd w:val="clear" w:color="auto" w:fill="E1DFDD"/>
    </w:rPr>
  </w:style>
  <w:style w:type="character" w:customStyle="1" w:styleId="UnresolvedMention18">
    <w:name w:val="Unresolved Mention18"/>
    <w:basedOn w:val="DefaultParagraphFont"/>
    <w:uiPriority w:val="99"/>
    <w:unhideWhenUsed/>
    <w:rsid w:val="00A34B71"/>
    <w:rPr>
      <w:color w:val="605E5C"/>
      <w:shd w:val="clear" w:color="auto" w:fill="E1DFDD"/>
    </w:rPr>
  </w:style>
  <w:style w:type="character" w:customStyle="1" w:styleId="Mention12">
    <w:name w:val="Mention12"/>
    <w:basedOn w:val="DefaultParagraphFont"/>
    <w:uiPriority w:val="99"/>
    <w:unhideWhenUsed/>
    <w:rsid w:val="00A34B71"/>
    <w:rPr>
      <w:color w:val="2B579A"/>
      <w:shd w:val="clear" w:color="auto" w:fill="E1DFDD"/>
    </w:rPr>
  </w:style>
  <w:style w:type="table" w:styleId="GridTable4-Accent3">
    <w:name w:val="Grid Table 4 Accent 3"/>
    <w:basedOn w:val="TableNormal"/>
    <w:uiPriority w:val="49"/>
    <w:rsid w:val="00A34B7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unhideWhenUsed/>
    <w:rsid w:val="00A34B71"/>
    <w:rPr>
      <w:color w:val="605E5C"/>
      <w:shd w:val="clear" w:color="auto" w:fill="E1DFDD"/>
    </w:rPr>
  </w:style>
  <w:style w:type="table" w:styleId="GridTable4-Accent2">
    <w:name w:val="Grid Table 4 Accent 2"/>
    <w:basedOn w:val="TableNormal"/>
    <w:uiPriority w:val="49"/>
    <w:rsid w:val="00A34B7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9">
    <w:name w:val="Unresolved Mention19"/>
    <w:basedOn w:val="DefaultParagraphFont"/>
    <w:uiPriority w:val="99"/>
    <w:unhideWhenUsed/>
    <w:rsid w:val="00A34B71"/>
    <w:rPr>
      <w:color w:val="605E5C"/>
      <w:shd w:val="clear" w:color="auto" w:fill="E1DFDD"/>
    </w:rPr>
  </w:style>
  <w:style w:type="character" w:styleId="Mention">
    <w:name w:val="Mention"/>
    <w:basedOn w:val="DefaultParagraphFont"/>
    <w:uiPriority w:val="99"/>
    <w:unhideWhenUsed/>
    <w:rsid w:val="00A34B71"/>
    <w:rPr>
      <w:color w:val="2B579A"/>
      <w:shd w:val="clear" w:color="auto" w:fill="E1DFDD"/>
    </w:rPr>
  </w:style>
  <w:style w:type="paragraph" w:customStyle="1" w:styleId="heading">
    <w:name w:val="heading"/>
    <w:basedOn w:val="Normal"/>
    <w:rsid w:val="00A34B7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heading20">
    <w:name w:val="heading2"/>
    <w:basedOn w:val="Normal"/>
    <w:rsid w:val="00A34B7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ink">
    <w:name w:val="link"/>
    <w:basedOn w:val="Normal"/>
    <w:rsid w:val="00A34B7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tion13">
    <w:name w:val="Mention13"/>
    <w:basedOn w:val="DefaultParagraphFont"/>
    <w:uiPriority w:val="99"/>
    <w:unhideWhenUsed/>
    <w:rsid w:val="00A34B71"/>
    <w:rPr>
      <w:color w:val="2B579A"/>
      <w:shd w:val="clear" w:color="auto" w:fill="E1DFDD"/>
    </w:rPr>
  </w:style>
  <w:style w:type="paragraph" w:customStyle="1" w:styleId="Example2">
    <w:name w:val="Example2"/>
    <w:basedOn w:val="Heading9"/>
    <w:link w:val="Example2Char"/>
    <w:qFormat/>
    <w:rsid w:val="00A34B71"/>
    <w:pPr>
      <w:numPr>
        <w:numId w:val="1"/>
      </w:numPr>
    </w:pPr>
  </w:style>
  <w:style w:type="character" w:customStyle="1" w:styleId="Example2Char">
    <w:name w:val="Example2 Char"/>
    <w:basedOn w:val="Heading9Char"/>
    <w:link w:val="Example2"/>
    <w:rsid w:val="00A34B71"/>
    <w:rPr>
      <w:rFonts w:ascii="Tw Cen MT" w:hAnsi="Tw Cen MT" w:cs="Arial"/>
      <w:b/>
      <w:bCs/>
      <w:color w:val="272661"/>
      <w:sz w:val="28"/>
      <w:szCs w:val="24"/>
    </w:rPr>
  </w:style>
  <w:style w:type="table" w:styleId="PlainTable1">
    <w:name w:val="Plain Table 1"/>
    <w:basedOn w:val="TableNormal"/>
    <w:uiPriority w:val="41"/>
    <w:rsid w:val="006107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4">
    <w:name w:val="Grid Table 4 Accent 4"/>
    <w:basedOn w:val="TableNormal"/>
    <w:uiPriority w:val="49"/>
    <w:rsid w:val="0061075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1">
    <w:name w:val="Grid Table 3 Accent 1"/>
    <w:basedOn w:val="TableNormal"/>
    <w:uiPriority w:val="48"/>
    <w:rsid w:val="00110EB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4-Accent1">
    <w:name w:val="List Table 4 Accent 1"/>
    <w:basedOn w:val="TableNormal"/>
    <w:uiPriority w:val="49"/>
    <w:rsid w:val="00110EB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3">
    <w:name w:val="List Table 4 Accent 3"/>
    <w:basedOn w:val="TableNormal"/>
    <w:uiPriority w:val="49"/>
    <w:rsid w:val="00110EB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5">
    <w:name w:val="List Table 3 Accent 5"/>
    <w:basedOn w:val="TableNormal"/>
    <w:uiPriority w:val="48"/>
    <w:rsid w:val="00110EBF"/>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6Colorful-Accent1">
    <w:name w:val="Grid Table 6 Colorful Accent 1"/>
    <w:basedOn w:val="TableNormal"/>
    <w:uiPriority w:val="51"/>
    <w:rsid w:val="00110EB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5">
    <w:name w:val="List Table 4 Accent 5"/>
    <w:basedOn w:val="TableNormal"/>
    <w:uiPriority w:val="49"/>
    <w:rsid w:val="00110EB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Style1">
    <w:name w:val="Style1"/>
    <w:uiPriority w:val="99"/>
    <w:rsid w:val="006F059B"/>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70042">
      <w:bodyDiv w:val="1"/>
      <w:marLeft w:val="0"/>
      <w:marRight w:val="0"/>
      <w:marTop w:val="0"/>
      <w:marBottom w:val="0"/>
      <w:divBdr>
        <w:top w:val="none" w:sz="0" w:space="0" w:color="auto"/>
        <w:left w:val="none" w:sz="0" w:space="0" w:color="auto"/>
        <w:bottom w:val="none" w:sz="0" w:space="0" w:color="auto"/>
        <w:right w:val="none" w:sz="0" w:space="0" w:color="auto"/>
      </w:divBdr>
    </w:div>
    <w:div w:id="54816996">
      <w:bodyDiv w:val="1"/>
      <w:marLeft w:val="0"/>
      <w:marRight w:val="0"/>
      <w:marTop w:val="0"/>
      <w:marBottom w:val="0"/>
      <w:divBdr>
        <w:top w:val="none" w:sz="0" w:space="0" w:color="auto"/>
        <w:left w:val="none" w:sz="0" w:space="0" w:color="auto"/>
        <w:bottom w:val="none" w:sz="0" w:space="0" w:color="auto"/>
        <w:right w:val="none" w:sz="0" w:space="0" w:color="auto"/>
      </w:divBdr>
    </w:div>
    <w:div w:id="57946613">
      <w:bodyDiv w:val="1"/>
      <w:marLeft w:val="0"/>
      <w:marRight w:val="0"/>
      <w:marTop w:val="0"/>
      <w:marBottom w:val="0"/>
      <w:divBdr>
        <w:top w:val="none" w:sz="0" w:space="0" w:color="auto"/>
        <w:left w:val="none" w:sz="0" w:space="0" w:color="auto"/>
        <w:bottom w:val="none" w:sz="0" w:space="0" w:color="auto"/>
        <w:right w:val="none" w:sz="0" w:space="0" w:color="auto"/>
      </w:divBdr>
    </w:div>
    <w:div w:id="58941776">
      <w:bodyDiv w:val="1"/>
      <w:marLeft w:val="0"/>
      <w:marRight w:val="0"/>
      <w:marTop w:val="0"/>
      <w:marBottom w:val="0"/>
      <w:divBdr>
        <w:top w:val="none" w:sz="0" w:space="0" w:color="auto"/>
        <w:left w:val="none" w:sz="0" w:space="0" w:color="auto"/>
        <w:bottom w:val="none" w:sz="0" w:space="0" w:color="auto"/>
        <w:right w:val="none" w:sz="0" w:space="0" w:color="auto"/>
      </w:divBdr>
    </w:div>
    <w:div w:id="100154765">
      <w:bodyDiv w:val="1"/>
      <w:marLeft w:val="0"/>
      <w:marRight w:val="0"/>
      <w:marTop w:val="0"/>
      <w:marBottom w:val="0"/>
      <w:divBdr>
        <w:top w:val="none" w:sz="0" w:space="0" w:color="auto"/>
        <w:left w:val="none" w:sz="0" w:space="0" w:color="auto"/>
        <w:bottom w:val="none" w:sz="0" w:space="0" w:color="auto"/>
        <w:right w:val="none" w:sz="0" w:space="0" w:color="auto"/>
      </w:divBdr>
    </w:div>
    <w:div w:id="110561906">
      <w:bodyDiv w:val="1"/>
      <w:marLeft w:val="0"/>
      <w:marRight w:val="0"/>
      <w:marTop w:val="0"/>
      <w:marBottom w:val="0"/>
      <w:divBdr>
        <w:top w:val="none" w:sz="0" w:space="0" w:color="auto"/>
        <w:left w:val="none" w:sz="0" w:space="0" w:color="auto"/>
        <w:bottom w:val="none" w:sz="0" w:space="0" w:color="auto"/>
        <w:right w:val="none" w:sz="0" w:space="0" w:color="auto"/>
      </w:divBdr>
    </w:div>
    <w:div w:id="119152843">
      <w:bodyDiv w:val="1"/>
      <w:marLeft w:val="0"/>
      <w:marRight w:val="0"/>
      <w:marTop w:val="0"/>
      <w:marBottom w:val="0"/>
      <w:divBdr>
        <w:top w:val="none" w:sz="0" w:space="0" w:color="auto"/>
        <w:left w:val="none" w:sz="0" w:space="0" w:color="auto"/>
        <w:bottom w:val="none" w:sz="0" w:space="0" w:color="auto"/>
        <w:right w:val="none" w:sz="0" w:space="0" w:color="auto"/>
      </w:divBdr>
    </w:div>
    <w:div w:id="121459502">
      <w:bodyDiv w:val="1"/>
      <w:marLeft w:val="0"/>
      <w:marRight w:val="0"/>
      <w:marTop w:val="0"/>
      <w:marBottom w:val="0"/>
      <w:divBdr>
        <w:top w:val="none" w:sz="0" w:space="0" w:color="auto"/>
        <w:left w:val="none" w:sz="0" w:space="0" w:color="auto"/>
        <w:bottom w:val="none" w:sz="0" w:space="0" w:color="auto"/>
        <w:right w:val="none" w:sz="0" w:space="0" w:color="auto"/>
      </w:divBdr>
    </w:div>
    <w:div w:id="135874648">
      <w:bodyDiv w:val="1"/>
      <w:marLeft w:val="0"/>
      <w:marRight w:val="0"/>
      <w:marTop w:val="0"/>
      <w:marBottom w:val="0"/>
      <w:divBdr>
        <w:top w:val="none" w:sz="0" w:space="0" w:color="auto"/>
        <w:left w:val="none" w:sz="0" w:space="0" w:color="auto"/>
        <w:bottom w:val="none" w:sz="0" w:space="0" w:color="auto"/>
        <w:right w:val="none" w:sz="0" w:space="0" w:color="auto"/>
      </w:divBdr>
    </w:div>
    <w:div w:id="148333036">
      <w:bodyDiv w:val="1"/>
      <w:marLeft w:val="0"/>
      <w:marRight w:val="0"/>
      <w:marTop w:val="0"/>
      <w:marBottom w:val="0"/>
      <w:divBdr>
        <w:top w:val="none" w:sz="0" w:space="0" w:color="auto"/>
        <w:left w:val="none" w:sz="0" w:space="0" w:color="auto"/>
        <w:bottom w:val="none" w:sz="0" w:space="0" w:color="auto"/>
        <w:right w:val="none" w:sz="0" w:space="0" w:color="auto"/>
      </w:divBdr>
    </w:div>
    <w:div w:id="157116566">
      <w:bodyDiv w:val="1"/>
      <w:marLeft w:val="0"/>
      <w:marRight w:val="0"/>
      <w:marTop w:val="0"/>
      <w:marBottom w:val="0"/>
      <w:divBdr>
        <w:top w:val="none" w:sz="0" w:space="0" w:color="auto"/>
        <w:left w:val="none" w:sz="0" w:space="0" w:color="auto"/>
        <w:bottom w:val="none" w:sz="0" w:space="0" w:color="auto"/>
        <w:right w:val="none" w:sz="0" w:space="0" w:color="auto"/>
      </w:divBdr>
    </w:div>
    <w:div w:id="180827846">
      <w:bodyDiv w:val="1"/>
      <w:marLeft w:val="0"/>
      <w:marRight w:val="0"/>
      <w:marTop w:val="0"/>
      <w:marBottom w:val="0"/>
      <w:divBdr>
        <w:top w:val="none" w:sz="0" w:space="0" w:color="auto"/>
        <w:left w:val="none" w:sz="0" w:space="0" w:color="auto"/>
        <w:bottom w:val="none" w:sz="0" w:space="0" w:color="auto"/>
        <w:right w:val="none" w:sz="0" w:space="0" w:color="auto"/>
      </w:divBdr>
    </w:div>
    <w:div w:id="180946201">
      <w:bodyDiv w:val="1"/>
      <w:marLeft w:val="0"/>
      <w:marRight w:val="0"/>
      <w:marTop w:val="0"/>
      <w:marBottom w:val="0"/>
      <w:divBdr>
        <w:top w:val="none" w:sz="0" w:space="0" w:color="auto"/>
        <w:left w:val="none" w:sz="0" w:space="0" w:color="auto"/>
        <w:bottom w:val="none" w:sz="0" w:space="0" w:color="auto"/>
        <w:right w:val="none" w:sz="0" w:space="0" w:color="auto"/>
      </w:divBdr>
    </w:div>
    <w:div w:id="187373129">
      <w:bodyDiv w:val="1"/>
      <w:marLeft w:val="0"/>
      <w:marRight w:val="0"/>
      <w:marTop w:val="0"/>
      <w:marBottom w:val="0"/>
      <w:divBdr>
        <w:top w:val="none" w:sz="0" w:space="0" w:color="auto"/>
        <w:left w:val="none" w:sz="0" w:space="0" w:color="auto"/>
        <w:bottom w:val="none" w:sz="0" w:space="0" w:color="auto"/>
        <w:right w:val="none" w:sz="0" w:space="0" w:color="auto"/>
      </w:divBdr>
    </w:div>
    <w:div w:id="204025684">
      <w:bodyDiv w:val="1"/>
      <w:marLeft w:val="0"/>
      <w:marRight w:val="0"/>
      <w:marTop w:val="0"/>
      <w:marBottom w:val="0"/>
      <w:divBdr>
        <w:top w:val="none" w:sz="0" w:space="0" w:color="auto"/>
        <w:left w:val="none" w:sz="0" w:space="0" w:color="auto"/>
        <w:bottom w:val="none" w:sz="0" w:space="0" w:color="auto"/>
        <w:right w:val="none" w:sz="0" w:space="0" w:color="auto"/>
      </w:divBdr>
    </w:div>
    <w:div w:id="214657410">
      <w:bodyDiv w:val="1"/>
      <w:marLeft w:val="0"/>
      <w:marRight w:val="0"/>
      <w:marTop w:val="0"/>
      <w:marBottom w:val="0"/>
      <w:divBdr>
        <w:top w:val="none" w:sz="0" w:space="0" w:color="auto"/>
        <w:left w:val="none" w:sz="0" w:space="0" w:color="auto"/>
        <w:bottom w:val="none" w:sz="0" w:space="0" w:color="auto"/>
        <w:right w:val="none" w:sz="0" w:space="0" w:color="auto"/>
      </w:divBdr>
    </w:div>
    <w:div w:id="214901857">
      <w:bodyDiv w:val="1"/>
      <w:marLeft w:val="0"/>
      <w:marRight w:val="0"/>
      <w:marTop w:val="0"/>
      <w:marBottom w:val="0"/>
      <w:divBdr>
        <w:top w:val="none" w:sz="0" w:space="0" w:color="auto"/>
        <w:left w:val="none" w:sz="0" w:space="0" w:color="auto"/>
        <w:bottom w:val="none" w:sz="0" w:space="0" w:color="auto"/>
        <w:right w:val="none" w:sz="0" w:space="0" w:color="auto"/>
      </w:divBdr>
    </w:div>
    <w:div w:id="215969980">
      <w:bodyDiv w:val="1"/>
      <w:marLeft w:val="0"/>
      <w:marRight w:val="0"/>
      <w:marTop w:val="0"/>
      <w:marBottom w:val="0"/>
      <w:divBdr>
        <w:top w:val="none" w:sz="0" w:space="0" w:color="auto"/>
        <w:left w:val="none" w:sz="0" w:space="0" w:color="auto"/>
        <w:bottom w:val="none" w:sz="0" w:space="0" w:color="auto"/>
        <w:right w:val="none" w:sz="0" w:space="0" w:color="auto"/>
      </w:divBdr>
    </w:div>
    <w:div w:id="217859695">
      <w:bodyDiv w:val="1"/>
      <w:marLeft w:val="0"/>
      <w:marRight w:val="0"/>
      <w:marTop w:val="0"/>
      <w:marBottom w:val="0"/>
      <w:divBdr>
        <w:top w:val="none" w:sz="0" w:space="0" w:color="auto"/>
        <w:left w:val="none" w:sz="0" w:space="0" w:color="auto"/>
        <w:bottom w:val="none" w:sz="0" w:space="0" w:color="auto"/>
        <w:right w:val="none" w:sz="0" w:space="0" w:color="auto"/>
      </w:divBdr>
    </w:div>
    <w:div w:id="217981570">
      <w:bodyDiv w:val="1"/>
      <w:marLeft w:val="0"/>
      <w:marRight w:val="0"/>
      <w:marTop w:val="0"/>
      <w:marBottom w:val="0"/>
      <w:divBdr>
        <w:top w:val="none" w:sz="0" w:space="0" w:color="auto"/>
        <w:left w:val="none" w:sz="0" w:space="0" w:color="auto"/>
        <w:bottom w:val="none" w:sz="0" w:space="0" w:color="auto"/>
        <w:right w:val="none" w:sz="0" w:space="0" w:color="auto"/>
      </w:divBdr>
    </w:div>
    <w:div w:id="230391408">
      <w:bodyDiv w:val="1"/>
      <w:marLeft w:val="0"/>
      <w:marRight w:val="0"/>
      <w:marTop w:val="0"/>
      <w:marBottom w:val="0"/>
      <w:divBdr>
        <w:top w:val="none" w:sz="0" w:space="0" w:color="auto"/>
        <w:left w:val="none" w:sz="0" w:space="0" w:color="auto"/>
        <w:bottom w:val="none" w:sz="0" w:space="0" w:color="auto"/>
        <w:right w:val="none" w:sz="0" w:space="0" w:color="auto"/>
      </w:divBdr>
    </w:div>
    <w:div w:id="247010525">
      <w:bodyDiv w:val="1"/>
      <w:marLeft w:val="0"/>
      <w:marRight w:val="0"/>
      <w:marTop w:val="0"/>
      <w:marBottom w:val="0"/>
      <w:divBdr>
        <w:top w:val="none" w:sz="0" w:space="0" w:color="auto"/>
        <w:left w:val="none" w:sz="0" w:space="0" w:color="auto"/>
        <w:bottom w:val="none" w:sz="0" w:space="0" w:color="auto"/>
        <w:right w:val="none" w:sz="0" w:space="0" w:color="auto"/>
      </w:divBdr>
    </w:div>
    <w:div w:id="284316261">
      <w:bodyDiv w:val="1"/>
      <w:marLeft w:val="0"/>
      <w:marRight w:val="0"/>
      <w:marTop w:val="0"/>
      <w:marBottom w:val="0"/>
      <w:divBdr>
        <w:top w:val="none" w:sz="0" w:space="0" w:color="auto"/>
        <w:left w:val="none" w:sz="0" w:space="0" w:color="auto"/>
        <w:bottom w:val="none" w:sz="0" w:space="0" w:color="auto"/>
        <w:right w:val="none" w:sz="0" w:space="0" w:color="auto"/>
      </w:divBdr>
    </w:div>
    <w:div w:id="286351179">
      <w:bodyDiv w:val="1"/>
      <w:marLeft w:val="0"/>
      <w:marRight w:val="0"/>
      <w:marTop w:val="0"/>
      <w:marBottom w:val="0"/>
      <w:divBdr>
        <w:top w:val="none" w:sz="0" w:space="0" w:color="auto"/>
        <w:left w:val="none" w:sz="0" w:space="0" w:color="auto"/>
        <w:bottom w:val="none" w:sz="0" w:space="0" w:color="auto"/>
        <w:right w:val="none" w:sz="0" w:space="0" w:color="auto"/>
      </w:divBdr>
    </w:div>
    <w:div w:id="287905218">
      <w:bodyDiv w:val="1"/>
      <w:marLeft w:val="0"/>
      <w:marRight w:val="0"/>
      <w:marTop w:val="0"/>
      <w:marBottom w:val="0"/>
      <w:divBdr>
        <w:top w:val="none" w:sz="0" w:space="0" w:color="auto"/>
        <w:left w:val="none" w:sz="0" w:space="0" w:color="auto"/>
        <w:bottom w:val="none" w:sz="0" w:space="0" w:color="auto"/>
        <w:right w:val="none" w:sz="0" w:space="0" w:color="auto"/>
      </w:divBdr>
    </w:div>
    <w:div w:id="295306090">
      <w:bodyDiv w:val="1"/>
      <w:marLeft w:val="0"/>
      <w:marRight w:val="0"/>
      <w:marTop w:val="0"/>
      <w:marBottom w:val="0"/>
      <w:divBdr>
        <w:top w:val="none" w:sz="0" w:space="0" w:color="auto"/>
        <w:left w:val="none" w:sz="0" w:space="0" w:color="auto"/>
        <w:bottom w:val="none" w:sz="0" w:space="0" w:color="auto"/>
        <w:right w:val="none" w:sz="0" w:space="0" w:color="auto"/>
      </w:divBdr>
    </w:div>
    <w:div w:id="334890404">
      <w:bodyDiv w:val="1"/>
      <w:marLeft w:val="0"/>
      <w:marRight w:val="0"/>
      <w:marTop w:val="0"/>
      <w:marBottom w:val="0"/>
      <w:divBdr>
        <w:top w:val="none" w:sz="0" w:space="0" w:color="auto"/>
        <w:left w:val="none" w:sz="0" w:space="0" w:color="auto"/>
        <w:bottom w:val="none" w:sz="0" w:space="0" w:color="auto"/>
        <w:right w:val="none" w:sz="0" w:space="0" w:color="auto"/>
      </w:divBdr>
    </w:div>
    <w:div w:id="344404824">
      <w:bodyDiv w:val="1"/>
      <w:marLeft w:val="0"/>
      <w:marRight w:val="0"/>
      <w:marTop w:val="0"/>
      <w:marBottom w:val="0"/>
      <w:divBdr>
        <w:top w:val="none" w:sz="0" w:space="0" w:color="auto"/>
        <w:left w:val="none" w:sz="0" w:space="0" w:color="auto"/>
        <w:bottom w:val="none" w:sz="0" w:space="0" w:color="auto"/>
        <w:right w:val="none" w:sz="0" w:space="0" w:color="auto"/>
      </w:divBdr>
    </w:div>
    <w:div w:id="370769631">
      <w:bodyDiv w:val="1"/>
      <w:marLeft w:val="0"/>
      <w:marRight w:val="0"/>
      <w:marTop w:val="0"/>
      <w:marBottom w:val="0"/>
      <w:divBdr>
        <w:top w:val="none" w:sz="0" w:space="0" w:color="auto"/>
        <w:left w:val="none" w:sz="0" w:space="0" w:color="auto"/>
        <w:bottom w:val="none" w:sz="0" w:space="0" w:color="auto"/>
        <w:right w:val="none" w:sz="0" w:space="0" w:color="auto"/>
      </w:divBdr>
    </w:div>
    <w:div w:id="379018198">
      <w:bodyDiv w:val="1"/>
      <w:marLeft w:val="0"/>
      <w:marRight w:val="0"/>
      <w:marTop w:val="0"/>
      <w:marBottom w:val="0"/>
      <w:divBdr>
        <w:top w:val="none" w:sz="0" w:space="0" w:color="auto"/>
        <w:left w:val="none" w:sz="0" w:space="0" w:color="auto"/>
        <w:bottom w:val="none" w:sz="0" w:space="0" w:color="auto"/>
        <w:right w:val="none" w:sz="0" w:space="0" w:color="auto"/>
      </w:divBdr>
    </w:div>
    <w:div w:id="384958684">
      <w:bodyDiv w:val="1"/>
      <w:marLeft w:val="0"/>
      <w:marRight w:val="0"/>
      <w:marTop w:val="0"/>
      <w:marBottom w:val="0"/>
      <w:divBdr>
        <w:top w:val="none" w:sz="0" w:space="0" w:color="auto"/>
        <w:left w:val="none" w:sz="0" w:space="0" w:color="auto"/>
        <w:bottom w:val="none" w:sz="0" w:space="0" w:color="auto"/>
        <w:right w:val="none" w:sz="0" w:space="0" w:color="auto"/>
      </w:divBdr>
    </w:div>
    <w:div w:id="399325468">
      <w:bodyDiv w:val="1"/>
      <w:marLeft w:val="0"/>
      <w:marRight w:val="0"/>
      <w:marTop w:val="0"/>
      <w:marBottom w:val="0"/>
      <w:divBdr>
        <w:top w:val="none" w:sz="0" w:space="0" w:color="auto"/>
        <w:left w:val="none" w:sz="0" w:space="0" w:color="auto"/>
        <w:bottom w:val="none" w:sz="0" w:space="0" w:color="auto"/>
        <w:right w:val="none" w:sz="0" w:space="0" w:color="auto"/>
      </w:divBdr>
    </w:div>
    <w:div w:id="403526921">
      <w:bodyDiv w:val="1"/>
      <w:marLeft w:val="0"/>
      <w:marRight w:val="0"/>
      <w:marTop w:val="0"/>
      <w:marBottom w:val="0"/>
      <w:divBdr>
        <w:top w:val="none" w:sz="0" w:space="0" w:color="auto"/>
        <w:left w:val="none" w:sz="0" w:space="0" w:color="auto"/>
        <w:bottom w:val="none" w:sz="0" w:space="0" w:color="auto"/>
        <w:right w:val="none" w:sz="0" w:space="0" w:color="auto"/>
      </w:divBdr>
    </w:div>
    <w:div w:id="420682757">
      <w:bodyDiv w:val="1"/>
      <w:marLeft w:val="0"/>
      <w:marRight w:val="0"/>
      <w:marTop w:val="0"/>
      <w:marBottom w:val="0"/>
      <w:divBdr>
        <w:top w:val="none" w:sz="0" w:space="0" w:color="auto"/>
        <w:left w:val="none" w:sz="0" w:space="0" w:color="auto"/>
        <w:bottom w:val="none" w:sz="0" w:space="0" w:color="auto"/>
        <w:right w:val="none" w:sz="0" w:space="0" w:color="auto"/>
      </w:divBdr>
    </w:div>
    <w:div w:id="475802043">
      <w:bodyDiv w:val="1"/>
      <w:marLeft w:val="0"/>
      <w:marRight w:val="0"/>
      <w:marTop w:val="0"/>
      <w:marBottom w:val="0"/>
      <w:divBdr>
        <w:top w:val="none" w:sz="0" w:space="0" w:color="auto"/>
        <w:left w:val="none" w:sz="0" w:space="0" w:color="auto"/>
        <w:bottom w:val="none" w:sz="0" w:space="0" w:color="auto"/>
        <w:right w:val="none" w:sz="0" w:space="0" w:color="auto"/>
      </w:divBdr>
    </w:div>
    <w:div w:id="488181317">
      <w:bodyDiv w:val="1"/>
      <w:marLeft w:val="0"/>
      <w:marRight w:val="0"/>
      <w:marTop w:val="0"/>
      <w:marBottom w:val="0"/>
      <w:divBdr>
        <w:top w:val="none" w:sz="0" w:space="0" w:color="auto"/>
        <w:left w:val="none" w:sz="0" w:space="0" w:color="auto"/>
        <w:bottom w:val="none" w:sz="0" w:space="0" w:color="auto"/>
        <w:right w:val="none" w:sz="0" w:space="0" w:color="auto"/>
      </w:divBdr>
    </w:div>
    <w:div w:id="489174672">
      <w:bodyDiv w:val="1"/>
      <w:marLeft w:val="0"/>
      <w:marRight w:val="0"/>
      <w:marTop w:val="0"/>
      <w:marBottom w:val="0"/>
      <w:divBdr>
        <w:top w:val="none" w:sz="0" w:space="0" w:color="auto"/>
        <w:left w:val="none" w:sz="0" w:space="0" w:color="auto"/>
        <w:bottom w:val="none" w:sz="0" w:space="0" w:color="auto"/>
        <w:right w:val="none" w:sz="0" w:space="0" w:color="auto"/>
      </w:divBdr>
    </w:div>
    <w:div w:id="502623968">
      <w:bodyDiv w:val="1"/>
      <w:marLeft w:val="0"/>
      <w:marRight w:val="0"/>
      <w:marTop w:val="0"/>
      <w:marBottom w:val="0"/>
      <w:divBdr>
        <w:top w:val="none" w:sz="0" w:space="0" w:color="auto"/>
        <w:left w:val="none" w:sz="0" w:space="0" w:color="auto"/>
        <w:bottom w:val="none" w:sz="0" w:space="0" w:color="auto"/>
        <w:right w:val="none" w:sz="0" w:space="0" w:color="auto"/>
      </w:divBdr>
    </w:div>
    <w:div w:id="518279923">
      <w:bodyDiv w:val="1"/>
      <w:marLeft w:val="0"/>
      <w:marRight w:val="0"/>
      <w:marTop w:val="0"/>
      <w:marBottom w:val="0"/>
      <w:divBdr>
        <w:top w:val="none" w:sz="0" w:space="0" w:color="auto"/>
        <w:left w:val="none" w:sz="0" w:space="0" w:color="auto"/>
        <w:bottom w:val="none" w:sz="0" w:space="0" w:color="auto"/>
        <w:right w:val="none" w:sz="0" w:space="0" w:color="auto"/>
      </w:divBdr>
    </w:div>
    <w:div w:id="534077779">
      <w:bodyDiv w:val="1"/>
      <w:marLeft w:val="0"/>
      <w:marRight w:val="0"/>
      <w:marTop w:val="0"/>
      <w:marBottom w:val="0"/>
      <w:divBdr>
        <w:top w:val="none" w:sz="0" w:space="0" w:color="auto"/>
        <w:left w:val="none" w:sz="0" w:space="0" w:color="auto"/>
        <w:bottom w:val="none" w:sz="0" w:space="0" w:color="auto"/>
        <w:right w:val="none" w:sz="0" w:space="0" w:color="auto"/>
      </w:divBdr>
    </w:div>
    <w:div w:id="570389559">
      <w:bodyDiv w:val="1"/>
      <w:marLeft w:val="0"/>
      <w:marRight w:val="0"/>
      <w:marTop w:val="0"/>
      <w:marBottom w:val="0"/>
      <w:divBdr>
        <w:top w:val="none" w:sz="0" w:space="0" w:color="auto"/>
        <w:left w:val="none" w:sz="0" w:space="0" w:color="auto"/>
        <w:bottom w:val="none" w:sz="0" w:space="0" w:color="auto"/>
        <w:right w:val="none" w:sz="0" w:space="0" w:color="auto"/>
      </w:divBdr>
    </w:div>
    <w:div w:id="572468392">
      <w:bodyDiv w:val="1"/>
      <w:marLeft w:val="0"/>
      <w:marRight w:val="0"/>
      <w:marTop w:val="0"/>
      <w:marBottom w:val="0"/>
      <w:divBdr>
        <w:top w:val="none" w:sz="0" w:space="0" w:color="auto"/>
        <w:left w:val="none" w:sz="0" w:space="0" w:color="auto"/>
        <w:bottom w:val="none" w:sz="0" w:space="0" w:color="auto"/>
        <w:right w:val="none" w:sz="0" w:space="0" w:color="auto"/>
      </w:divBdr>
    </w:div>
    <w:div w:id="574437649">
      <w:bodyDiv w:val="1"/>
      <w:marLeft w:val="0"/>
      <w:marRight w:val="0"/>
      <w:marTop w:val="0"/>
      <w:marBottom w:val="0"/>
      <w:divBdr>
        <w:top w:val="none" w:sz="0" w:space="0" w:color="auto"/>
        <w:left w:val="none" w:sz="0" w:space="0" w:color="auto"/>
        <w:bottom w:val="none" w:sz="0" w:space="0" w:color="auto"/>
        <w:right w:val="none" w:sz="0" w:space="0" w:color="auto"/>
      </w:divBdr>
    </w:div>
    <w:div w:id="578752159">
      <w:bodyDiv w:val="1"/>
      <w:marLeft w:val="0"/>
      <w:marRight w:val="0"/>
      <w:marTop w:val="0"/>
      <w:marBottom w:val="0"/>
      <w:divBdr>
        <w:top w:val="none" w:sz="0" w:space="0" w:color="auto"/>
        <w:left w:val="none" w:sz="0" w:space="0" w:color="auto"/>
        <w:bottom w:val="none" w:sz="0" w:space="0" w:color="auto"/>
        <w:right w:val="none" w:sz="0" w:space="0" w:color="auto"/>
      </w:divBdr>
    </w:div>
    <w:div w:id="596720518">
      <w:bodyDiv w:val="1"/>
      <w:marLeft w:val="0"/>
      <w:marRight w:val="0"/>
      <w:marTop w:val="0"/>
      <w:marBottom w:val="0"/>
      <w:divBdr>
        <w:top w:val="none" w:sz="0" w:space="0" w:color="auto"/>
        <w:left w:val="none" w:sz="0" w:space="0" w:color="auto"/>
        <w:bottom w:val="none" w:sz="0" w:space="0" w:color="auto"/>
        <w:right w:val="none" w:sz="0" w:space="0" w:color="auto"/>
      </w:divBdr>
    </w:div>
    <w:div w:id="596912371">
      <w:bodyDiv w:val="1"/>
      <w:marLeft w:val="0"/>
      <w:marRight w:val="0"/>
      <w:marTop w:val="0"/>
      <w:marBottom w:val="0"/>
      <w:divBdr>
        <w:top w:val="none" w:sz="0" w:space="0" w:color="auto"/>
        <w:left w:val="none" w:sz="0" w:space="0" w:color="auto"/>
        <w:bottom w:val="none" w:sz="0" w:space="0" w:color="auto"/>
        <w:right w:val="none" w:sz="0" w:space="0" w:color="auto"/>
      </w:divBdr>
    </w:div>
    <w:div w:id="597055312">
      <w:bodyDiv w:val="1"/>
      <w:marLeft w:val="0"/>
      <w:marRight w:val="0"/>
      <w:marTop w:val="0"/>
      <w:marBottom w:val="0"/>
      <w:divBdr>
        <w:top w:val="none" w:sz="0" w:space="0" w:color="auto"/>
        <w:left w:val="none" w:sz="0" w:space="0" w:color="auto"/>
        <w:bottom w:val="none" w:sz="0" w:space="0" w:color="auto"/>
        <w:right w:val="none" w:sz="0" w:space="0" w:color="auto"/>
      </w:divBdr>
    </w:div>
    <w:div w:id="600336369">
      <w:bodyDiv w:val="1"/>
      <w:marLeft w:val="0"/>
      <w:marRight w:val="0"/>
      <w:marTop w:val="0"/>
      <w:marBottom w:val="0"/>
      <w:divBdr>
        <w:top w:val="none" w:sz="0" w:space="0" w:color="auto"/>
        <w:left w:val="none" w:sz="0" w:space="0" w:color="auto"/>
        <w:bottom w:val="none" w:sz="0" w:space="0" w:color="auto"/>
        <w:right w:val="none" w:sz="0" w:space="0" w:color="auto"/>
      </w:divBdr>
    </w:div>
    <w:div w:id="601884667">
      <w:bodyDiv w:val="1"/>
      <w:marLeft w:val="0"/>
      <w:marRight w:val="0"/>
      <w:marTop w:val="0"/>
      <w:marBottom w:val="0"/>
      <w:divBdr>
        <w:top w:val="none" w:sz="0" w:space="0" w:color="auto"/>
        <w:left w:val="none" w:sz="0" w:space="0" w:color="auto"/>
        <w:bottom w:val="none" w:sz="0" w:space="0" w:color="auto"/>
        <w:right w:val="none" w:sz="0" w:space="0" w:color="auto"/>
      </w:divBdr>
    </w:div>
    <w:div w:id="604731281">
      <w:bodyDiv w:val="1"/>
      <w:marLeft w:val="0"/>
      <w:marRight w:val="0"/>
      <w:marTop w:val="0"/>
      <w:marBottom w:val="0"/>
      <w:divBdr>
        <w:top w:val="none" w:sz="0" w:space="0" w:color="auto"/>
        <w:left w:val="none" w:sz="0" w:space="0" w:color="auto"/>
        <w:bottom w:val="none" w:sz="0" w:space="0" w:color="auto"/>
        <w:right w:val="none" w:sz="0" w:space="0" w:color="auto"/>
      </w:divBdr>
    </w:div>
    <w:div w:id="625239141">
      <w:bodyDiv w:val="1"/>
      <w:marLeft w:val="0"/>
      <w:marRight w:val="0"/>
      <w:marTop w:val="0"/>
      <w:marBottom w:val="0"/>
      <w:divBdr>
        <w:top w:val="none" w:sz="0" w:space="0" w:color="auto"/>
        <w:left w:val="none" w:sz="0" w:space="0" w:color="auto"/>
        <w:bottom w:val="none" w:sz="0" w:space="0" w:color="auto"/>
        <w:right w:val="none" w:sz="0" w:space="0" w:color="auto"/>
      </w:divBdr>
    </w:div>
    <w:div w:id="634918169">
      <w:bodyDiv w:val="1"/>
      <w:marLeft w:val="0"/>
      <w:marRight w:val="0"/>
      <w:marTop w:val="0"/>
      <w:marBottom w:val="0"/>
      <w:divBdr>
        <w:top w:val="none" w:sz="0" w:space="0" w:color="auto"/>
        <w:left w:val="none" w:sz="0" w:space="0" w:color="auto"/>
        <w:bottom w:val="none" w:sz="0" w:space="0" w:color="auto"/>
        <w:right w:val="none" w:sz="0" w:space="0" w:color="auto"/>
      </w:divBdr>
    </w:div>
    <w:div w:id="643656606">
      <w:bodyDiv w:val="1"/>
      <w:marLeft w:val="0"/>
      <w:marRight w:val="0"/>
      <w:marTop w:val="0"/>
      <w:marBottom w:val="0"/>
      <w:divBdr>
        <w:top w:val="none" w:sz="0" w:space="0" w:color="auto"/>
        <w:left w:val="none" w:sz="0" w:space="0" w:color="auto"/>
        <w:bottom w:val="none" w:sz="0" w:space="0" w:color="auto"/>
        <w:right w:val="none" w:sz="0" w:space="0" w:color="auto"/>
      </w:divBdr>
    </w:div>
    <w:div w:id="644892704">
      <w:bodyDiv w:val="1"/>
      <w:marLeft w:val="0"/>
      <w:marRight w:val="0"/>
      <w:marTop w:val="0"/>
      <w:marBottom w:val="0"/>
      <w:divBdr>
        <w:top w:val="none" w:sz="0" w:space="0" w:color="auto"/>
        <w:left w:val="none" w:sz="0" w:space="0" w:color="auto"/>
        <w:bottom w:val="none" w:sz="0" w:space="0" w:color="auto"/>
        <w:right w:val="none" w:sz="0" w:space="0" w:color="auto"/>
      </w:divBdr>
    </w:div>
    <w:div w:id="659891445">
      <w:bodyDiv w:val="1"/>
      <w:marLeft w:val="0"/>
      <w:marRight w:val="0"/>
      <w:marTop w:val="0"/>
      <w:marBottom w:val="0"/>
      <w:divBdr>
        <w:top w:val="none" w:sz="0" w:space="0" w:color="auto"/>
        <w:left w:val="none" w:sz="0" w:space="0" w:color="auto"/>
        <w:bottom w:val="none" w:sz="0" w:space="0" w:color="auto"/>
        <w:right w:val="none" w:sz="0" w:space="0" w:color="auto"/>
      </w:divBdr>
    </w:div>
    <w:div w:id="662971364">
      <w:bodyDiv w:val="1"/>
      <w:marLeft w:val="0"/>
      <w:marRight w:val="0"/>
      <w:marTop w:val="0"/>
      <w:marBottom w:val="0"/>
      <w:divBdr>
        <w:top w:val="none" w:sz="0" w:space="0" w:color="auto"/>
        <w:left w:val="none" w:sz="0" w:space="0" w:color="auto"/>
        <w:bottom w:val="none" w:sz="0" w:space="0" w:color="auto"/>
        <w:right w:val="none" w:sz="0" w:space="0" w:color="auto"/>
      </w:divBdr>
    </w:div>
    <w:div w:id="676617817">
      <w:bodyDiv w:val="1"/>
      <w:marLeft w:val="0"/>
      <w:marRight w:val="0"/>
      <w:marTop w:val="0"/>
      <w:marBottom w:val="0"/>
      <w:divBdr>
        <w:top w:val="none" w:sz="0" w:space="0" w:color="auto"/>
        <w:left w:val="none" w:sz="0" w:space="0" w:color="auto"/>
        <w:bottom w:val="none" w:sz="0" w:space="0" w:color="auto"/>
        <w:right w:val="none" w:sz="0" w:space="0" w:color="auto"/>
      </w:divBdr>
    </w:div>
    <w:div w:id="695234318">
      <w:bodyDiv w:val="1"/>
      <w:marLeft w:val="0"/>
      <w:marRight w:val="0"/>
      <w:marTop w:val="0"/>
      <w:marBottom w:val="0"/>
      <w:divBdr>
        <w:top w:val="none" w:sz="0" w:space="0" w:color="auto"/>
        <w:left w:val="none" w:sz="0" w:space="0" w:color="auto"/>
        <w:bottom w:val="none" w:sz="0" w:space="0" w:color="auto"/>
        <w:right w:val="none" w:sz="0" w:space="0" w:color="auto"/>
      </w:divBdr>
    </w:div>
    <w:div w:id="701832322">
      <w:bodyDiv w:val="1"/>
      <w:marLeft w:val="0"/>
      <w:marRight w:val="0"/>
      <w:marTop w:val="0"/>
      <w:marBottom w:val="0"/>
      <w:divBdr>
        <w:top w:val="none" w:sz="0" w:space="0" w:color="auto"/>
        <w:left w:val="none" w:sz="0" w:space="0" w:color="auto"/>
        <w:bottom w:val="none" w:sz="0" w:space="0" w:color="auto"/>
        <w:right w:val="none" w:sz="0" w:space="0" w:color="auto"/>
      </w:divBdr>
    </w:div>
    <w:div w:id="717508935">
      <w:bodyDiv w:val="1"/>
      <w:marLeft w:val="0"/>
      <w:marRight w:val="0"/>
      <w:marTop w:val="0"/>
      <w:marBottom w:val="0"/>
      <w:divBdr>
        <w:top w:val="none" w:sz="0" w:space="0" w:color="auto"/>
        <w:left w:val="none" w:sz="0" w:space="0" w:color="auto"/>
        <w:bottom w:val="none" w:sz="0" w:space="0" w:color="auto"/>
        <w:right w:val="none" w:sz="0" w:space="0" w:color="auto"/>
      </w:divBdr>
    </w:div>
    <w:div w:id="732049537">
      <w:bodyDiv w:val="1"/>
      <w:marLeft w:val="0"/>
      <w:marRight w:val="0"/>
      <w:marTop w:val="0"/>
      <w:marBottom w:val="0"/>
      <w:divBdr>
        <w:top w:val="none" w:sz="0" w:space="0" w:color="auto"/>
        <w:left w:val="none" w:sz="0" w:space="0" w:color="auto"/>
        <w:bottom w:val="none" w:sz="0" w:space="0" w:color="auto"/>
        <w:right w:val="none" w:sz="0" w:space="0" w:color="auto"/>
      </w:divBdr>
    </w:div>
    <w:div w:id="748582666">
      <w:bodyDiv w:val="1"/>
      <w:marLeft w:val="0"/>
      <w:marRight w:val="0"/>
      <w:marTop w:val="0"/>
      <w:marBottom w:val="0"/>
      <w:divBdr>
        <w:top w:val="none" w:sz="0" w:space="0" w:color="auto"/>
        <w:left w:val="none" w:sz="0" w:space="0" w:color="auto"/>
        <w:bottom w:val="none" w:sz="0" w:space="0" w:color="auto"/>
        <w:right w:val="none" w:sz="0" w:space="0" w:color="auto"/>
      </w:divBdr>
    </w:div>
    <w:div w:id="814374175">
      <w:bodyDiv w:val="1"/>
      <w:marLeft w:val="0"/>
      <w:marRight w:val="0"/>
      <w:marTop w:val="0"/>
      <w:marBottom w:val="0"/>
      <w:divBdr>
        <w:top w:val="none" w:sz="0" w:space="0" w:color="auto"/>
        <w:left w:val="none" w:sz="0" w:space="0" w:color="auto"/>
        <w:bottom w:val="none" w:sz="0" w:space="0" w:color="auto"/>
        <w:right w:val="none" w:sz="0" w:space="0" w:color="auto"/>
      </w:divBdr>
    </w:div>
    <w:div w:id="815299578">
      <w:bodyDiv w:val="1"/>
      <w:marLeft w:val="0"/>
      <w:marRight w:val="0"/>
      <w:marTop w:val="0"/>
      <w:marBottom w:val="0"/>
      <w:divBdr>
        <w:top w:val="none" w:sz="0" w:space="0" w:color="auto"/>
        <w:left w:val="none" w:sz="0" w:space="0" w:color="auto"/>
        <w:bottom w:val="none" w:sz="0" w:space="0" w:color="auto"/>
        <w:right w:val="none" w:sz="0" w:space="0" w:color="auto"/>
      </w:divBdr>
    </w:div>
    <w:div w:id="830949324">
      <w:bodyDiv w:val="1"/>
      <w:marLeft w:val="0"/>
      <w:marRight w:val="0"/>
      <w:marTop w:val="0"/>
      <w:marBottom w:val="0"/>
      <w:divBdr>
        <w:top w:val="none" w:sz="0" w:space="0" w:color="auto"/>
        <w:left w:val="none" w:sz="0" w:space="0" w:color="auto"/>
        <w:bottom w:val="none" w:sz="0" w:space="0" w:color="auto"/>
        <w:right w:val="none" w:sz="0" w:space="0" w:color="auto"/>
      </w:divBdr>
    </w:div>
    <w:div w:id="845676690">
      <w:bodyDiv w:val="1"/>
      <w:marLeft w:val="0"/>
      <w:marRight w:val="0"/>
      <w:marTop w:val="0"/>
      <w:marBottom w:val="0"/>
      <w:divBdr>
        <w:top w:val="none" w:sz="0" w:space="0" w:color="auto"/>
        <w:left w:val="none" w:sz="0" w:space="0" w:color="auto"/>
        <w:bottom w:val="none" w:sz="0" w:space="0" w:color="auto"/>
        <w:right w:val="none" w:sz="0" w:space="0" w:color="auto"/>
      </w:divBdr>
    </w:div>
    <w:div w:id="849219099">
      <w:bodyDiv w:val="1"/>
      <w:marLeft w:val="0"/>
      <w:marRight w:val="0"/>
      <w:marTop w:val="0"/>
      <w:marBottom w:val="0"/>
      <w:divBdr>
        <w:top w:val="none" w:sz="0" w:space="0" w:color="auto"/>
        <w:left w:val="none" w:sz="0" w:space="0" w:color="auto"/>
        <w:bottom w:val="none" w:sz="0" w:space="0" w:color="auto"/>
        <w:right w:val="none" w:sz="0" w:space="0" w:color="auto"/>
      </w:divBdr>
    </w:div>
    <w:div w:id="855925704">
      <w:bodyDiv w:val="1"/>
      <w:marLeft w:val="0"/>
      <w:marRight w:val="0"/>
      <w:marTop w:val="0"/>
      <w:marBottom w:val="0"/>
      <w:divBdr>
        <w:top w:val="none" w:sz="0" w:space="0" w:color="auto"/>
        <w:left w:val="none" w:sz="0" w:space="0" w:color="auto"/>
        <w:bottom w:val="none" w:sz="0" w:space="0" w:color="auto"/>
        <w:right w:val="none" w:sz="0" w:space="0" w:color="auto"/>
      </w:divBdr>
    </w:div>
    <w:div w:id="862667287">
      <w:bodyDiv w:val="1"/>
      <w:marLeft w:val="0"/>
      <w:marRight w:val="0"/>
      <w:marTop w:val="0"/>
      <w:marBottom w:val="0"/>
      <w:divBdr>
        <w:top w:val="none" w:sz="0" w:space="0" w:color="auto"/>
        <w:left w:val="none" w:sz="0" w:space="0" w:color="auto"/>
        <w:bottom w:val="none" w:sz="0" w:space="0" w:color="auto"/>
        <w:right w:val="none" w:sz="0" w:space="0" w:color="auto"/>
      </w:divBdr>
    </w:div>
    <w:div w:id="866526458">
      <w:bodyDiv w:val="1"/>
      <w:marLeft w:val="0"/>
      <w:marRight w:val="0"/>
      <w:marTop w:val="0"/>
      <w:marBottom w:val="0"/>
      <w:divBdr>
        <w:top w:val="none" w:sz="0" w:space="0" w:color="auto"/>
        <w:left w:val="none" w:sz="0" w:space="0" w:color="auto"/>
        <w:bottom w:val="none" w:sz="0" w:space="0" w:color="auto"/>
        <w:right w:val="none" w:sz="0" w:space="0" w:color="auto"/>
      </w:divBdr>
    </w:div>
    <w:div w:id="893001955">
      <w:bodyDiv w:val="1"/>
      <w:marLeft w:val="0"/>
      <w:marRight w:val="0"/>
      <w:marTop w:val="0"/>
      <w:marBottom w:val="0"/>
      <w:divBdr>
        <w:top w:val="none" w:sz="0" w:space="0" w:color="auto"/>
        <w:left w:val="none" w:sz="0" w:space="0" w:color="auto"/>
        <w:bottom w:val="none" w:sz="0" w:space="0" w:color="auto"/>
        <w:right w:val="none" w:sz="0" w:space="0" w:color="auto"/>
      </w:divBdr>
    </w:div>
    <w:div w:id="954869481">
      <w:bodyDiv w:val="1"/>
      <w:marLeft w:val="0"/>
      <w:marRight w:val="0"/>
      <w:marTop w:val="0"/>
      <w:marBottom w:val="0"/>
      <w:divBdr>
        <w:top w:val="none" w:sz="0" w:space="0" w:color="auto"/>
        <w:left w:val="none" w:sz="0" w:space="0" w:color="auto"/>
        <w:bottom w:val="none" w:sz="0" w:space="0" w:color="auto"/>
        <w:right w:val="none" w:sz="0" w:space="0" w:color="auto"/>
      </w:divBdr>
    </w:div>
    <w:div w:id="982538430">
      <w:bodyDiv w:val="1"/>
      <w:marLeft w:val="0"/>
      <w:marRight w:val="0"/>
      <w:marTop w:val="0"/>
      <w:marBottom w:val="0"/>
      <w:divBdr>
        <w:top w:val="none" w:sz="0" w:space="0" w:color="auto"/>
        <w:left w:val="none" w:sz="0" w:space="0" w:color="auto"/>
        <w:bottom w:val="none" w:sz="0" w:space="0" w:color="auto"/>
        <w:right w:val="none" w:sz="0" w:space="0" w:color="auto"/>
      </w:divBdr>
    </w:div>
    <w:div w:id="1019772212">
      <w:bodyDiv w:val="1"/>
      <w:marLeft w:val="0"/>
      <w:marRight w:val="0"/>
      <w:marTop w:val="0"/>
      <w:marBottom w:val="0"/>
      <w:divBdr>
        <w:top w:val="none" w:sz="0" w:space="0" w:color="auto"/>
        <w:left w:val="none" w:sz="0" w:space="0" w:color="auto"/>
        <w:bottom w:val="none" w:sz="0" w:space="0" w:color="auto"/>
        <w:right w:val="none" w:sz="0" w:space="0" w:color="auto"/>
      </w:divBdr>
    </w:div>
    <w:div w:id="1023440797">
      <w:bodyDiv w:val="1"/>
      <w:marLeft w:val="0"/>
      <w:marRight w:val="0"/>
      <w:marTop w:val="0"/>
      <w:marBottom w:val="0"/>
      <w:divBdr>
        <w:top w:val="none" w:sz="0" w:space="0" w:color="auto"/>
        <w:left w:val="none" w:sz="0" w:space="0" w:color="auto"/>
        <w:bottom w:val="none" w:sz="0" w:space="0" w:color="auto"/>
        <w:right w:val="none" w:sz="0" w:space="0" w:color="auto"/>
      </w:divBdr>
    </w:div>
    <w:div w:id="1031688477">
      <w:bodyDiv w:val="1"/>
      <w:marLeft w:val="0"/>
      <w:marRight w:val="0"/>
      <w:marTop w:val="0"/>
      <w:marBottom w:val="0"/>
      <w:divBdr>
        <w:top w:val="none" w:sz="0" w:space="0" w:color="auto"/>
        <w:left w:val="none" w:sz="0" w:space="0" w:color="auto"/>
        <w:bottom w:val="none" w:sz="0" w:space="0" w:color="auto"/>
        <w:right w:val="none" w:sz="0" w:space="0" w:color="auto"/>
      </w:divBdr>
    </w:div>
    <w:div w:id="1051346102">
      <w:bodyDiv w:val="1"/>
      <w:marLeft w:val="0"/>
      <w:marRight w:val="0"/>
      <w:marTop w:val="0"/>
      <w:marBottom w:val="0"/>
      <w:divBdr>
        <w:top w:val="none" w:sz="0" w:space="0" w:color="auto"/>
        <w:left w:val="none" w:sz="0" w:space="0" w:color="auto"/>
        <w:bottom w:val="none" w:sz="0" w:space="0" w:color="auto"/>
        <w:right w:val="none" w:sz="0" w:space="0" w:color="auto"/>
      </w:divBdr>
    </w:div>
    <w:div w:id="1061173228">
      <w:bodyDiv w:val="1"/>
      <w:marLeft w:val="0"/>
      <w:marRight w:val="0"/>
      <w:marTop w:val="0"/>
      <w:marBottom w:val="0"/>
      <w:divBdr>
        <w:top w:val="none" w:sz="0" w:space="0" w:color="auto"/>
        <w:left w:val="none" w:sz="0" w:space="0" w:color="auto"/>
        <w:bottom w:val="none" w:sz="0" w:space="0" w:color="auto"/>
        <w:right w:val="none" w:sz="0" w:space="0" w:color="auto"/>
      </w:divBdr>
    </w:div>
    <w:div w:id="1119690585">
      <w:bodyDiv w:val="1"/>
      <w:marLeft w:val="0"/>
      <w:marRight w:val="0"/>
      <w:marTop w:val="0"/>
      <w:marBottom w:val="0"/>
      <w:divBdr>
        <w:top w:val="none" w:sz="0" w:space="0" w:color="auto"/>
        <w:left w:val="none" w:sz="0" w:space="0" w:color="auto"/>
        <w:bottom w:val="none" w:sz="0" w:space="0" w:color="auto"/>
        <w:right w:val="none" w:sz="0" w:space="0" w:color="auto"/>
      </w:divBdr>
    </w:div>
    <w:div w:id="1123425507">
      <w:bodyDiv w:val="1"/>
      <w:marLeft w:val="0"/>
      <w:marRight w:val="0"/>
      <w:marTop w:val="0"/>
      <w:marBottom w:val="0"/>
      <w:divBdr>
        <w:top w:val="none" w:sz="0" w:space="0" w:color="auto"/>
        <w:left w:val="none" w:sz="0" w:space="0" w:color="auto"/>
        <w:bottom w:val="none" w:sz="0" w:space="0" w:color="auto"/>
        <w:right w:val="none" w:sz="0" w:space="0" w:color="auto"/>
      </w:divBdr>
    </w:div>
    <w:div w:id="1128276719">
      <w:bodyDiv w:val="1"/>
      <w:marLeft w:val="0"/>
      <w:marRight w:val="0"/>
      <w:marTop w:val="0"/>
      <w:marBottom w:val="0"/>
      <w:divBdr>
        <w:top w:val="none" w:sz="0" w:space="0" w:color="auto"/>
        <w:left w:val="none" w:sz="0" w:space="0" w:color="auto"/>
        <w:bottom w:val="none" w:sz="0" w:space="0" w:color="auto"/>
        <w:right w:val="none" w:sz="0" w:space="0" w:color="auto"/>
      </w:divBdr>
    </w:div>
    <w:div w:id="1151945826">
      <w:bodyDiv w:val="1"/>
      <w:marLeft w:val="0"/>
      <w:marRight w:val="0"/>
      <w:marTop w:val="0"/>
      <w:marBottom w:val="0"/>
      <w:divBdr>
        <w:top w:val="none" w:sz="0" w:space="0" w:color="auto"/>
        <w:left w:val="none" w:sz="0" w:space="0" w:color="auto"/>
        <w:bottom w:val="none" w:sz="0" w:space="0" w:color="auto"/>
        <w:right w:val="none" w:sz="0" w:space="0" w:color="auto"/>
      </w:divBdr>
    </w:div>
    <w:div w:id="1154417136">
      <w:bodyDiv w:val="1"/>
      <w:marLeft w:val="0"/>
      <w:marRight w:val="0"/>
      <w:marTop w:val="0"/>
      <w:marBottom w:val="0"/>
      <w:divBdr>
        <w:top w:val="none" w:sz="0" w:space="0" w:color="auto"/>
        <w:left w:val="none" w:sz="0" w:space="0" w:color="auto"/>
        <w:bottom w:val="none" w:sz="0" w:space="0" w:color="auto"/>
        <w:right w:val="none" w:sz="0" w:space="0" w:color="auto"/>
      </w:divBdr>
    </w:div>
    <w:div w:id="1174566202">
      <w:bodyDiv w:val="1"/>
      <w:marLeft w:val="0"/>
      <w:marRight w:val="0"/>
      <w:marTop w:val="0"/>
      <w:marBottom w:val="0"/>
      <w:divBdr>
        <w:top w:val="none" w:sz="0" w:space="0" w:color="auto"/>
        <w:left w:val="none" w:sz="0" w:space="0" w:color="auto"/>
        <w:bottom w:val="none" w:sz="0" w:space="0" w:color="auto"/>
        <w:right w:val="none" w:sz="0" w:space="0" w:color="auto"/>
      </w:divBdr>
    </w:div>
    <w:div w:id="1188374160">
      <w:bodyDiv w:val="1"/>
      <w:marLeft w:val="0"/>
      <w:marRight w:val="0"/>
      <w:marTop w:val="0"/>
      <w:marBottom w:val="0"/>
      <w:divBdr>
        <w:top w:val="none" w:sz="0" w:space="0" w:color="auto"/>
        <w:left w:val="none" w:sz="0" w:space="0" w:color="auto"/>
        <w:bottom w:val="none" w:sz="0" w:space="0" w:color="auto"/>
        <w:right w:val="none" w:sz="0" w:space="0" w:color="auto"/>
      </w:divBdr>
    </w:div>
    <w:div w:id="1217470880">
      <w:bodyDiv w:val="1"/>
      <w:marLeft w:val="0"/>
      <w:marRight w:val="0"/>
      <w:marTop w:val="0"/>
      <w:marBottom w:val="0"/>
      <w:divBdr>
        <w:top w:val="none" w:sz="0" w:space="0" w:color="auto"/>
        <w:left w:val="none" w:sz="0" w:space="0" w:color="auto"/>
        <w:bottom w:val="none" w:sz="0" w:space="0" w:color="auto"/>
        <w:right w:val="none" w:sz="0" w:space="0" w:color="auto"/>
      </w:divBdr>
    </w:div>
    <w:div w:id="1221595790">
      <w:bodyDiv w:val="1"/>
      <w:marLeft w:val="0"/>
      <w:marRight w:val="0"/>
      <w:marTop w:val="0"/>
      <w:marBottom w:val="0"/>
      <w:divBdr>
        <w:top w:val="none" w:sz="0" w:space="0" w:color="auto"/>
        <w:left w:val="none" w:sz="0" w:space="0" w:color="auto"/>
        <w:bottom w:val="none" w:sz="0" w:space="0" w:color="auto"/>
        <w:right w:val="none" w:sz="0" w:space="0" w:color="auto"/>
      </w:divBdr>
    </w:div>
    <w:div w:id="1236862806">
      <w:bodyDiv w:val="1"/>
      <w:marLeft w:val="0"/>
      <w:marRight w:val="0"/>
      <w:marTop w:val="0"/>
      <w:marBottom w:val="0"/>
      <w:divBdr>
        <w:top w:val="none" w:sz="0" w:space="0" w:color="auto"/>
        <w:left w:val="none" w:sz="0" w:space="0" w:color="auto"/>
        <w:bottom w:val="none" w:sz="0" w:space="0" w:color="auto"/>
        <w:right w:val="none" w:sz="0" w:space="0" w:color="auto"/>
      </w:divBdr>
    </w:div>
    <w:div w:id="1258443064">
      <w:bodyDiv w:val="1"/>
      <w:marLeft w:val="0"/>
      <w:marRight w:val="0"/>
      <w:marTop w:val="0"/>
      <w:marBottom w:val="0"/>
      <w:divBdr>
        <w:top w:val="none" w:sz="0" w:space="0" w:color="auto"/>
        <w:left w:val="none" w:sz="0" w:space="0" w:color="auto"/>
        <w:bottom w:val="none" w:sz="0" w:space="0" w:color="auto"/>
        <w:right w:val="none" w:sz="0" w:space="0" w:color="auto"/>
      </w:divBdr>
    </w:div>
    <w:div w:id="1264993440">
      <w:bodyDiv w:val="1"/>
      <w:marLeft w:val="0"/>
      <w:marRight w:val="0"/>
      <w:marTop w:val="0"/>
      <w:marBottom w:val="0"/>
      <w:divBdr>
        <w:top w:val="none" w:sz="0" w:space="0" w:color="auto"/>
        <w:left w:val="none" w:sz="0" w:space="0" w:color="auto"/>
        <w:bottom w:val="none" w:sz="0" w:space="0" w:color="auto"/>
        <w:right w:val="none" w:sz="0" w:space="0" w:color="auto"/>
      </w:divBdr>
    </w:div>
    <w:div w:id="1266962035">
      <w:bodyDiv w:val="1"/>
      <w:marLeft w:val="0"/>
      <w:marRight w:val="0"/>
      <w:marTop w:val="0"/>
      <w:marBottom w:val="0"/>
      <w:divBdr>
        <w:top w:val="none" w:sz="0" w:space="0" w:color="auto"/>
        <w:left w:val="none" w:sz="0" w:space="0" w:color="auto"/>
        <w:bottom w:val="none" w:sz="0" w:space="0" w:color="auto"/>
        <w:right w:val="none" w:sz="0" w:space="0" w:color="auto"/>
      </w:divBdr>
    </w:div>
    <w:div w:id="1272057202">
      <w:bodyDiv w:val="1"/>
      <w:marLeft w:val="0"/>
      <w:marRight w:val="0"/>
      <w:marTop w:val="0"/>
      <w:marBottom w:val="0"/>
      <w:divBdr>
        <w:top w:val="none" w:sz="0" w:space="0" w:color="auto"/>
        <w:left w:val="none" w:sz="0" w:space="0" w:color="auto"/>
        <w:bottom w:val="none" w:sz="0" w:space="0" w:color="auto"/>
        <w:right w:val="none" w:sz="0" w:space="0" w:color="auto"/>
      </w:divBdr>
    </w:div>
    <w:div w:id="1317224540">
      <w:bodyDiv w:val="1"/>
      <w:marLeft w:val="0"/>
      <w:marRight w:val="0"/>
      <w:marTop w:val="0"/>
      <w:marBottom w:val="0"/>
      <w:divBdr>
        <w:top w:val="none" w:sz="0" w:space="0" w:color="auto"/>
        <w:left w:val="none" w:sz="0" w:space="0" w:color="auto"/>
        <w:bottom w:val="none" w:sz="0" w:space="0" w:color="auto"/>
        <w:right w:val="none" w:sz="0" w:space="0" w:color="auto"/>
      </w:divBdr>
    </w:div>
    <w:div w:id="1326081683">
      <w:bodyDiv w:val="1"/>
      <w:marLeft w:val="0"/>
      <w:marRight w:val="0"/>
      <w:marTop w:val="0"/>
      <w:marBottom w:val="0"/>
      <w:divBdr>
        <w:top w:val="none" w:sz="0" w:space="0" w:color="auto"/>
        <w:left w:val="none" w:sz="0" w:space="0" w:color="auto"/>
        <w:bottom w:val="none" w:sz="0" w:space="0" w:color="auto"/>
        <w:right w:val="none" w:sz="0" w:space="0" w:color="auto"/>
      </w:divBdr>
    </w:div>
    <w:div w:id="1326318512">
      <w:bodyDiv w:val="1"/>
      <w:marLeft w:val="0"/>
      <w:marRight w:val="0"/>
      <w:marTop w:val="0"/>
      <w:marBottom w:val="0"/>
      <w:divBdr>
        <w:top w:val="none" w:sz="0" w:space="0" w:color="auto"/>
        <w:left w:val="none" w:sz="0" w:space="0" w:color="auto"/>
        <w:bottom w:val="none" w:sz="0" w:space="0" w:color="auto"/>
        <w:right w:val="none" w:sz="0" w:space="0" w:color="auto"/>
      </w:divBdr>
    </w:div>
    <w:div w:id="1329943385">
      <w:bodyDiv w:val="1"/>
      <w:marLeft w:val="0"/>
      <w:marRight w:val="0"/>
      <w:marTop w:val="0"/>
      <w:marBottom w:val="0"/>
      <w:divBdr>
        <w:top w:val="none" w:sz="0" w:space="0" w:color="auto"/>
        <w:left w:val="none" w:sz="0" w:space="0" w:color="auto"/>
        <w:bottom w:val="none" w:sz="0" w:space="0" w:color="auto"/>
        <w:right w:val="none" w:sz="0" w:space="0" w:color="auto"/>
      </w:divBdr>
    </w:div>
    <w:div w:id="1340230205">
      <w:bodyDiv w:val="1"/>
      <w:marLeft w:val="0"/>
      <w:marRight w:val="0"/>
      <w:marTop w:val="0"/>
      <w:marBottom w:val="0"/>
      <w:divBdr>
        <w:top w:val="none" w:sz="0" w:space="0" w:color="auto"/>
        <w:left w:val="none" w:sz="0" w:space="0" w:color="auto"/>
        <w:bottom w:val="none" w:sz="0" w:space="0" w:color="auto"/>
        <w:right w:val="none" w:sz="0" w:space="0" w:color="auto"/>
      </w:divBdr>
    </w:div>
    <w:div w:id="1346597543">
      <w:bodyDiv w:val="1"/>
      <w:marLeft w:val="0"/>
      <w:marRight w:val="0"/>
      <w:marTop w:val="0"/>
      <w:marBottom w:val="0"/>
      <w:divBdr>
        <w:top w:val="none" w:sz="0" w:space="0" w:color="auto"/>
        <w:left w:val="none" w:sz="0" w:space="0" w:color="auto"/>
        <w:bottom w:val="none" w:sz="0" w:space="0" w:color="auto"/>
        <w:right w:val="none" w:sz="0" w:space="0" w:color="auto"/>
      </w:divBdr>
    </w:div>
    <w:div w:id="1367022876">
      <w:bodyDiv w:val="1"/>
      <w:marLeft w:val="0"/>
      <w:marRight w:val="0"/>
      <w:marTop w:val="0"/>
      <w:marBottom w:val="0"/>
      <w:divBdr>
        <w:top w:val="none" w:sz="0" w:space="0" w:color="auto"/>
        <w:left w:val="none" w:sz="0" w:space="0" w:color="auto"/>
        <w:bottom w:val="none" w:sz="0" w:space="0" w:color="auto"/>
        <w:right w:val="none" w:sz="0" w:space="0" w:color="auto"/>
      </w:divBdr>
    </w:div>
    <w:div w:id="1388140509">
      <w:bodyDiv w:val="1"/>
      <w:marLeft w:val="0"/>
      <w:marRight w:val="0"/>
      <w:marTop w:val="0"/>
      <w:marBottom w:val="0"/>
      <w:divBdr>
        <w:top w:val="none" w:sz="0" w:space="0" w:color="auto"/>
        <w:left w:val="none" w:sz="0" w:space="0" w:color="auto"/>
        <w:bottom w:val="none" w:sz="0" w:space="0" w:color="auto"/>
        <w:right w:val="none" w:sz="0" w:space="0" w:color="auto"/>
      </w:divBdr>
    </w:div>
    <w:div w:id="1390690469">
      <w:bodyDiv w:val="1"/>
      <w:marLeft w:val="0"/>
      <w:marRight w:val="0"/>
      <w:marTop w:val="0"/>
      <w:marBottom w:val="0"/>
      <w:divBdr>
        <w:top w:val="none" w:sz="0" w:space="0" w:color="auto"/>
        <w:left w:val="none" w:sz="0" w:space="0" w:color="auto"/>
        <w:bottom w:val="none" w:sz="0" w:space="0" w:color="auto"/>
        <w:right w:val="none" w:sz="0" w:space="0" w:color="auto"/>
      </w:divBdr>
    </w:div>
    <w:div w:id="1426029276">
      <w:bodyDiv w:val="1"/>
      <w:marLeft w:val="0"/>
      <w:marRight w:val="0"/>
      <w:marTop w:val="0"/>
      <w:marBottom w:val="0"/>
      <w:divBdr>
        <w:top w:val="none" w:sz="0" w:space="0" w:color="auto"/>
        <w:left w:val="none" w:sz="0" w:space="0" w:color="auto"/>
        <w:bottom w:val="none" w:sz="0" w:space="0" w:color="auto"/>
        <w:right w:val="none" w:sz="0" w:space="0" w:color="auto"/>
      </w:divBdr>
    </w:div>
    <w:div w:id="1437604762">
      <w:bodyDiv w:val="1"/>
      <w:marLeft w:val="0"/>
      <w:marRight w:val="0"/>
      <w:marTop w:val="0"/>
      <w:marBottom w:val="0"/>
      <w:divBdr>
        <w:top w:val="none" w:sz="0" w:space="0" w:color="auto"/>
        <w:left w:val="none" w:sz="0" w:space="0" w:color="auto"/>
        <w:bottom w:val="none" w:sz="0" w:space="0" w:color="auto"/>
        <w:right w:val="none" w:sz="0" w:space="0" w:color="auto"/>
      </w:divBdr>
    </w:div>
    <w:div w:id="1446189440">
      <w:bodyDiv w:val="1"/>
      <w:marLeft w:val="0"/>
      <w:marRight w:val="0"/>
      <w:marTop w:val="0"/>
      <w:marBottom w:val="0"/>
      <w:divBdr>
        <w:top w:val="none" w:sz="0" w:space="0" w:color="auto"/>
        <w:left w:val="none" w:sz="0" w:space="0" w:color="auto"/>
        <w:bottom w:val="none" w:sz="0" w:space="0" w:color="auto"/>
        <w:right w:val="none" w:sz="0" w:space="0" w:color="auto"/>
      </w:divBdr>
    </w:div>
    <w:div w:id="1450591970">
      <w:bodyDiv w:val="1"/>
      <w:marLeft w:val="0"/>
      <w:marRight w:val="0"/>
      <w:marTop w:val="0"/>
      <w:marBottom w:val="0"/>
      <w:divBdr>
        <w:top w:val="none" w:sz="0" w:space="0" w:color="auto"/>
        <w:left w:val="none" w:sz="0" w:space="0" w:color="auto"/>
        <w:bottom w:val="none" w:sz="0" w:space="0" w:color="auto"/>
        <w:right w:val="none" w:sz="0" w:space="0" w:color="auto"/>
      </w:divBdr>
    </w:div>
    <w:div w:id="1453358293">
      <w:bodyDiv w:val="1"/>
      <w:marLeft w:val="0"/>
      <w:marRight w:val="0"/>
      <w:marTop w:val="0"/>
      <w:marBottom w:val="0"/>
      <w:divBdr>
        <w:top w:val="none" w:sz="0" w:space="0" w:color="auto"/>
        <w:left w:val="none" w:sz="0" w:space="0" w:color="auto"/>
        <w:bottom w:val="none" w:sz="0" w:space="0" w:color="auto"/>
        <w:right w:val="none" w:sz="0" w:space="0" w:color="auto"/>
      </w:divBdr>
    </w:div>
    <w:div w:id="1466386403">
      <w:bodyDiv w:val="1"/>
      <w:marLeft w:val="0"/>
      <w:marRight w:val="0"/>
      <w:marTop w:val="0"/>
      <w:marBottom w:val="0"/>
      <w:divBdr>
        <w:top w:val="none" w:sz="0" w:space="0" w:color="auto"/>
        <w:left w:val="none" w:sz="0" w:space="0" w:color="auto"/>
        <w:bottom w:val="none" w:sz="0" w:space="0" w:color="auto"/>
        <w:right w:val="none" w:sz="0" w:space="0" w:color="auto"/>
      </w:divBdr>
    </w:div>
    <w:div w:id="1485046264">
      <w:bodyDiv w:val="1"/>
      <w:marLeft w:val="0"/>
      <w:marRight w:val="0"/>
      <w:marTop w:val="0"/>
      <w:marBottom w:val="0"/>
      <w:divBdr>
        <w:top w:val="none" w:sz="0" w:space="0" w:color="auto"/>
        <w:left w:val="none" w:sz="0" w:space="0" w:color="auto"/>
        <w:bottom w:val="none" w:sz="0" w:space="0" w:color="auto"/>
        <w:right w:val="none" w:sz="0" w:space="0" w:color="auto"/>
      </w:divBdr>
    </w:div>
    <w:div w:id="1493445089">
      <w:bodyDiv w:val="1"/>
      <w:marLeft w:val="0"/>
      <w:marRight w:val="0"/>
      <w:marTop w:val="0"/>
      <w:marBottom w:val="0"/>
      <w:divBdr>
        <w:top w:val="none" w:sz="0" w:space="0" w:color="auto"/>
        <w:left w:val="none" w:sz="0" w:space="0" w:color="auto"/>
        <w:bottom w:val="none" w:sz="0" w:space="0" w:color="auto"/>
        <w:right w:val="none" w:sz="0" w:space="0" w:color="auto"/>
      </w:divBdr>
    </w:div>
    <w:div w:id="1493912386">
      <w:bodyDiv w:val="1"/>
      <w:marLeft w:val="0"/>
      <w:marRight w:val="0"/>
      <w:marTop w:val="0"/>
      <w:marBottom w:val="0"/>
      <w:divBdr>
        <w:top w:val="none" w:sz="0" w:space="0" w:color="auto"/>
        <w:left w:val="none" w:sz="0" w:space="0" w:color="auto"/>
        <w:bottom w:val="none" w:sz="0" w:space="0" w:color="auto"/>
        <w:right w:val="none" w:sz="0" w:space="0" w:color="auto"/>
      </w:divBdr>
    </w:div>
    <w:div w:id="1497769991">
      <w:bodyDiv w:val="1"/>
      <w:marLeft w:val="0"/>
      <w:marRight w:val="0"/>
      <w:marTop w:val="0"/>
      <w:marBottom w:val="0"/>
      <w:divBdr>
        <w:top w:val="none" w:sz="0" w:space="0" w:color="auto"/>
        <w:left w:val="none" w:sz="0" w:space="0" w:color="auto"/>
        <w:bottom w:val="none" w:sz="0" w:space="0" w:color="auto"/>
        <w:right w:val="none" w:sz="0" w:space="0" w:color="auto"/>
      </w:divBdr>
    </w:div>
    <w:div w:id="1509556947">
      <w:bodyDiv w:val="1"/>
      <w:marLeft w:val="0"/>
      <w:marRight w:val="0"/>
      <w:marTop w:val="0"/>
      <w:marBottom w:val="0"/>
      <w:divBdr>
        <w:top w:val="none" w:sz="0" w:space="0" w:color="auto"/>
        <w:left w:val="none" w:sz="0" w:space="0" w:color="auto"/>
        <w:bottom w:val="none" w:sz="0" w:space="0" w:color="auto"/>
        <w:right w:val="none" w:sz="0" w:space="0" w:color="auto"/>
      </w:divBdr>
    </w:div>
    <w:div w:id="1517577919">
      <w:bodyDiv w:val="1"/>
      <w:marLeft w:val="0"/>
      <w:marRight w:val="0"/>
      <w:marTop w:val="0"/>
      <w:marBottom w:val="0"/>
      <w:divBdr>
        <w:top w:val="none" w:sz="0" w:space="0" w:color="auto"/>
        <w:left w:val="none" w:sz="0" w:space="0" w:color="auto"/>
        <w:bottom w:val="none" w:sz="0" w:space="0" w:color="auto"/>
        <w:right w:val="none" w:sz="0" w:space="0" w:color="auto"/>
      </w:divBdr>
    </w:div>
    <w:div w:id="1555390205">
      <w:bodyDiv w:val="1"/>
      <w:marLeft w:val="0"/>
      <w:marRight w:val="0"/>
      <w:marTop w:val="0"/>
      <w:marBottom w:val="0"/>
      <w:divBdr>
        <w:top w:val="none" w:sz="0" w:space="0" w:color="auto"/>
        <w:left w:val="none" w:sz="0" w:space="0" w:color="auto"/>
        <w:bottom w:val="none" w:sz="0" w:space="0" w:color="auto"/>
        <w:right w:val="none" w:sz="0" w:space="0" w:color="auto"/>
      </w:divBdr>
    </w:div>
    <w:div w:id="1555972123">
      <w:bodyDiv w:val="1"/>
      <w:marLeft w:val="0"/>
      <w:marRight w:val="0"/>
      <w:marTop w:val="0"/>
      <w:marBottom w:val="0"/>
      <w:divBdr>
        <w:top w:val="none" w:sz="0" w:space="0" w:color="auto"/>
        <w:left w:val="none" w:sz="0" w:space="0" w:color="auto"/>
        <w:bottom w:val="none" w:sz="0" w:space="0" w:color="auto"/>
        <w:right w:val="none" w:sz="0" w:space="0" w:color="auto"/>
      </w:divBdr>
    </w:div>
    <w:div w:id="1558281539">
      <w:bodyDiv w:val="1"/>
      <w:marLeft w:val="0"/>
      <w:marRight w:val="0"/>
      <w:marTop w:val="0"/>
      <w:marBottom w:val="0"/>
      <w:divBdr>
        <w:top w:val="none" w:sz="0" w:space="0" w:color="auto"/>
        <w:left w:val="none" w:sz="0" w:space="0" w:color="auto"/>
        <w:bottom w:val="none" w:sz="0" w:space="0" w:color="auto"/>
        <w:right w:val="none" w:sz="0" w:space="0" w:color="auto"/>
      </w:divBdr>
    </w:div>
    <w:div w:id="1566916817">
      <w:bodyDiv w:val="1"/>
      <w:marLeft w:val="0"/>
      <w:marRight w:val="0"/>
      <w:marTop w:val="0"/>
      <w:marBottom w:val="0"/>
      <w:divBdr>
        <w:top w:val="none" w:sz="0" w:space="0" w:color="auto"/>
        <w:left w:val="none" w:sz="0" w:space="0" w:color="auto"/>
        <w:bottom w:val="none" w:sz="0" w:space="0" w:color="auto"/>
        <w:right w:val="none" w:sz="0" w:space="0" w:color="auto"/>
      </w:divBdr>
    </w:div>
    <w:div w:id="1567033465">
      <w:bodyDiv w:val="1"/>
      <w:marLeft w:val="0"/>
      <w:marRight w:val="0"/>
      <w:marTop w:val="0"/>
      <w:marBottom w:val="0"/>
      <w:divBdr>
        <w:top w:val="none" w:sz="0" w:space="0" w:color="auto"/>
        <w:left w:val="none" w:sz="0" w:space="0" w:color="auto"/>
        <w:bottom w:val="none" w:sz="0" w:space="0" w:color="auto"/>
        <w:right w:val="none" w:sz="0" w:space="0" w:color="auto"/>
      </w:divBdr>
    </w:div>
    <w:div w:id="1581327689">
      <w:bodyDiv w:val="1"/>
      <w:marLeft w:val="0"/>
      <w:marRight w:val="0"/>
      <w:marTop w:val="0"/>
      <w:marBottom w:val="0"/>
      <w:divBdr>
        <w:top w:val="none" w:sz="0" w:space="0" w:color="auto"/>
        <w:left w:val="none" w:sz="0" w:space="0" w:color="auto"/>
        <w:bottom w:val="none" w:sz="0" w:space="0" w:color="auto"/>
        <w:right w:val="none" w:sz="0" w:space="0" w:color="auto"/>
      </w:divBdr>
    </w:div>
    <w:div w:id="1621691743">
      <w:bodyDiv w:val="1"/>
      <w:marLeft w:val="0"/>
      <w:marRight w:val="0"/>
      <w:marTop w:val="0"/>
      <w:marBottom w:val="0"/>
      <w:divBdr>
        <w:top w:val="none" w:sz="0" w:space="0" w:color="auto"/>
        <w:left w:val="none" w:sz="0" w:space="0" w:color="auto"/>
        <w:bottom w:val="none" w:sz="0" w:space="0" w:color="auto"/>
        <w:right w:val="none" w:sz="0" w:space="0" w:color="auto"/>
      </w:divBdr>
    </w:div>
    <w:div w:id="1625695011">
      <w:bodyDiv w:val="1"/>
      <w:marLeft w:val="0"/>
      <w:marRight w:val="0"/>
      <w:marTop w:val="0"/>
      <w:marBottom w:val="0"/>
      <w:divBdr>
        <w:top w:val="none" w:sz="0" w:space="0" w:color="auto"/>
        <w:left w:val="none" w:sz="0" w:space="0" w:color="auto"/>
        <w:bottom w:val="none" w:sz="0" w:space="0" w:color="auto"/>
        <w:right w:val="none" w:sz="0" w:space="0" w:color="auto"/>
      </w:divBdr>
    </w:div>
    <w:div w:id="1637222396">
      <w:bodyDiv w:val="1"/>
      <w:marLeft w:val="0"/>
      <w:marRight w:val="0"/>
      <w:marTop w:val="0"/>
      <w:marBottom w:val="0"/>
      <w:divBdr>
        <w:top w:val="none" w:sz="0" w:space="0" w:color="auto"/>
        <w:left w:val="none" w:sz="0" w:space="0" w:color="auto"/>
        <w:bottom w:val="none" w:sz="0" w:space="0" w:color="auto"/>
        <w:right w:val="none" w:sz="0" w:space="0" w:color="auto"/>
      </w:divBdr>
    </w:div>
    <w:div w:id="1667437084">
      <w:bodyDiv w:val="1"/>
      <w:marLeft w:val="0"/>
      <w:marRight w:val="0"/>
      <w:marTop w:val="0"/>
      <w:marBottom w:val="0"/>
      <w:divBdr>
        <w:top w:val="none" w:sz="0" w:space="0" w:color="auto"/>
        <w:left w:val="none" w:sz="0" w:space="0" w:color="auto"/>
        <w:bottom w:val="none" w:sz="0" w:space="0" w:color="auto"/>
        <w:right w:val="none" w:sz="0" w:space="0" w:color="auto"/>
      </w:divBdr>
    </w:div>
    <w:div w:id="1678918134">
      <w:bodyDiv w:val="1"/>
      <w:marLeft w:val="0"/>
      <w:marRight w:val="0"/>
      <w:marTop w:val="0"/>
      <w:marBottom w:val="0"/>
      <w:divBdr>
        <w:top w:val="none" w:sz="0" w:space="0" w:color="auto"/>
        <w:left w:val="none" w:sz="0" w:space="0" w:color="auto"/>
        <w:bottom w:val="none" w:sz="0" w:space="0" w:color="auto"/>
        <w:right w:val="none" w:sz="0" w:space="0" w:color="auto"/>
      </w:divBdr>
    </w:div>
    <w:div w:id="1722513041">
      <w:bodyDiv w:val="1"/>
      <w:marLeft w:val="0"/>
      <w:marRight w:val="0"/>
      <w:marTop w:val="0"/>
      <w:marBottom w:val="0"/>
      <w:divBdr>
        <w:top w:val="none" w:sz="0" w:space="0" w:color="auto"/>
        <w:left w:val="none" w:sz="0" w:space="0" w:color="auto"/>
        <w:bottom w:val="none" w:sz="0" w:space="0" w:color="auto"/>
        <w:right w:val="none" w:sz="0" w:space="0" w:color="auto"/>
      </w:divBdr>
    </w:div>
    <w:div w:id="1726102093">
      <w:bodyDiv w:val="1"/>
      <w:marLeft w:val="0"/>
      <w:marRight w:val="0"/>
      <w:marTop w:val="0"/>
      <w:marBottom w:val="0"/>
      <w:divBdr>
        <w:top w:val="none" w:sz="0" w:space="0" w:color="auto"/>
        <w:left w:val="none" w:sz="0" w:space="0" w:color="auto"/>
        <w:bottom w:val="none" w:sz="0" w:space="0" w:color="auto"/>
        <w:right w:val="none" w:sz="0" w:space="0" w:color="auto"/>
      </w:divBdr>
    </w:div>
    <w:div w:id="1728256725">
      <w:bodyDiv w:val="1"/>
      <w:marLeft w:val="0"/>
      <w:marRight w:val="0"/>
      <w:marTop w:val="0"/>
      <w:marBottom w:val="0"/>
      <w:divBdr>
        <w:top w:val="none" w:sz="0" w:space="0" w:color="auto"/>
        <w:left w:val="none" w:sz="0" w:space="0" w:color="auto"/>
        <w:bottom w:val="none" w:sz="0" w:space="0" w:color="auto"/>
        <w:right w:val="none" w:sz="0" w:space="0" w:color="auto"/>
      </w:divBdr>
    </w:div>
    <w:div w:id="1733771224">
      <w:bodyDiv w:val="1"/>
      <w:marLeft w:val="0"/>
      <w:marRight w:val="0"/>
      <w:marTop w:val="0"/>
      <w:marBottom w:val="0"/>
      <w:divBdr>
        <w:top w:val="none" w:sz="0" w:space="0" w:color="auto"/>
        <w:left w:val="none" w:sz="0" w:space="0" w:color="auto"/>
        <w:bottom w:val="none" w:sz="0" w:space="0" w:color="auto"/>
        <w:right w:val="none" w:sz="0" w:space="0" w:color="auto"/>
      </w:divBdr>
    </w:div>
    <w:div w:id="1738358853">
      <w:bodyDiv w:val="1"/>
      <w:marLeft w:val="0"/>
      <w:marRight w:val="0"/>
      <w:marTop w:val="0"/>
      <w:marBottom w:val="0"/>
      <w:divBdr>
        <w:top w:val="none" w:sz="0" w:space="0" w:color="auto"/>
        <w:left w:val="none" w:sz="0" w:space="0" w:color="auto"/>
        <w:bottom w:val="none" w:sz="0" w:space="0" w:color="auto"/>
        <w:right w:val="none" w:sz="0" w:space="0" w:color="auto"/>
      </w:divBdr>
    </w:div>
    <w:div w:id="1742826202">
      <w:bodyDiv w:val="1"/>
      <w:marLeft w:val="0"/>
      <w:marRight w:val="0"/>
      <w:marTop w:val="0"/>
      <w:marBottom w:val="0"/>
      <w:divBdr>
        <w:top w:val="none" w:sz="0" w:space="0" w:color="auto"/>
        <w:left w:val="none" w:sz="0" w:space="0" w:color="auto"/>
        <w:bottom w:val="none" w:sz="0" w:space="0" w:color="auto"/>
        <w:right w:val="none" w:sz="0" w:space="0" w:color="auto"/>
      </w:divBdr>
    </w:div>
    <w:div w:id="1754468193">
      <w:bodyDiv w:val="1"/>
      <w:marLeft w:val="0"/>
      <w:marRight w:val="0"/>
      <w:marTop w:val="0"/>
      <w:marBottom w:val="0"/>
      <w:divBdr>
        <w:top w:val="none" w:sz="0" w:space="0" w:color="auto"/>
        <w:left w:val="none" w:sz="0" w:space="0" w:color="auto"/>
        <w:bottom w:val="none" w:sz="0" w:space="0" w:color="auto"/>
        <w:right w:val="none" w:sz="0" w:space="0" w:color="auto"/>
      </w:divBdr>
    </w:div>
    <w:div w:id="1805612157">
      <w:bodyDiv w:val="1"/>
      <w:marLeft w:val="0"/>
      <w:marRight w:val="0"/>
      <w:marTop w:val="0"/>
      <w:marBottom w:val="0"/>
      <w:divBdr>
        <w:top w:val="none" w:sz="0" w:space="0" w:color="auto"/>
        <w:left w:val="none" w:sz="0" w:space="0" w:color="auto"/>
        <w:bottom w:val="none" w:sz="0" w:space="0" w:color="auto"/>
        <w:right w:val="none" w:sz="0" w:space="0" w:color="auto"/>
      </w:divBdr>
    </w:div>
    <w:div w:id="1820263721">
      <w:bodyDiv w:val="1"/>
      <w:marLeft w:val="0"/>
      <w:marRight w:val="0"/>
      <w:marTop w:val="0"/>
      <w:marBottom w:val="0"/>
      <w:divBdr>
        <w:top w:val="none" w:sz="0" w:space="0" w:color="auto"/>
        <w:left w:val="none" w:sz="0" w:space="0" w:color="auto"/>
        <w:bottom w:val="none" w:sz="0" w:space="0" w:color="auto"/>
        <w:right w:val="none" w:sz="0" w:space="0" w:color="auto"/>
      </w:divBdr>
    </w:div>
    <w:div w:id="1832677246">
      <w:bodyDiv w:val="1"/>
      <w:marLeft w:val="0"/>
      <w:marRight w:val="0"/>
      <w:marTop w:val="0"/>
      <w:marBottom w:val="0"/>
      <w:divBdr>
        <w:top w:val="none" w:sz="0" w:space="0" w:color="auto"/>
        <w:left w:val="none" w:sz="0" w:space="0" w:color="auto"/>
        <w:bottom w:val="none" w:sz="0" w:space="0" w:color="auto"/>
        <w:right w:val="none" w:sz="0" w:space="0" w:color="auto"/>
      </w:divBdr>
    </w:div>
    <w:div w:id="1863087211">
      <w:bodyDiv w:val="1"/>
      <w:marLeft w:val="0"/>
      <w:marRight w:val="0"/>
      <w:marTop w:val="0"/>
      <w:marBottom w:val="0"/>
      <w:divBdr>
        <w:top w:val="none" w:sz="0" w:space="0" w:color="auto"/>
        <w:left w:val="none" w:sz="0" w:space="0" w:color="auto"/>
        <w:bottom w:val="none" w:sz="0" w:space="0" w:color="auto"/>
        <w:right w:val="none" w:sz="0" w:space="0" w:color="auto"/>
      </w:divBdr>
    </w:div>
    <w:div w:id="1877112256">
      <w:bodyDiv w:val="1"/>
      <w:marLeft w:val="0"/>
      <w:marRight w:val="0"/>
      <w:marTop w:val="0"/>
      <w:marBottom w:val="0"/>
      <w:divBdr>
        <w:top w:val="none" w:sz="0" w:space="0" w:color="auto"/>
        <w:left w:val="none" w:sz="0" w:space="0" w:color="auto"/>
        <w:bottom w:val="none" w:sz="0" w:space="0" w:color="auto"/>
        <w:right w:val="none" w:sz="0" w:space="0" w:color="auto"/>
      </w:divBdr>
    </w:div>
    <w:div w:id="1897163532">
      <w:bodyDiv w:val="1"/>
      <w:marLeft w:val="0"/>
      <w:marRight w:val="0"/>
      <w:marTop w:val="0"/>
      <w:marBottom w:val="0"/>
      <w:divBdr>
        <w:top w:val="none" w:sz="0" w:space="0" w:color="auto"/>
        <w:left w:val="none" w:sz="0" w:space="0" w:color="auto"/>
        <w:bottom w:val="none" w:sz="0" w:space="0" w:color="auto"/>
        <w:right w:val="none" w:sz="0" w:space="0" w:color="auto"/>
      </w:divBdr>
    </w:div>
    <w:div w:id="1939748683">
      <w:bodyDiv w:val="1"/>
      <w:marLeft w:val="0"/>
      <w:marRight w:val="0"/>
      <w:marTop w:val="0"/>
      <w:marBottom w:val="0"/>
      <w:divBdr>
        <w:top w:val="none" w:sz="0" w:space="0" w:color="auto"/>
        <w:left w:val="none" w:sz="0" w:space="0" w:color="auto"/>
        <w:bottom w:val="none" w:sz="0" w:space="0" w:color="auto"/>
        <w:right w:val="none" w:sz="0" w:space="0" w:color="auto"/>
      </w:divBdr>
    </w:div>
    <w:div w:id="1945727844">
      <w:bodyDiv w:val="1"/>
      <w:marLeft w:val="0"/>
      <w:marRight w:val="0"/>
      <w:marTop w:val="0"/>
      <w:marBottom w:val="0"/>
      <w:divBdr>
        <w:top w:val="none" w:sz="0" w:space="0" w:color="auto"/>
        <w:left w:val="none" w:sz="0" w:space="0" w:color="auto"/>
        <w:bottom w:val="none" w:sz="0" w:space="0" w:color="auto"/>
        <w:right w:val="none" w:sz="0" w:space="0" w:color="auto"/>
      </w:divBdr>
    </w:div>
    <w:div w:id="1956523057">
      <w:bodyDiv w:val="1"/>
      <w:marLeft w:val="0"/>
      <w:marRight w:val="0"/>
      <w:marTop w:val="0"/>
      <w:marBottom w:val="0"/>
      <w:divBdr>
        <w:top w:val="none" w:sz="0" w:space="0" w:color="auto"/>
        <w:left w:val="none" w:sz="0" w:space="0" w:color="auto"/>
        <w:bottom w:val="none" w:sz="0" w:space="0" w:color="auto"/>
        <w:right w:val="none" w:sz="0" w:space="0" w:color="auto"/>
      </w:divBdr>
    </w:div>
    <w:div w:id="1959942892">
      <w:bodyDiv w:val="1"/>
      <w:marLeft w:val="0"/>
      <w:marRight w:val="0"/>
      <w:marTop w:val="0"/>
      <w:marBottom w:val="0"/>
      <w:divBdr>
        <w:top w:val="none" w:sz="0" w:space="0" w:color="auto"/>
        <w:left w:val="none" w:sz="0" w:space="0" w:color="auto"/>
        <w:bottom w:val="none" w:sz="0" w:space="0" w:color="auto"/>
        <w:right w:val="none" w:sz="0" w:space="0" w:color="auto"/>
      </w:divBdr>
    </w:div>
    <w:div w:id="1965884937">
      <w:bodyDiv w:val="1"/>
      <w:marLeft w:val="0"/>
      <w:marRight w:val="0"/>
      <w:marTop w:val="0"/>
      <w:marBottom w:val="0"/>
      <w:divBdr>
        <w:top w:val="none" w:sz="0" w:space="0" w:color="auto"/>
        <w:left w:val="none" w:sz="0" w:space="0" w:color="auto"/>
        <w:bottom w:val="none" w:sz="0" w:space="0" w:color="auto"/>
        <w:right w:val="none" w:sz="0" w:space="0" w:color="auto"/>
      </w:divBdr>
    </w:div>
    <w:div w:id="2000111262">
      <w:bodyDiv w:val="1"/>
      <w:marLeft w:val="0"/>
      <w:marRight w:val="0"/>
      <w:marTop w:val="0"/>
      <w:marBottom w:val="0"/>
      <w:divBdr>
        <w:top w:val="none" w:sz="0" w:space="0" w:color="auto"/>
        <w:left w:val="none" w:sz="0" w:space="0" w:color="auto"/>
        <w:bottom w:val="none" w:sz="0" w:space="0" w:color="auto"/>
        <w:right w:val="none" w:sz="0" w:space="0" w:color="auto"/>
      </w:divBdr>
    </w:div>
    <w:div w:id="2012565577">
      <w:bodyDiv w:val="1"/>
      <w:marLeft w:val="0"/>
      <w:marRight w:val="0"/>
      <w:marTop w:val="0"/>
      <w:marBottom w:val="0"/>
      <w:divBdr>
        <w:top w:val="none" w:sz="0" w:space="0" w:color="auto"/>
        <w:left w:val="none" w:sz="0" w:space="0" w:color="auto"/>
        <w:bottom w:val="none" w:sz="0" w:space="0" w:color="auto"/>
        <w:right w:val="none" w:sz="0" w:space="0" w:color="auto"/>
      </w:divBdr>
    </w:div>
    <w:div w:id="2016497533">
      <w:bodyDiv w:val="1"/>
      <w:marLeft w:val="0"/>
      <w:marRight w:val="0"/>
      <w:marTop w:val="0"/>
      <w:marBottom w:val="0"/>
      <w:divBdr>
        <w:top w:val="none" w:sz="0" w:space="0" w:color="auto"/>
        <w:left w:val="none" w:sz="0" w:space="0" w:color="auto"/>
        <w:bottom w:val="none" w:sz="0" w:space="0" w:color="auto"/>
        <w:right w:val="none" w:sz="0" w:space="0" w:color="auto"/>
      </w:divBdr>
    </w:div>
    <w:div w:id="2017419180">
      <w:bodyDiv w:val="1"/>
      <w:marLeft w:val="0"/>
      <w:marRight w:val="0"/>
      <w:marTop w:val="0"/>
      <w:marBottom w:val="0"/>
      <w:divBdr>
        <w:top w:val="none" w:sz="0" w:space="0" w:color="auto"/>
        <w:left w:val="none" w:sz="0" w:space="0" w:color="auto"/>
        <w:bottom w:val="none" w:sz="0" w:space="0" w:color="auto"/>
        <w:right w:val="none" w:sz="0" w:space="0" w:color="auto"/>
      </w:divBdr>
    </w:div>
    <w:div w:id="2031486210">
      <w:bodyDiv w:val="1"/>
      <w:marLeft w:val="0"/>
      <w:marRight w:val="0"/>
      <w:marTop w:val="0"/>
      <w:marBottom w:val="0"/>
      <w:divBdr>
        <w:top w:val="none" w:sz="0" w:space="0" w:color="auto"/>
        <w:left w:val="none" w:sz="0" w:space="0" w:color="auto"/>
        <w:bottom w:val="none" w:sz="0" w:space="0" w:color="auto"/>
        <w:right w:val="none" w:sz="0" w:space="0" w:color="auto"/>
      </w:divBdr>
    </w:div>
    <w:div w:id="2035962611">
      <w:bodyDiv w:val="1"/>
      <w:marLeft w:val="0"/>
      <w:marRight w:val="0"/>
      <w:marTop w:val="0"/>
      <w:marBottom w:val="0"/>
      <w:divBdr>
        <w:top w:val="none" w:sz="0" w:space="0" w:color="auto"/>
        <w:left w:val="none" w:sz="0" w:space="0" w:color="auto"/>
        <w:bottom w:val="none" w:sz="0" w:space="0" w:color="auto"/>
        <w:right w:val="none" w:sz="0" w:space="0" w:color="auto"/>
      </w:divBdr>
    </w:div>
    <w:div w:id="2038654543">
      <w:bodyDiv w:val="1"/>
      <w:marLeft w:val="0"/>
      <w:marRight w:val="0"/>
      <w:marTop w:val="0"/>
      <w:marBottom w:val="0"/>
      <w:divBdr>
        <w:top w:val="none" w:sz="0" w:space="0" w:color="auto"/>
        <w:left w:val="none" w:sz="0" w:space="0" w:color="auto"/>
        <w:bottom w:val="none" w:sz="0" w:space="0" w:color="auto"/>
        <w:right w:val="none" w:sz="0" w:space="0" w:color="auto"/>
      </w:divBdr>
    </w:div>
    <w:div w:id="2046514128">
      <w:bodyDiv w:val="1"/>
      <w:marLeft w:val="0"/>
      <w:marRight w:val="0"/>
      <w:marTop w:val="0"/>
      <w:marBottom w:val="0"/>
      <w:divBdr>
        <w:top w:val="none" w:sz="0" w:space="0" w:color="auto"/>
        <w:left w:val="none" w:sz="0" w:space="0" w:color="auto"/>
        <w:bottom w:val="none" w:sz="0" w:space="0" w:color="auto"/>
        <w:right w:val="none" w:sz="0" w:space="0" w:color="auto"/>
      </w:divBdr>
    </w:div>
    <w:div w:id="2094931345">
      <w:bodyDiv w:val="1"/>
      <w:marLeft w:val="0"/>
      <w:marRight w:val="0"/>
      <w:marTop w:val="0"/>
      <w:marBottom w:val="0"/>
      <w:divBdr>
        <w:top w:val="none" w:sz="0" w:space="0" w:color="auto"/>
        <w:left w:val="none" w:sz="0" w:space="0" w:color="auto"/>
        <w:bottom w:val="none" w:sz="0" w:space="0" w:color="auto"/>
        <w:right w:val="none" w:sz="0" w:space="0" w:color="auto"/>
      </w:divBdr>
    </w:div>
    <w:div w:id="211189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ct.gov/DEEP/Air/Modeling/Dispersion" TargetMode="External"/><Relationship Id="rId18" Type="http://schemas.openxmlformats.org/officeDocument/2006/relationships/hyperlink" Target="https://www.epa.gov/sites/default/files/2020-09/documents/gep.pdf"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epa.gov/sites/default/files/2015-07/documents/appwno2_2.pdf" TargetMode="External"/><Relationship Id="rId7" Type="http://schemas.openxmlformats.org/officeDocument/2006/relationships/endnotes" Target="endnotes.xml"/><Relationship Id="rId12" Type="http://schemas.openxmlformats.org/officeDocument/2006/relationships/hyperlink" Target="https://www.epa.gov/scram" TargetMode="External"/><Relationship Id="rId17" Type="http://schemas.openxmlformats.org/officeDocument/2006/relationships/hyperlink" Target="https://www.epa.gov/scram" TargetMode="External"/><Relationship Id="rId25" Type="http://schemas.openxmlformats.org/officeDocument/2006/relationships/hyperlink" Target="https://portal.ct.gov/DEEP/Air/Modeling/Dispersion" TargetMode="External"/><Relationship Id="rId2" Type="http://schemas.openxmlformats.org/officeDocument/2006/relationships/numbering" Target="numbering.xml"/><Relationship Id="rId16" Type="http://schemas.openxmlformats.org/officeDocument/2006/relationships/hyperlink" Target="https://www.epa.gov/sites/default/files/2020-09/documents/appw_17.pdf" TargetMode="External"/><Relationship Id="rId20" Type="http://schemas.openxmlformats.org/officeDocument/2006/relationships/image" Target="media/image4.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sites/default/files/2020-09/documents/appw_17.pdf" TargetMode="External"/><Relationship Id="rId24" Type="http://schemas.openxmlformats.org/officeDocument/2006/relationships/hyperlink" Target="https://fws.gov/guidance/sites/guidance/files/documents/FLAG%20Air%20Quality%20Phase%201%20report.pdf" TargetMode="External"/><Relationship Id="rId5" Type="http://schemas.openxmlformats.org/officeDocument/2006/relationships/webSettings" Target="webSettings.xml"/><Relationship Id="rId15" Type="http://schemas.openxmlformats.org/officeDocument/2006/relationships/hyperlink" Target="https://www.epa.gov/sites/default/files/2020-09/documents/appw_17.pdf" TargetMode="External"/><Relationship Id="rId23" Type="http://schemas.openxmlformats.org/officeDocument/2006/relationships/hyperlink" Target="https://www.epa.gov/sites/default/files/2019-05/documents/merps2019.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ortal.ct.gov/DEEP/Air/Modeling/Dispers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pa.gov/scram" TargetMode="External"/><Relationship Id="rId22" Type="http://schemas.openxmlformats.org/officeDocument/2006/relationships/hyperlink" Target="https://www.epa.gov/sites/default/files/2020-10/documents/no2_clarification_memo-20140930.pdf" TargetMode="External"/><Relationship Id="rId27" Type="http://schemas.openxmlformats.org/officeDocument/2006/relationships/image" Target="media/image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D1B7407DA7466FACB90326A5119E3D"/>
        <w:category>
          <w:name w:val="General"/>
          <w:gallery w:val="placeholder"/>
        </w:category>
        <w:types>
          <w:type w:val="bbPlcHdr"/>
        </w:types>
        <w:behaviors>
          <w:behavior w:val="content"/>
        </w:behaviors>
        <w:guid w:val="{0FEDA51A-F3E9-4A63-832B-5E9D9B497C55}"/>
      </w:docPartPr>
      <w:docPartBody>
        <w:p w:rsidR="00B32C6E" w:rsidRDefault="001A45C7" w:rsidP="001A45C7">
          <w:pPr>
            <w:pStyle w:val="D7D1B7407DA7466FACB90326A5119E3D"/>
          </w:pPr>
          <w:r w:rsidRPr="008F472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Thin">
    <w:altName w:val="Calibri"/>
    <w:charset w:val="00"/>
    <w:family w:val="auto"/>
    <w:pitch w:val="variable"/>
    <w:sig w:usb0="A00000FF" w:usb1="4000205B" w:usb2="00000000" w:usb3="00000000" w:csb0="00000193"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Public Sans Thin ExtraBold">
    <w:altName w:val="Calibri"/>
    <w:charset w:val="00"/>
    <w:family w:val="auto"/>
    <w:pitch w:val="variable"/>
    <w:sig w:usb0="A00000FF" w:usb1="4000205B" w:usb2="00000000" w:usb3="00000000" w:csb0="00000193" w:csb1="00000000"/>
  </w:font>
  <w:font w:name="MENMJP+CourierNewPS">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5C7"/>
    <w:rsid w:val="000A145D"/>
    <w:rsid w:val="000E3E0B"/>
    <w:rsid w:val="00100AD5"/>
    <w:rsid w:val="00106464"/>
    <w:rsid w:val="00150D6A"/>
    <w:rsid w:val="001A45C7"/>
    <w:rsid w:val="0025405F"/>
    <w:rsid w:val="002B419A"/>
    <w:rsid w:val="00354542"/>
    <w:rsid w:val="00362072"/>
    <w:rsid w:val="00394F37"/>
    <w:rsid w:val="0042108C"/>
    <w:rsid w:val="00423319"/>
    <w:rsid w:val="005538EB"/>
    <w:rsid w:val="0061039C"/>
    <w:rsid w:val="00622F97"/>
    <w:rsid w:val="00693A9B"/>
    <w:rsid w:val="006970C0"/>
    <w:rsid w:val="006E1B09"/>
    <w:rsid w:val="00707264"/>
    <w:rsid w:val="00780CE2"/>
    <w:rsid w:val="007E2E81"/>
    <w:rsid w:val="007E613F"/>
    <w:rsid w:val="007F3204"/>
    <w:rsid w:val="0080048F"/>
    <w:rsid w:val="009440A9"/>
    <w:rsid w:val="00B25119"/>
    <w:rsid w:val="00B32C6E"/>
    <w:rsid w:val="00C05EAC"/>
    <w:rsid w:val="00C16AD4"/>
    <w:rsid w:val="00CA3113"/>
    <w:rsid w:val="00CE4A36"/>
    <w:rsid w:val="00D20FE4"/>
    <w:rsid w:val="00DB2C0D"/>
    <w:rsid w:val="00DD2B55"/>
    <w:rsid w:val="00DD2F75"/>
    <w:rsid w:val="00DF78D0"/>
    <w:rsid w:val="00E02DAE"/>
    <w:rsid w:val="00E33E21"/>
    <w:rsid w:val="00ED428D"/>
    <w:rsid w:val="00EF7118"/>
    <w:rsid w:val="00F157B3"/>
    <w:rsid w:val="00F510E3"/>
    <w:rsid w:val="00F63C72"/>
    <w:rsid w:val="00F83443"/>
    <w:rsid w:val="00FD1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45C7"/>
    <w:rPr>
      <w:color w:val="808080"/>
    </w:rPr>
  </w:style>
  <w:style w:type="paragraph" w:customStyle="1" w:styleId="D7D1B7407DA7466FACB90326A5119E3D">
    <w:name w:val="D7D1B7407DA7466FACB90326A5119E3D"/>
    <w:rsid w:val="001A45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del15</b:Tag>
    <b:SourceType>Report</b:SourceType>
    <b:Guid>{01A8C5B2-F55A-42E3-AB67-B01011DACE38}</b:Guid>
    <b:Title>Annual Evaluation of Connecticut's Inspection/Maintenance Program</b:Title>
    <b:Year>2015</b:Year>
    <b:City>Austin</b:City>
    <b:Author>
      <b:Author>
        <b:Corporate>de la Torre Klausmeier Consulting</b:Corporate>
      </b:Author>
    </b:Author>
    <b:URL>https://portal.ct.gov/-/media/DEEP/air/mobile/Emissions-Testing/annualimreport2014completepdf.pdf</b:URL>
    <b:RefOrder>2</b:RefOrder>
  </b:Source>
  <b:Source>
    <b:Tag>Brz16</b:Tag>
    <b:SourceType>DocumentFromInternetSite</b:SourceType>
    <b:Guid>{F7CCB7D1-8045-4B51-8A1B-7615D0174090}</b:Guid>
    <b:Title>Updating Hotelling Hours in MOVES</b:Title>
    <b:Year>2016</b:Year>
    <b:Author>
      <b:Author>
        <b:NameList>
          <b:Person>
            <b:Last>Brzezinkski</b:Last>
            <b:First>David</b:First>
          </b:Person>
        </b:NameList>
      </b:Author>
    </b:Author>
    <b:InternetSiteTitle>FACA MOVES Review Work Group</b:InternetSiteTitle>
    <b:Month>December</b:Month>
    <b:Day>7</b:Day>
    <b:URL>https://www.epa.gov/sites/production/files/2017-01/documents/hoteling-hrs-moves.pdf</b:URL>
    <b:RefOrder>3</b:RefOrder>
  </b:Source>
  <b:Source>
    <b:Tag>Pub13</b:Tag>
    <b:SourceType>InternetSite</b:SourceType>
    <b:Guid>{3083CEC6-2390-4699-92A9-0E75755D0916}</b:Guid>
    <b:Author>
      <b:Author>
        <b:Corporate>Public Act No. 13-120</b:Corporate>
      </b:Author>
    </b:Author>
    <b:Title>An Act Concerning Gasoline Recovery Systems</b:Title>
    <b:Year>2013</b:Year>
    <b:URL>https://www.cga.ct.gov/2013/act/pa/pdf/2013PA-00120-R00HB-06534-PA.pdf</b:URL>
    <b:RefOrder>4</b:RefOrder>
  </b:Source>
  <b:Source>
    <b:Tag>Hea14</b:Tag>
    <b:SourceType>InternetSite</b:SourceType>
    <b:Guid>{DADD5347-5407-4CEE-BEAC-432008F18832}</b:Guid>
    <b:Author>
      <b:Author>
        <b:Corporate>Heath, Patio, &amp; Barbecue Association</b:Corporate>
      </b:Author>
    </b:Author>
    <b:Title>Annual Historical Heath Shipments</b:Title>
    <b:Year>2014</b:Year>
    <b:URL>https://www.hpba.org/Resources/Annual-Historical-Hearth-Shipments</b:URL>
    <b:YearAccessed>2015</b:YearAccessed>
    <b:RefOrder>5</b:RefOrder>
  </b:Source>
  <b:Source>
    <b:Tag>Pot15</b:Tag>
    <b:SourceType>DocumentFromInternetSite</b:SourceType>
    <b:Guid>{B3756695-F3BF-4F84-A7E4-618BF39313F9}</b:Guid>
    <b:Author>
      <b:Author>
        <b:NameList>
          <b:Person>
            <b:Last>Potepan</b:Last>
            <b:First>Michel</b:First>
          </b:Person>
        </b:NameList>
      </b:Author>
    </b:Author>
    <b:Title>Charibroiling Activity Estimation</b:Title>
    <b:YearAccessed>2015</b:YearAccessed>
    <b:MonthAccessed>October</b:MonthAccessed>
    <b:URL>https://ww2.arb.ca.gov/sites/default/files/classic/research/apr/reports/l943.pdf</b:URL>
    <b:InternetSiteTitle>California Air Resources Board</b:InternetSiteTitle>
    <b:Year>2001</b:Year>
    <b:RefOrder>6</b:RefOrder>
  </b:Source>
  <b:Source>
    <b:Tag>Mid06</b:Tag>
    <b:SourceType>InternetSite</b:SourceType>
    <b:Guid>{D4068B57-85A6-4CF5-BAD1-C3F573B1D328}</b:Guid>
    <b:Author>
      <b:Author>
        <b:Corporate>Midwest Research Institute</b:Corporate>
      </b:Author>
    </b:Author>
    <b:Title>Background Document for Revisions to Fine Fraction Rations Used for AP-42 Fugitive Dust Emissions Factors (Prepared for Western Governors’ Association)</b:Title>
    <b:Year>2006</b:Year>
    <b:Month>November</b:Month>
    <b:URL>https://www3.epa.gov/ttn/chief/ap42/ch13/bgdocs/b13s02.pdf#page=8</b:URL>
    <b:RefOrder>7</b:RefOrder>
  </b:Source>
  <b:Source>
    <b:Tag>Mid96</b:Tag>
    <b:SourceType>Report</b:SourceType>
    <b:Guid>{87223725-8E8A-4E66-87D5-786388F3E61E}</b:Guid>
    <b:Title>Improvement of Specific Emissions Factors (BACM Project No. 1)</b:Title>
    <b:Year>1996</b:Year>
    <b:Author>
      <b:Author>
        <b:Corporate>Midwest Research Institute</b:Corporate>
      </b:Author>
    </b:Author>
    <b:ThesisType>Prepared for South Coast AQMD</b:ThesisType>
    <b:RefOrder>8</b:RefOrder>
  </b:Source>
  <b:Source>
    <b:Tag>Hea11</b:Tag>
    <b:SourceType>InternetSite</b:SourceType>
    <b:Guid>{9083599D-BF63-493A-B5BB-6E143D0A989A}</b:Guid>
    <b:Author>
      <b:Author>
        <b:Corporate>Hearth, Patio &amp; Barbecue Association</b:Corporate>
      </b:Author>
    </b:Author>
    <b:Year>2011</b:Year>
    <b:YearAccessed>2015</b:YearAccessed>
    <b:URL>https://www.hpba.org/Resources/PressRoom/ID/79/2011-State-of-the-Hearth-Industry-Report</b:URL>
    <b:RefOrder>9</b:RefOrder>
  </b:Source>
  <b:Source>
    <b:Tag>EHP95</b:Tag>
    <b:SourceType>Report</b:SourceType>
    <b:Guid>{F6610273-FD9B-45AF-8E47-36C061FD6E37}</b:Guid>
    <b:Title>Phase II Regional Particulate Strategies; Task 4: Particulate Control Technology Characterization</b:Title>
    <b:Year>1995</b:Year>
    <b:Author>
      <b:Author>
        <b:Corporate>E.H. Pechan &amp; Associates, Inc.</b:Corporate>
      </b:Author>
    </b:Author>
    <b:Publisher>U.S. Environmental Protction Agency</b:Publisher>
    <b:RefOrder>10</b:RefOrder>
  </b:Source>
  <b:Source>
    <b:Tag>Nat151</b:Tag>
    <b:SourceType>InternetSite</b:SourceType>
    <b:Guid>{181D0BA1-C524-47A0-BD66-AF612F427B6C}</b:Guid>
    <b:Author>
      <b:Author>
        <b:Corporate>National Center for Atmospheric Research</b:Corporate>
      </b:Author>
    </b:Author>
    <b:Title>Weather Research and Forecasting Model</b:Title>
    <b:Year>2015</b:Year>
    <b:URL>https://www.mmm.ucar.edu/weather-research-and-forecasting-model</b:URL>
    <b:RefOrder>11</b:RefOrder>
  </b:Source>
  <b:Source>
    <b:Tag>Uni15</b:Tag>
    <b:SourceType>InternetSite</b:SourceType>
    <b:Guid>{87B03C5F-74CE-46C8-96B0-C5CE39F56A9E}</b:Guid>
    <b:Author>
      <b:Author>
        <b:Corporate>University of North Carolina Community Modeling Anaysis System Center</b:Corporate>
      </b:Author>
    </b:Author>
    <b:Title>FEST-C</b:Title>
    <b:Year>2015</b:Year>
    <b:URL>https://www.cmascenter.org/fest-c/</b:URL>
    <b:RefOrder>12</b:RefOrder>
  </b:Source>
  <b:Source>
    <b:Tag>Pin04</b:Tag>
    <b:SourceType>JournalArticle</b:SourceType>
    <b:Guid>{4DE7C0A0-1B60-44B0-A5D3-50E56F870BC0}</b:Guid>
    <b:Author>
      <b:Author>
        <b:Corporate>Pinder, R., Pekney, N., Davidson, C. &amp; Adams, P.</b:Corporate>
      </b:Author>
    </b:Author>
    <b:Title>A process-based model of ammonia emissions from dairy cows improved temporal and spatial resolution</b:Title>
    <b:Year>2004</b:Year>
    <b:JournalName>Atmospheric Environment</b:JournalName>
    <b:Pages>1357-1365</b:Pages>
    <b:RefOrder>13</b:RefOrder>
  </b:Source>
  <b:Source>
    <b:Tag>Pin041</b:Tag>
    <b:SourceType>JournalArticle</b:SourceType>
    <b:Guid>{223F48BB-211B-40AF-BCD1-B12B0CD4376E}</b:Guid>
    <b:Author>
      <b:Author>
        <b:Corporate>Pinder, R., Pekney, N., Davidson, C. &amp; Adams, P.</b:Corporate>
      </b:Author>
    </b:Author>
    <b:Title>A temporally and spatially resolved ammonia emissions inventory for dairy cows in the United States</b:Title>
    <b:JournalName>Atmospheric Environment</b:JournalName>
    <b:Year>2004</b:Year>
    <b:Pages>3747-3756</b:Pages>
    <b:RefOrder>14</b:RefOrder>
  </b:Source>
  <b:Source>
    <b:Tag>TAC81</b:Tag>
    <b:SourceType>DocumentFromInternetSite</b:SourceType>
    <b:Guid>{3A890365-542C-491D-9B55-D932D3387CD8}</b:Guid>
    <b:Title>The Role of Agricaultural Practices in Fugitive Dust Emissions</b:Title>
    <b:Year>1981</b:Year>
    <b:Month>June</b:Month>
    <b:Author>
      <b:Author>
        <b:Corporate>T.A. Cuscino, Jr., et al</b:Corporate>
      </b:Author>
    </b:Author>
    <b:URL>https://www3.epa.gov/ttn/chief/old/ap42/ch09/s01/related/rel02_c09s01.pdf</b:URL>
    <b:RefOrder>15</b:RefOrder>
  </b:Source>
  <b:Source>
    <b:Tag>Jul</b:Tag>
    <b:SourceType>Interview</b:SourceType>
    <b:Guid>{F4D40C27-B23E-4A10-B5D3-FB580763FF11}</b:Guid>
    <b:Title>Personal communication, "RE: Percentage of Gasoline Transported Twice By Truck," </b:Title>
    <b:Author>
      <b:Interviewee>
        <b:NameList>
          <b:Person>
            <b:Last>Julia Cavalier</b:Last>
            <b:First>MECTEC,</b:First>
            <b:Middle>Inc.</b:Middle>
          </b:Person>
        </b:NameList>
      </b:Interviewee>
      <b:Interviewer>
        <b:NameList>
          <b:Person>
            <b:Last>Steven Shedd</b:Last>
            <b:First>U.S.</b:First>
            <b:Middle>Environmental Protection Agency</b:Middle>
          </b:Person>
        </b:NameList>
      </b:Interviewer>
    </b:Author>
    <b:Year>2004</b:Year>
    <b:Month>July</b:Month>
    <b:Day>6</b:Day>
    <b:RefOrder>16</b:RefOrder>
  </b:Source>
  <b:Source>
    <b:Tag>PL14</b:Tag>
    <b:SourceType>InternetSite</b:SourceType>
    <b:Guid>{B1785C7E-7453-4A1C-B1FB-29C339C21C17}</b:Guid>
    <b:Author>
      <b:Author>
        <b:Corporate>U.S. Department of Energy</b:Corporate>
      </b:Author>
    </b:Author>
    <b:Title>Petroleum and Other Liquids</b:Title>
    <b:Year>2014</b:Year>
    <b:URL> https://www.eia.gov/petroleum/supply/annual/volume1/</b:URL>
    <b:RefOrder>17</b:RefOrder>
  </b:Source>
  <b:Source>
    <b:Tag>Har10</b:Tag>
    <b:SourceType>DocumentFromInternetSite</b:SourceType>
    <b:Guid>{612929DF-4560-4AEB-B9AE-F80692E26CC1}</b:Guid>
    <b:Author>
      <b:Author>
        <b:Corporate>Harold Haskew and Associates</b:Corporate>
      </b:Author>
    </b:Author>
    <b:Title>Evaporative Emissions from In-Use Vehicles: Test Fleet Expansion (CRC E-77-2b)</b:Title>
    <b:Year>2010</b:Year>
    <b:Month>October</b:Month>
    <b:URL>https://www.epa.gov/moves/evaporative-emissions-use-vehicles-test-fleet-expansion-crc-e-77-2b-final-report </b:URL>
    <b:RefOrder>18</b:RefOrder>
  </b:Source>
  <b:Source>
    <b:Tag>RCS14</b:Tag>
    <b:SourceType>InternetSite</b:SourceType>
    <b:Guid>{3E0FDFFF-B9C6-4FCF-A834-1EB2C5CBD295}</b:Guid>
    <b:Author>
      <b:Author>
        <b:Corporate>RCSA § 22a-174-19b</b:Corporate>
      </b:Author>
    </b:Author>
    <b:Title>Fuel sulfur content limitations for stationary sources (Table 19b-1)</b:Title>
    <b:Year>2014</b:Year>
    <b:URL>https://eregulations.ct.gov/eRegsPortal/Browse/RCSA/Title_22aSubtitle_22a-174_HTML/#_22a-174-19b</b:URL>
    <b:RefOrder>19</b:RefOrder>
  </b:Source>
  <b:Source>
    <b:Tag>Cha96</b:Tag>
    <b:SourceType>Misc</b:SourceType>
    <b:Guid>{4EB1C505-83BE-4794-9FC1-CD95C31AE660}</b:Guid>
    <b:Title>Memorandum from Chatten Cowherd of Midwest Research Institute, to Bill Kuykendal of the U.S. Environmental Protection Agency, Emission Factor and Inventory Group, and W.R. Barnard of E.H. Pechan &amp; Associates, Inc.</b:Title>
    <b:Year>1996</b:Year>
    <b:Author>
      <b:Author>
        <b:Corporate>Chatten Cowherd-Midwest Research Institute</b:Corporate>
      </b:Author>
    </b:Author>
    <b:Month>September</b:Month>
    <b:RefOrder>20</b:RefOrder>
  </b:Source>
  <b:Source>
    <b:Tag>McQ15</b:Tag>
    <b:SourceType>JournalArticle</b:SourceType>
    <b:Guid>{198BFFA8-FED9-421A-85B8-B9B515E8E51D}</b:Guid>
    <b:Author>
      <b:Author>
        <b:Corporate>McQuilling, A. M. &amp; Adams, P. J.</b:Corporate>
      </b:Author>
    </b:Author>
    <b:Title>Semi-empirical process-based models for ammonia emissions from beef, swine, and pultry operations in the United States</b:Title>
    <b:JournalName>Atmospheric Environmental</b:JournalName>
    <b:Year>2015</b:Year>
    <b:Pages>127-136</b:Pages>
    <b:RefOrder>21</b:RefOrder>
  </b:Source>
  <b:Source>
    <b:Tag>CDP</b:Tag>
    <b:SourceType>InternetSite</b:SourceType>
    <b:Guid>{F1F30EED-918A-4FAF-A5E9-80A4E1E575BE}</b:Guid>
    <b:URL>CDPR_Emission_Potential_Database_10_2015.xlsx</b:URL>
    <b:Author>
      <b:Author>
        <b:Corporate>California Department of Pesticide Regulation</b:Corporate>
      </b:Author>
    </b:Author>
    <b:Title>Emission Potenital Database</b:Title>
    <b:Year>2015</b:Year>
    <b:YearAccessed>2016</b:YearAccessed>
    <b:MonthAccessed>January</b:MonthAccessed>
    <b:RefOrder>22</b:RefOrder>
  </b:Source>
  <b:Source>
    <b:Tag>USC10</b:Tag>
    <b:SourceType>DocumentFromInternetSite</b:SourceType>
    <b:Guid>{51C00615-537A-4AC4-907F-76AC095BB535}</b:Guid>
    <b:Author>
      <b:Author>
        <b:Corporate>U.S. Census Bureau</b:Corporate>
      </b:Author>
    </b:Author>
    <b:Title>2010 Census Urban and Rural Classification and Urban Area Critera</b:Title>
    <b:Year>2010</b:Year>
    <b:URL>https://www.census.gov/geo/reference/ua/urban-rural-2010.html</b:URL>
    <b:RefOrder>23</b:RefOrder>
  </b:Source>
  <b:Source>
    <b:Tag>Cha15</b:Tag>
    <b:SourceType>DocumentFromInternetSite</b:SourceType>
    <b:Guid>{0BE88654-4DB1-42BC-8F75-5D614E2EDE8D}</b:Guid>
    <b:Title>Proposed Revisions to Fine Fraction Ratios Used for AP-42 Fugitive Dust Emissions Factors</b:Title>
    <b:Year>2015</b:Year>
    <b:Author>
      <b:Author>
        <b:Corporate>Chatten Cowheard- Midwest Research Institute</b:Corporate>
      </b:Author>
    </b:Author>
    <b:YearAccessed>2015</b:YearAccessed>
    <b:MonthAccessed>September</b:MonthAccessed>
    <b:URL>https://gaftp.epa.gov/Air/nei/ei_conference/EI15/session14/cowherd_pres.pdf  </b:URL>
    <b:RefOrder>24</b:RefOrder>
  </b:Source>
  <b:Source>
    <b:Tag>htt</b:Tag>
    <b:SourceType>DocumentFromInternetSite</b:SourceType>
    <b:Guid>{389CC1CA-2A50-4579-8A38-30F311BB0990}</b:Guid>
    <b:URL>http://www.aqmd.gov/docs/default-source/rule-book/reg-xi/rule-1174.pdf</b:URL>
    <b:Author>
      <b:Author>
        <b:Corporate>South Coast Air Quality Managment District</b:Corporate>
      </b:Author>
    </b:Author>
    <b:Title>Rule 1174: Control of Volatile Organic Compound Emissions from the Ignition of Barbecue Charcoal</b:Title>
    <b:Year>1990</b:Year>
    <b:Month>October</b:Month>
    <b:YearAccessed>2015</b:YearAccessed>
    <b:MonthAccessed>May</b:MonthAccessed>
    <b:RefOrder>25</b:RefOrder>
  </b:Source>
  <b:Source>
    <b:Tag>Hea141</b:Tag>
    <b:SourceType>InternetSite</b:SourceType>
    <b:Guid>{9D0D6B2F-8BE6-40D5-8BEF-6AA5BEEFF22F}</b:Guid>
    <b:Author>
      <b:Author>
        <b:Corporate>Heath, Patio &amp; Barbecue Association</b:Corporate>
      </b:Author>
    </b:Author>
    <b:Title>2014 State of the Barbecue Industry Report</b:Title>
    <b:Year>2014</b:Year>
    <b:YearAccessed>2015</b:YearAccessed>
    <b:MonthAccessed>April</b:MonthAccessed>
    <b:URL>https://www.hpba.org/</b:URL>
    <b:RefOrder>26</b:RefOrder>
  </b:Source>
  <b:Source>
    <b:Tag>Hea142</b:Tag>
    <b:SourceType>InternetSite</b:SourceType>
    <b:Guid>{15502775-DA91-4F86-9CF3-04647439C8FD}</b:Guid>
    <b:Author>
      <b:Author>
        <b:Corporate>Hearth, Patio &amp; Barbecue Assocation</b:Corporate>
      </b:Author>
    </b:Author>
    <b:Title>Statistics, BBQ Grill Shipments</b:Title>
    <b:Year>2014</b:Year>
    <b:YearAccessed>2015</b:YearAccessed>
    <b:MonthAccessed>April</b:MonthAccessed>
    <b:URL>https://www.hpba.org/Resources/Market-Research-Reports/view?barbecue-statistics=CopyofBBQGrillShipments8513.pdf</b:URL>
    <b:RefOrder>27</b:RefOrder>
  </b:Source>
  <b:Source>
    <b:Tag>40C11</b:Tag>
    <b:SourceType>DocumentFromInternetSite</b:SourceType>
    <b:Guid>{45CD628F-3861-4A0C-A096-F28C8B68AF5F}</b:Guid>
    <b:Author>
      <b:Author>
        <b:Corporate>40 CFR § 63.11100</b:Corporate>
      </b:Author>
    </b:Author>
    <b:Year>2011</b:Year>
    <b:URL>https://www.ecfr.gov/cgi-bin/text-idx?node=sp40.15.63.bbbbbb#se40.16.63_111100</b:URL>
    <b:RefOrder>28</b:RefOrder>
  </b:Source>
  <b:Source>
    <b:Tag>Sco98</b:Tag>
    <b:SourceType>Report</b:SourceType>
    <b:Guid>{A9250EA4-1BD1-45CF-9885-9CC528C2613F}</b:Guid>
    <b:Title>Description of Establishment of Municipal Solid Waste Landfill Inventory</b:Title>
    <b:Year>1998</b:Year>
    <b:Author>
      <b:Author>
        <b:NameList>
          <b:Person>
            <b:Last>Koschwitz</b:Last>
            <b:First>Scott</b:First>
          </b:Person>
        </b:NameList>
      </b:Author>
    </b:Author>
    <b:Publisher>Connecticut Department of Environmental Protection</b:Publisher>
    <b:RefOrder>29</b:RefOrder>
  </b:Source>
  <b:Source>
    <b:Tag>51100</b:Tag>
    <b:SourceType>InternetSite</b:SourceType>
    <b:Guid>{E56A2538-E258-4E69-BE42-8A8DEE9424BE}</b:Guid>
    <b:Year>2017</b:Year>
    <b:URL>https://ecfr.federalregister.gov/current/title-40/chapter-I/subchapter-C/part-51#p-51.100(s)</b:URL>
    <b:Author>
      <b:Author>
        <b:Corporate>40 CFR § 51.100(s)</b:Corporate>
      </b:Author>
    </b:Author>
    <b:RefOrder>30</b:RefOrder>
  </b:Source>
  <b:Source>
    <b:Tag>5150</b:Tag>
    <b:SourceType>InternetSite</b:SourceType>
    <b:Guid>{52670A2C-1F62-4991-B49B-2C08A35B0683}</b:Guid>
    <b:Year>2015</b:Year>
    <b:URL>https://ecfr.federalregister.gov/current/title-40/chapter-I/subchapter-C/part-51#p-51.50</b:URL>
    <b:Author>
      <b:Author>
        <b:Corporate>40 CFR § 51.50</b:Corporate>
      </b:Author>
    </b:Author>
    <b:RefOrder>31</b:RefOrder>
  </b:Source>
  <b:Source>
    <b:Tag>40C04</b:Tag>
    <b:SourceType>InternetSite</b:SourceType>
    <b:Guid>{A0B71288-79B9-4FB5-BB66-8AAA417C49A4}</b:Guid>
    <b:Year>2004</b:Year>
    <b:URL>https://ecfr.federalregister.gov/current/title-40/chapter-I/subchapter-C/part-93/subpart-A/section-93.122#p-93.122(a)(6)</b:URL>
    <b:Author>
      <b:Author>
        <b:Corporate>40 CFR § 93.122(a)(6)</b:Corporate>
      </b:Author>
    </b:Author>
    <b:RefOrder>32</b:RefOrder>
  </b:Source>
  <b:Source>
    <b:Tag>40C15</b:Tag>
    <b:SourceType>InternetSite</b:SourceType>
    <b:Guid>{2DC2DAB3-FA18-4736-AFCB-B4E01AB1103C}</b:Guid>
    <b:Year>2015</b:Year>
    <b:URL>https://ecfr.federalregister.gov/current/title-40/chapter-I/subchapter-C/part-51#p-51.1115(b)</b:URL>
    <b:Author>
      <b:Author>
        <b:Corporate>40 CFR § 51.1115(b)</b:Corporate>
      </b:Author>
    </b:Author>
    <b:RefOrder>33</b:RefOrder>
  </b:Source>
  <b:Source>
    <b:Tag>Con</b:Tag>
    <b:SourceType>InternetSite</b:SourceType>
    <b:Guid>{5FCFE039-12EB-4F45-8498-67182A92082C}</b:Guid>
    <b:Year>2014</b:Year>
    <b:URL>https://www.cga.ct.gov/current/pub/chap_296.htm#sec_16a-21a</b:URL>
    <b:Author>
      <b:Author>
        <b:Corporate>Conn. Gen. Stat. Sec. 16a-21a </b:Corporate>
      </b:Author>
    </b:Author>
    <b:RefOrder>34</b:RefOrder>
  </b:Source>
  <b:Source>
    <b:Tag>40C08</b:Tag>
    <b:SourceType>InternetSite</b:SourceType>
    <b:Guid>{545645E4-63E0-4B18-94B3-2C7E8090BF19}</b:Guid>
    <b:Year>2008</b:Year>
    <b:URL>https://ecfr.federalregister.gov/current/title-40/chapter-I/subchapter-C/part-50#50.11</b:URL>
    <b:Author>
      <b:Author>
        <b:Corporate>40 CFR § 50.10</b:Corporate>
      </b:Author>
    </b:Author>
    <b:RefOrder>35</b:RefOrder>
  </b:Source>
  <b:Source>
    <b:Tag>EPA</b:Tag>
    <b:SourceType>ElectronicSource</b:SourceType>
    <b:Guid>{70BF3CE5-D4BF-4BB3-88BC-B69648FF24A4}</b:Guid>
    <b:Author>
      <b:Author>
        <b:Corporate>U.S. Environmental Protection Agency</b:Corporate>
      </b:Author>
    </b:Author>
    <b:Title>Greenbook: 8-Hour Ozone (2008) Designated Area State/Area/County Report</b:Title>
    <b:URL>https://www3.epa.gov/airquality/greenbook/hbcs.html#CT</b:URL>
    <b:Year>2014</b:Year>
    <b:RefOrder>36</b:RefOrder>
  </b:Source>
  <b:Source>
    <b:Tag>EPA1</b:Tag>
    <b:SourceType>ElectronicSource</b:SourceType>
    <b:Guid>{0D7E7131-BA80-42CD-B0B1-63047194C9E3}</b:Guid>
    <b:Title>Greenbook: Carbon Monoxide (1971) Designated Area State/Area/County Report</b:Title>
    <b:Author>
      <b:Author>
        <b:Corporate>U.S. Environmental Protection Agency</b:Corporate>
      </b:Author>
    </b:Author>
    <b:Year>2014</b:Year>
    <b:URL>https://www3.epa.gov/airquality/greenbook/cbcs.html#CT</b:URL>
    <b:RefOrder>37</b:RefOrder>
  </b:Source>
  <b:Source>
    <b:Tag>EPA14</b:Tag>
    <b:SourceType>ElectronicSource</b:SourceType>
    <b:Guid>{DC85EE3F-AC3C-4627-B69D-7E31D317201E}</b:Guid>
    <b:Author>
      <b:Author>
        <b:Corporate>U.S. Environmental Protection Agency</b:Corporate>
      </b:Author>
    </b:Author>
    <b:Title>Greenbook: PM-2.5 (1997) Designated Area State/Area/County Report</b:Title>
    <b:Year>2014</b:Year>
    <b:URL>https://www3.epa.gov/airquality/greenbook/qbcs.html#CT</b:URL>
    <b:RefOrder>38</b:RefOrder>
  </b:Source>
  <b:Source>
    <b:Tag>NWS</b:Tag>
    <b:SourceType>DocumentFromInternetSite</b:SourceType>
    <b:Guid>{960E6109-EB26-414F-B6F1-D24289F70BC7}</b:Guid>
    <b:Author>
      <b:Author>
        <b:Corporate>National Weather Service</b:Corporate>
      </b:Author>
    </b:Author>
    <b:Title>Clearing the Air on Weather and Air Quality</b:Title>
    <b:URL>https://www.weather.gov/wrn/summer-article-clearing-the-air</b:URL>
    <b:YearAccessed>2021</b:YearAccessed>
    <b:RefOrder>39</b:RefOrder>
  </b:Source>
  <b:Source>
    <b:Tag>RCS11</b:Tag>
    <b:SourceType>InternetSite</b:SourceType>
    <b:Guid>{8010A79F-B3A4-4C75-AC57-CEF6FED26C38}</b:Guid>
    <b:Title>Power of Commissioner</b:Title>
    <b:Year>2011</b:Year>
    <b:URL>https://www.cga.ct.gov/current/pub/chap_446c.htm#sec_22a-174</b:URL>
    <b:Author>
      <b:Author>
        <b:Corporate>RCSA § 22a-174-f</b:Corporate>
      </b:Author>
    </b:Author>
    <b:RefOrder>40</b:RefOrder>
  </b:Source>
  <b:Source>
    <b:Tag>RCS18</b:Tag>
    <b:SourceType>InternetSite</b:SourceType>
    <b:Guid>{F34A2CFB-1E62-4EF2-A174-4AADB4CC8FCD}</b:Guid>
    <b:Author>
      <b:Author>
        <b:Corporate>RCSA § 22a-174-33</b:Corporate>
      </b:Author>
    </b:Author>
    <b:Year>2018</b:Year>
    <b:URL>https://eregulations.ct.gov/eRegsPortal/Browse/RCSA/Title_22aSubtitle_22a-174Section_22a-174-33/</b:URL>
    <b:RefOrder>41</b:RefOrder>
  </b:Source>
  <b:Source>
    <b:Tag>RCS02</b:Tag>
    <b:SourceType>InternetSite</b:SourceType>
    <b:Guid>{32C0B37E-8FB0-4117-8BED-16E7A5847529}</b:Guid>
    <b:Author>
      <b:Author>
        <b:Corporate>RCSA § 22a-174-20k</b:Corporate>
      </b:Author>
    </b:Author>
    <b:Year>2020</b:Year>
    <b:URL>https://eregulations.ct.gov/eRegsPortal/Browse/RCSA/Title_22aSubtitle_22a-174_HTML/#_22a-174-20</b:URL>
    <b:RefOrder>42</b:RefOrder>
  </b:Source>
  <b:Source>
    <b:Tag>USC144</b:Tag>
    <b:SourceType>ElectronicSource</b:SourceType>
    <b:Guid>{CC663EA5-9180-4BFD-A0E7-1B1098C81315}</b:Guid>
    <b:Title>American Fact Finder</b:Title>
    <b:Year>2014</b:Year>
    <b:YearAccessed>2016</b:YearAccessed>
    <b:MonthAccessed>July</b:MonthAccessed>
    <b:Author>
      <b:Author>
        <b:Corporate>U.S. Census Bureau</b:Corporate>
      </b:Author>
    </b:Author>
    <b:RefOrder>43</b:RefOrder>
  </b:Source>
  <b:Source>
    <b:Tag>USC146</b:Tag>
    <b:SourceType>ElectronicSource</b:SourceType>
    <b:Guid>{47E29B45-5ECF-4752-A357-3394F4E1C276}</b:Guid>
    <b:Author>
      <b:Author>
        <b:Corporate>U.S. Census Bureau</b:Corporate>
      </b:Author>
    </b:Author>
    <b:Title>Housing Characteristics, American Community Survey 5-Year Estimates (DP04) Counties</b:Title>
    <b:Year>2014</b:Year>
    <b:URL>https://factfinder.census.gov/faces/tableservices/jsf/pages/productview.xhtml?pid=ACS_13_5YR_DP04&amp;prodType=table</b:URL>
    <b:RefOrder>44</b:RefOrder>
  </b:Source>
  <b:Source>
    <b:Tag>USC20</b:Tag>
    <b:SourceType>ElectronicSource</b:SourceType>
    <b:Guid>{0723007F-98C2-4A5B-BB4C-42B5E07B2B6D}</b:Guid>
    <b:Author>
      <b:Author>
        <b:Corporate>U.S. Census Bureau</b:Corporate>
      </b:Author>
    </b:Author>
    <b:Year>2014</b:Year>
    <b:URL>https://www.census.gov/construction/nrc/pdf/quarterly_starts_completions.pdf</b:URL>
    <b:Title>New Privately Owned Housing Units Started by Purpose and Design</b:Title>
    <b:YearAccessed>2015</b:YearAccessed>
    <b:MonthAccessed>September</b:MonthAccessed>
    <b:RefOrder>45</b:RefOrder>
  </b:Source>
  <b:Source>
    <b:Tag>EIA</b:Tag>
    <b:SourceType>ElectronicSource</b:SourceType>
    <b:Guid>{2F274F89-53A3-4C7B-8351-F971BF069A36}</b:Guid>
    <b:Author>
      <b:Author>
        <b:Corporate>U.S. Energy Information Administration</b:Corporate>
      </b:Author>
    </b:Author>
    <b:Title>Connecticut Total Distillate Sales/Deliveries to Railroad Consumers</b:Title>
    <b:URL>https://www.eia.gov/dnav/pet/hist/LeafHandler.ashx?n=PET&amp;s=KD0VRRSCT1&amp;f=A</b:URL>
    <b:Year>2014</b:Year>
    <b:RefOrder>46</b:RefOrder>
  </b:Source>
  <b:Source>
    <b:Tag>EIA14</b:Tag>
    <b:SourceType>ElectronicSource</b:SourceType>
    <b:Guid>{471A5C7C-0AB2-42D5-AD80-F91641D97833}</b:Guid>
    <b:Author>
      <b:Author>
        <b:Corporate>U.S. Energy Information Administration</b:Corporate>
      </b:Author>
    </b:Author>
    <b:Title>Form EIA-923 detailed data with previous form data (EIA-906/920)</b:Title>
    <b:Year>2014</b:Year>
    <b:URL>https://www.eia.gov/electricity/data/eia923/#:~:text=The%20survey%20Form%20EIA%2D923,2%20%2D%20fuel%20receipts%20and%20costs</b:URL>
    <b:RefOrder>47</b:RefOrder>
  </b:Source>
  <b:Source>
    <b:Tag>USEIA14</b:Tag>
    <b:SourceType>ElectronicSource</b:SourceType>
    <b:Guid>{66F10961-8709-4339-B710-0BFF560C6ADF}</b:Guid>
    <b:Author>
      <b:Author>
        <b:Corporate>U.S. Energy Information Administration</b:Corporate>
      </b:Author>
    </b:Author>
    <b:Title>Consumption (Full report CSV in Physical Units)</b:Title>
    <b:InternetSiteTitle>State Energy Data System (SEDS): 1960-2014 (complete)</b:InternetSiteTitle>
    <b:Year>2014</b:Year>
    <b:YearAccessed>2016</b:YearAccessed>
    <b:MonthAccessed>December</b:MonthAccessed>
    <b:URL>https://www.eia.gov/state/seds/seds-data-complete.php?sid=CT#Consumption</b:URL>
    <b:RefOrder>48</b:RefOrder>
  </b:Source>
  <b:Source>
    <b:Tag>USE2014</b:Tag>
    <b:SourceType>ElectronicSource</b:SourceType>
    <b:Guid>{AD37230F-A69A-4361-9980-5EEAEDEB49CE}</b:Guid>
    <b:Author>
      <b:Author>
        <b:Corporate>U.S. Energy Information Administration</b:Corporate>
      </b:Author>
    </b:Author>
    <b:Year>2014</b:Year>
    <b:YearAccessed>2016</b:YearAccessed>
    <b:MonthAccessed>July</b:MonthAccessed>
    <b:URL>http://www.eia.gov/state/seds/data.cfm?incfile=/state/seds/sep_fuel/html/fuel_ks.html&amp;sid=US)</b:URL>
    <b:Title>Table F11. Kerosene Consumption, Price and Expenditure Estimates</b:Title>
    <b:InternetSiteTitle>State Profiles and Energy Estimates</b:InternetSiteTitle>
    <b:RefOrder>49</b:RefOrder>
  </b:Source>
  <b:Source>
    <b:Tag>NEI17</b:Tag>
    <b:SourceType>ElectronicSource</b:SourceType>
    <b:Guid>{AE08C6C7-3F38-4EB4-BDF5-80325D1FC185}</b:Guid>
    <b:Author>
      <b:Author>
        <b:Corporate>U.S. Environmental Protection Agency</b:Corporate>
      </b:Author>
    </b:Author>
    <b:Title>2017 National Emissions Inventory Complete Release: Technical Support Document</b:Title>
    <b:Year>2020</b:Year>
    <b:City>Research Triangle Park</b:City>
    <b:StateProvince>NC</b:StateProvince>
    <b:URL>https://www.epa.gov/sites/production/files/2020-04/documents/nei2017_tsd_full_30apr2020.pdf</b:URL>
    <b:RefOrder>50</b:RefOrder>
  </b:Source>
  <b:Source>
    <b:Tag>USE15</b:Tag>
    <b:SourceType>ElectronicSource</b:SourceType>
    <b:Guid>{4155AD73-9E1B-4D61-8852-F634E66C53BB}</b:Guid>
    <b:Author>
      <b:Author>
        <b:Corporate>U.S. Environmental Protection Agency</b:Corporate>
      </b:Author>
    </b:Author>
    <b:Title>2011 National Emissions Inventory Version 2 Technical Support Document</b:Title>
    <b:Year>2015</b:Year>
    <b:Month>August</b:Month>
    <b:URL>https://www.epa.gov/sites/production/files/2015-10/documents/nei2011v2_tsd_14aug2015.pdf</b:URL>
    <b:RefOrder>51</b:RefOrder>
  </b:Source>
  <b:Source>
    <b:Tag>USEC14</b:Tag>
    <b:SourceType>ElectronicSource</b:SourceType>
    <b:Guid>{B9ED8A19-983F-4B4D-884E-EBEC38EEA431}</b:Guid>
    <b:Author>
      <b:Author>
        <b:Corporate>U.S. Environmental Protection Agency</b:Corporate>
      </b:Author>
    </b:Author>
    <b:Title>Compost Supporting Data (Document)</b:Title>
    <b:InternetSiteTitle>NEI 2014 v2 Supporting Data</b:InternetSiteTitle>
    <b:Year>2014</b:Year>
    <b:URL>https://gaftp.epa.gov/air/nei/2014/doc/2014v2_supportingdata/nonpoint/Compost%204.1.zip</b:URL>
    <b:RefOrder>52</b:RefOrder>
  </b:Source>
  <b:Source>
    <b:Tag>72F07</b:Tag>
    <b:SourceType>ElectronicSource</b:SourceType>
    <b:Guid>{80FB9124-EDC9-4CEA-BE8E-480F5DE5A809}</b:Guid>
    <b:Title>Control of Hazardous Air Pollutants From Mobile Sources</b:Title>
    <b:Year>2007</b:Year>
    <b:URL>https://www.federalregister.gov/documents/2007/02/26/E7-2667/control-of-hazardous-air-pollutants-from-mobile-sources</b:URL>
    <b:Author>
      <b:Author>
        <b:Corporate>72 FR 8427</b:Corporate>
      </b:Author>
    </b:Author>
    <b:RefOrder>53</b:RefOrder>
  </b:Source>
  <b:Source>
    <b:Tag>USE07</b:Tag>
    <b:SourceType>ElectronicSource</b:SourceType>
    <b:Guid>{28FED014-FC3A-43EA-9688-66BF20606F4D}</b:Guid>
    <b:Author>
      <b:Author>
        <b:Corporate>U.S. Environmental Protection Agency</b:Corporate>
      </b:Author>
    </b:Author>
    <b:Title>Estimating Emissions Associated with Portable Fuel Containers (PFCs)</b:Title>
    <b:Year>2007</b:Year>
    <b:URL>https://nepis.epa.gov/Exe/ZyPDF.cgi/P1004LMT.PDF?Dockey=P1004LMT.PDF</b:URL>
    <b:PublicationTitle>EPA420-R-07-001</b:PublicationTitle>
    <b:RefOrder>54</b:RefOrder>
  </b:Source>
  <b:Source>
    <b:Tag>USE17</b:Tag>
    <b:SourceType>ElectronicSource</b:SourceType>
    <b:Guid>{D4EB0300-5FEB-476B-B3DB-8E364A4F7242}</b:Guid>
    <b:Title>Emissions Inventory Guidance for Implementation of Ozone and Particulate Matter National Ambient Air Quality Standards (NAAQS) and Regional Haze Regulations</b:Title>
    <b:Year>2017</b:Year>
    <b:Month>May</b:Month>
    <b:URL>https://www.epa.gov/sites/production/files/2017-07/documents/ei_guidance_may_2017_final_rev.pdf</b:URL>
    <b:Author>
      <b:Author>
        <b:Corporate>U.S. Environmental Protection Agency</b:Corporate>
      </b:Author>
    </b:Author>
    <b:City>Research Triangle Park</b:City>
    <b:StateProvince>NC</b:StateProvince>
    <b:PublicationTitle>EPA-454-B-17-002</b:PublicationTitle>
    <b:RefOrder>55</b:RefOrder>
  </b:Source>
  <b:Source>
    <b:Tag>USE071</b:Tag>
    <b:SourceType>ElectronicSource</b:SourceType>
    <b:Guid>{C6A0A53A-C695-4A98-B9A7-9B467ABBFA0B}</b:Guid>
    <b:Author>
      <b:Author>
        <b:Corporate>U.S. Environmental Protection Agency</b:Corporate>
      </b:Author>
    </b:Author>
    <b:Title>Control of Hazardous Air Pollutants from Mobile Sources Final Regulatory Impact Analysis</b:Title>
    <b:Year>2007</b:Year>
    <b:URL>https://nepis.epa.gov/Exe/ZyPdf.cgi?Dockey=P1004LNN.PDF</b:URL>
    <b:PublicationTitle>EPA420-R-07-002</b:PublicationTitle>
    <b:RefOrder>56</b:RefOrder>
  </b:Source>
  <b:Source>
    <b:Tag>USE94</b:Tag>
    <b:SourceType>ElectronicSource</b:SourceType>
    <b:Guid>{3E7B5D69-CC88-41F0-8E5B-E54181817A65}</b:Guid>
    <b:Year>1994</b:Year>
    <b:Author>
      <b:Author>
        <b:Corporate>U.S. Environmental Protection Agency</b:Corporate>
      </b:Author>
    </b:Author>
    <b:URL>https://nepis.epa.gov/Exe/ZyPDF.cgi/2000HK21.PDF?Dockey=2000HK21.PDF</b:URL>
    <b:Title>Gasoline Distribution Industry (Stage I)-Background Information for Promulgated Standards</b:Title>
    <b:PublicationTitle> EPA-453-R94-002b</b:PublicationTitle>
    <b:RefOrder>57</b:RefOrder>
  </b:Source>
  <b:Source>
    <b:Tag>USE14</b:Tag>
    <b:SourceType>ElectronicSource</b:SourceType>
    <b:Guid>{93EB5F49-054E-443D-A0FF-C593F0E55A2D}</b:Guid>
    <b:Title>Instructions for Using LEV and NLEV Inputs for MOVES2014</b:Title>
    <b:Year>2014</b:Year>
    <b:Author>
      <b:Author>
        <b:Corporate>U.S. Environmental Protection Agency</b:Corporate>
      </b:Author>
    </b:Author>
    <b:URL>https://nepis.epa.gov/Exe/ZyPDF.cgi/P100KUFA.PDF?Dockey=P100KUFA.PDF</b:URL>
    <b:PublicationTitle>EPA-420-B-14-060a</b:PublicationTitle>
    <b:RefOrder>58</b:RefOrder>
  </b:Source>
  <b:Source>
    <b:Tag>USE</b:Tag>
    <b:SourceType>ElectronicSource</b:SourceType>
    <b:Guid>{C19C071E-969B-4D58-A2F6-687F013F7BEE}</b:Guid>
    <b:Author>
      <b:Author>
        <b:Corporate>U.S. Environmental Protection Agency</b:Corporate>
      </b:Author>
    </b:Author>
    <b:URL>https://nepis.epa.gov/Exe/ZyPDF.cgi/P100GPED.PDF?Dockey=P100GPED.PDF</b:URL>
    <b:Year>2011</b:Year>
    <b:Title>Hydrocarbon Composition of Gasoline Vapor Emissions from Enclosed Fuel Tanks</b:Title>
    <b:InternetSiteTitle>Report No. EPA-420-R-11-018</b:InternetSiteTitle>
    <b:PublicationTitle>EPA-420-R-11-018</b:PublicationTitle>
    <b:RefOrder>59</b:RefOrder>
  </b:Source>
  <b:Source>
    <b:Tag>USE18</b:Tag>
    <b:SourceType>ElectronicSource</b:SourceType>
    <b:Guid>{8E5B8320-523B-44EA-9312-C3D40D47BD86}</b:Guid>
    <b:Author>
      <b:Author>
        <b:Corporate>U.S. Environmental Protection Agency</b:Corporate>
      </b:Author>
    </b:Author>
    <b:Title>MOVES2014, MOVES2014a, and MOVES2014b Technical Guidance: Using MOVES to Prepare Emission Inventories for State Implementation Plans and Transportation Conformity</b:Title>
    <b:Year>2018</b:Year>
    <b:URL>https://nepis.epa.gov/Exe/ZyPDF.cgi?Dockey=P100V7EY.pdf</b:URL>
    <b:PublicationTitle>EPA-420-B-18-039</b:PublicationTitle>
    <b:RefOrder>60</b:RefOrder>
  </b:Source>
  <b:Source>
    <b:Tag>USE011</b:Tag>
    <b:SourceType>ElectronicSource</b:SourceType>
    <b:Guid>{FE6ACBF7-F8AD-44F1-B958-997B9DD45757}</b:Guid>
    <b:Title>On-Board Diagnostic (OBD) Regulations and Requirements: Question and Answers</b:Title>
    <b:Year>2001</b:Year>
    <b:Author>
      <b:Author>
        <b:Corporate>U.S. Environmental Protection Agency</b:Corporate>
      </b:Author>
    </b:Author>
    <b:URL>https://nepis.epa.gov/Exe/ZyPDF.cgi/P100LW9G.PDF?Dockey=P100LW9G.PDF</b:URL>
    <b:PublicationTitle>EPA420-F-03-042</b:PublicationTitle>
    <b:RefOrder>61</b:RefOrder>
  </b:Source>
  <b:Source>
    <b:Tag>USE98</b:Tag>
    <b:SourceType>ElectronicSource</b:SourceType>
    <b:Guid>{AEA02694-37B1-4AC9-9450-0F6F103D2741}</b:Guid>
    <b:Title>AP-42 Section 2.4 Municipal Waste</b:Title>
    <b:Year>1998</b:Year>
    <b:Author>
      <b:Author>
        <b:Corporate>U.S. Environmental Protection Agency</b:Corporate>
      </b:Author>
    </b:Author>
    <b:InternetSiteTitle>AP-42</b:InternetSiteTitle>
    <b:URL>https://www.epa.gov/sites/production/files/2020-10/documents/c02s04.pdf</b:URL>
    <b:Edition>5th Edition</b:Edition>
    <b:Volume>2, Chapter 2: Solid Waste Disposal</b:Volume>
    <b:RefOrder>62</b:RefOrder>
  </b:Source>
  <b:Source>
    <b:Tag>USE06</b:Tag>
    <b:SourceType>ElectronicSource</b:SourceType>
    <b:Guid>{AB436DDB-CA7C-48B1-A262-6890B17B2C75}</b:Guid>
    <b:Author>
      <b:Author>
        <b:Corporate>U.S. Environmental Protection Agency</b:Corporate>
      </b:Author>
    </b:Author>
    <b:Title>AP-42 Section 13.2.2 Unpaved Roads</b:Title>
    <b:Year>2006</b:Year>
    <b:Month>November</b:Month>
    <b:YearAccessed>2011</b:YearAccessed>
    <b:MonthAccessed>January</b:MonthAccessed>
    <b:URL>https://www.epa.gov/sites/production/files/2020-10/documents/13.2.2_unpaved_roads.pdf</b:URL>
    <b:InternetSiteTitle>AP-42, Compilation of Air Pollutant Emission Factors</b:InternetSiteTitle>
    <b:Edition>5th Edition</b:Edition>
    <b:Volume>I, Chapter 13: Miscellaneous Sources</b:Volume>
    <b:RefOrder>63</b:RefOrder>
  </b:Source>
  <b:Source>
    <b:Tag>AP408</b:Tag>
    <b:SourceType>ElectronicSource</b:SourceType>
    <b:Guid>{E7F122BA-26C2-4373-84F4-217F24FB8CF2}</b:Guid>
    <b:Title>AP-42 Section 5.2: Transportation And Marketing Of Petroleum Liquids</b:Title>
    <b:Year>2008</b:Year>
    <b:Month>July</b:Month>
    <b:URL>https://www.epa.gov/sites/production/files/2020-09/documents/5.2_transportation_and_marketing_of_petroleum_liquids.pdf</b:URL>
    <b:Author>
      <b:Author>
        <b:Corporate>U.S. Environmental Protection Agency</b:Corporate>
      </b:Author>
    </b:Author>
    <b:Edition>5th Edition</b:Edition>
    <b:Volume>I, Chapter 5: Petroleum Industry</b:Volume>
    <b:RefOrder>1</b:RefOrder>
  </b:Source>
  <b:Source>
    <b:Tag>51201</b:Tag>
    <b:SourceType>ElectronicSource</b:SourceType>
    <b:Guid>{58FB77E0-2D78-4338-AAF1-472DA64957C7}</b:Guid>
    <b:Title>Section 5.1.2, Default Volitile Organic Component of Pesticide Applied</b:Title>
    <b:Year>2001</b:Year>
    <b:InternetSiteTitle>Pesticides-Agricultural and Nonagricultural</b:InternetSiteTitle>
    <b:URL>https://www.epa.gov/sites/production/files/2015-08/documents/iii09_jun2001.pdf#page=53</b:URL>
    <b:Author>
      <b:Author>
        <b:Corporate>U.S. Environmental Protection Agency</b:Corporate>
      </b:Author>
    </b:Author>
    <b:Volume>3, Chapter 9, Pesticides-Agricultural and Nonagricultural</b:Volume>
    <b:PublicationTitle>Emission Inventory Improvement Program</b:PublicationTitle>
    <b:RefOrder>64</b:RefOrder>
  </b:Source>
  <b:Source>
    <b:Tag>USEPA14</b:Tag>
    <b:SourceType>ElectronicSource</b:SourceType>
    <b:Guid>{A8894770-72BE-4212-8BFC-7358415F781D}</b:Guid>
    <b:Author>
      <b:Author>
        <b:Corporate>U.S. Environmental Protection Agency</b:Corporate>
      </b:Author>
    </b:Author>
    <b:Title>Stage I Gasoline Distribution for NEI v2.zip (accessable via Firefox Browser)</b:Title>
    <b:Year>2014</b:Year>
    <b:URL>https://gaftp.epa.gov/Air/nei/2014/doc/2014v2_supportingdata/nonpoint/Stage%20I%20Gasoline%20Distribution%20for%20NEI%20v2.zip</b:URL>
    <b:PublicationTitle>2014 NEI Supporting Data- Nonpoint</b:PublicationTitle>
    <b:RefOrder>65</b:RefOrder>
  </b:Source>
  <b:Source>
    <b:Tag>USE16</b:Tag>
    <b:SourceType>ElectronicSource</b:SourceType>
    <b:Guid>{04B2BC98-B1AF-44D6-A687-37DCE685BFC4}</b:Guid>
    <b:Author>
      <b:Author>
        <b:Corporate>U.S. Environmental Protection Agency</b:Corporate>
      </b:Author>
    </b:Author>
    <b:Title>SPECIATE Database v4.5</b:Title>
    <b:Year>2016</b:Year>
    <b:URL>https://gaftp.epa.gov/Air/nei/2014/doc/2014v2_supportingdata/nonpoint/</b:URL>
    <b:RefOrder>66</b:RefOrder>
  </b:Source>
  <b:Source>
    <b:Tag>Hui12</b:Tag>
    <b:SourceType>DocumentFromInternetSite</b:SourceType>
    <b:Guid>{D222B6A8-3265-4D08-991A-8C9F81748F30}</b:Guid>
    <b:Author>
      <b:Author>
        <b:NameList>
          <b:Person>
            <b:Last>Yang</b:Last>
            <b:First>Huiyan</b:First>
          </b:Person>
        </b:NameList>
      </b:Author>
    </b:Author>
    <b:Title>Development of MANE-VU Onroad Mobile Source Emissions for 2007 and 2020 using MOVES</b:Title>
    <b:InternetSiteTitle>Northeast States for Coordinated Air Use Management (NESCAUM)</b:InternetSiteTitle>
    <b:Year>2012</b:Year>
    <b:Month>January</b:Month>
    <b:URL>https://www.nescaum.org/documents/nescaum-2007-2020-moves-modeling-tsd-20120118.pdf</b:URL>
    <b:RefOrder>67</b:RefOrder>
  </b:Source>
  <b:Source>
    <b:Tag>Sta</b:Tag>
    <b:SourceType>ElectronicSource</b:SourceType>
    <b:Guid>{63E3F75F-8132-483F-BA86-0888F51138BD}</b:Guid>
    <b:Author>
      <b:Author>
        <b:Corporate>State of Connecticut, Department of Energy and Environmental Protection, Bureau of Air Managment</b:Corporate>
      </b:Author>
    </b:Author>
    <b:Title>2005 Periodic Ozone and Carbon Monoxide Emissions Inventory</b:Title>
    <b:Month>July</b:Month>
    <b:Year>2009</b:Year>
    <b:URL>https://portal.ct.gov/DEEP/Air/Emissions-Inventory/Emissions-Inventory</b:URL>
    <b:RefOrder>68</b:RefOrder>
  </b:Source>
  <b:Source>
    <b:Tag>Uni</b:Tag>
    <b:SourceType>InternetSite</b:SourceType>
    <b:Guid>{D99AE57F-3676-40A1-B0E0-A0FE64F81347}</b:Guid>
    <b:Author>
      <b:Author>
        <b:Corporate>Univeristy of North Carolina Community Modeling Analysis System Center</b:Corporate>
      </b:Author>
    </b:Author>
    <b:Title>Community Multiscale Air Quality (CMAQ) Version 5.1</b:Title>
    <b:URL>https://www.cmascenter.org/cmaq/</b:URL>
    <b:Year>2015</b:Year>
    <b:RefOrder>69</b:RefOrder>
  </b:Source>
  <b:Source>
    <b:Tag>NEI17v1</b:Tag>
    <b:SourceType>ElectronicSource</b:SourceType>
    <b:Guid>{5477D738-0129-4EE3-86E1-9B7EC0204686}</b:Guid>
    <b:Author>
      <b:Author>
        <b:Corporate>U.S. Environmental Protection Agency</b:Corporate>
      </b:Author>
    </b:Author>
    <b:Title>2017 National Emissions Inventory Complete Release: Technical Support Document</b:Title>
    <b:Year>2021</b:Year>
    <b:City>Research Triangle Park</b:City>
    <b:StateProvince>NC</b:StateProvince>
    <b:URL>https://www.epa.gov/sites/default/files/2021-02/documents/nei2017_tsd_full_jan2021.pdf</b:URL>
    <b:RefOrder>70</b:RefOrder>
  </b:Source>
  <b:Source>
    <b:Tag>Fer13</b:Tag>
    <b:SourceType>ElectronicSource</b:SourceType>
    <b:Guid>{C20A8433-1E2D-48D5-9201-4BE23DFC562F}</b:Guid>
    <b:Title>Highway Statistics 2016</b:Title>
    <b:Year>2016</b:Year>
    <b:YearAccessed>2015</b:YearAccessed>
    <b:MonthAccessed>September</b:MonthAccessed>
    <b:URL>https://www.fhwa.dot.gov/policyinformation/statistics/2013/</b:URL>
    <b:Author>
      <b:Author>
        <b:Corporate>Federal Highway Administration</b:Corporate>
      </b:Author>
    </b:Author>
    <b:RefOrder>71</b:RefOrder>
  </b:Source>
  <b:Source>
    <b:Tag>USE01</b:Tag>
    <b:SourceType>ElectronicSource</b:SourceType>
    <b:Guid>{2362C594-E8E4-41A4-B206-69A043D34BA0}</b:Guid>
    <b:Author>
      <b:Author>
        <b:Corporate>U.S. Environmental Protection Agency</b:Corporate>
      </b:Author>
    </b:Author>
    <b:Title>AP-42 Section 13.2.1. Paved Roads</b:Title>
    <b:InternetSiteTitle>AP-42</b:InternetSiteTitle>
    <b:Year>2011</b:Year>
    <b:URL>https://www.epa.gov/sites/production/files/2020-10/documents/13.2.1_paved_roads.pdf</b:URL>
    <b:Edition>5th Edition</b:Edition>
    <b:Volume>I, Chapter 13: Miscellaneous Sources</b:Volume>
    <b:RefOrder>72</b:RefOrder>
  </b:Source>
  <b:Source>
    <b:Tag>WBa87</b:Tag>
    <b:SourceType>ConferenceProceedings</b:SourceType>
    <b:Guid>{728151F4-09EE-47F3-AE56-C6F080893EE0}</b:Guid>
    <b:Author>
      <b:Author>
        <b:NameList>
          <b:Person>
            <b:Last>W. Barnard</b:Last>
            <b:First>G.</b:First>
            <b:Middle>Stensland, and D. Gatz</b:Middle>
          </b:Person>
        </b:NameList>
      </b:Author>
    </b:Author>
    <b:Title>Evaluation of Potential Improvements in the Estimation of Unpaved Road Fugitive Emission Inventories</b:Title>
    <b:Year>1987</b:Year>
    <b:City>New York</b:City>
    <b:Pages> paper 87-58.1</b:Pages>
    <b:ConferenceName>80th Annual Meeting of the APCA.</b:ConferenceName>
    <b:RefOrder>73</b:RefOrder>
  </b:Source>
  <b:Source>
    <b:Tag>WBa871</b:Tag>
    <b:SourceType>ConferenceProceedings</b:SourceType>
    <b:Guid>{14CCD875-2B57-4572-9824-1D85582611C0}</b:Guid>
    <b:Author>
      <b:Author>
        <b:NameList>
          <b:Person>
            <b:Last>W. Barnard</b:Last>
            <b:First>G.</b:First>
            <b:Middle>Stensland, and D. Gatz, Illinois State Water</b:Middle>
          </b:Person>
        </b:NameList>
      </b:Author>
    </b:Author>
    <b:Title>Evaluation of Potential Improvements in the Estimation of Unpaved Road Fugitive Emission Inventories</b:Title>
    <b:Pages>paper 87-58.1</b:Pages>
    <b:Year>1987</b:Year>
    <b:ConferenceName>80th Annual Meeting of the APCA</b:ConferenceName>
    <b:City>New York</b:City>
    <b:RefOrder>74</b:RefOrder>
  </b:Source>
  <b:Source>
    <b:Tag>WBa872</b:Tag>
    <b:SourceType>ConferenceProceedings</b:SourceType>
    <b:Guid>{96549544-F6D9-4395-B094-FC4BD19DAD4C}</b:Guid>
    <b:Title>Evaluation of Potential Improvements in the Estimation of Unpaved Road Fugitive Emission Inventories</b:Title>
    <b:Year>1987</b:Year>
    <b:City>New York</b:City>
    <b:Author>
      <b:Author>
        <b:Corporate>W. Barnard, G. Stensland, and D. Gatz</b:Corporate>
      </b:Author>
      <b:Editor>
        <b:NameList>
          <b:Person>
            <b:Last>W. Barnard</b:Last>
            <b:First>G.</b:First>
            <b:Middle>Stensland, and D. Gatz</b:Middle>
          </b:Person>
        </b:NameList>
      </b:Editor>
    </b:Author>
    <b:Pages>paper 87-58.1</b:Pages>
    <b:ConferenceName>80th Annual Meeting of the APCA</b:ConferenceName>
    <b:RefOrder>75</b:RefOrder>
  </b:Source>
  <b:Source>
    <b:Tag>TSD2011</b:Tag>
    <b:SourceType>ElectronicSource</b:SourceType>
    <b:Guid>{BD69D782-68EE-4AD4-A98B-90DF4D6064A8}</b:Guid>
    <b:Title>2011 National Emissions Inventory, version 2 Technical Support Document</b:Title>
    <b:Year>2015</b:Year>
    <b:City>Research Triangle Park</b:City>
    <b:Author>
      <b:Author>
        <b:Corporate>U.S. Environmental Protection Agency</b:Corporate>
      </b:Author>
    </b:Author>
    <b:Month>August</b:Month>
    <b:RefOrder>76</b:RefOrder>
  </b:Source>
  <b:Source>
    <b:Tag>Fed96</b:Tag>
    <b:SourceType>DocumentFromInternetSite</b:SourceType>
    <b:Guid>{F06F46AB-4A0A-4614-A05C-B7CB2390D93A}</b:Guid>
    <b:Author>
      <b:Author>
        <b:Corporate>Federal Highway Administration</b:Corporate>
      </b:Author>
    </b:Author>
    <b:Title>Highway Statistics 2016 (Table HM-51)</b:Title>
    <b:Year>2016</b:Year>
    <b:Month>October</b:Month>
    <b:URL>https://www.fhwa.dot.gov/policyinformation/statistics/2016/</b:URL>
    <b:RefOrder>77</b:RefOrder>
  </b:Source>
  <b:Source>
    <b:Tag>Roz</b:Tag>
    <b:SourceType>Report</b:SourceType>
    <b:Guid>{8F4B8C9A-CB50-40FB-BC08-27AA089860A4}</b:Guid>
    <b:Title>Data provided to Abt Associates</b:Title>
    <b:Author>
      <b:Author>
        <b:NameList>
          <b:Person>
            <b:Last>Rozycki</b:Last>
            <b:First>Robert</b:First>
          </b:Person>
        </b:NameList>
      </b:Author>
    </b:Author>
    <b:ThesisType>FHWA</b:ThesisType>
    <b:RefOrder>78</b:RefOrder>
  </b:Source>
  <b:Source>
    <b:Tag>USC143</b:Tag>
    <b:SourceType>ElectronicSource</b:SourceType>
    <b:Guid>{3A69D3CB-01B5-4666-A524-6955CD811016}</b:Guid>
    <b:Title>New Privately Owned Housing Units Started in the United States by Purpose and Design in 2017</b:Title>
    <b:Year>2019</b:Year>
    <b:YearAccessed>2015</b:YearAccessed>
    <b:MonthAccessed>September</b:MonthAccessed>
    <b:URL>https://www.census.gov/construction/c30/c30index.html</b:URL>
    <b:Author>
      <b:Author>
        <b:Corporate>U.S. Census Bureau</b:Corporate>
      </b:Author>
    </b:Author>
    <b:RefOrder>79</b:RefOrder>
  </b:Source>
  <b:Source>
    <b:Tag>USC15</b:Tag>
    <b:SourceType>Report</b:SourceType>
    <b:Guid>{FF5D41D8-3B2A-46DE-B053-C47585AEF964}</b:Guid>
    <b:Author>
      <b:Author>
        <b:Corporate>U.S. Census Bureau</b:Corporate>
      </b:Author>
    </b:Author>
    <b:Title>Annual Housing Units Authorized by Building Permits CO2017A</b:Title>
    <b:Year>2019</b:Year>
    <b:RefOrder>80</b:RefOrder>
  </b:Source>
  <b:Source>
    <b:Tag>USC16</b:Tag>
    <b:SourceType>ElectronicSource</b:SourceType>
    <b:Guid>{D7F9A354-24B1-44D9-80C0-788A386D9FEA}</b:Guid>
    <b:Author>
      <b:Author>
        <b:Corporate>U.S. Census Bureau</b:Corporate>
      </b:Author>
    </b:Author>
    <b:Title>Characteristics of New Single-Family Houses Completed</b:Title>
    <b:YearAccessed>2015</b:YearAccessed>
    <b:URL>https://www.census.gov/construction/chars/completed.html</b:URL>
    <b:Year>2017</b:Year>
    <b:MonthAccessed>September</b:MonthAccessed>
    <b:RefOrder>81</b:RefOrder>
  </b:Source>
  <b:Source>
    <b:Tag>Nat15</b:Tag>
    <b:SourceType>InternetSite</b:SourceType>
    <b:Guid>{59B46020-2309-4D4B-9FB8-0204016160C4}</b:Guid>
    <b:Title>National Cooperative Soil Survey Soil Characterization Database</b:Title>
    <b:YearAccessed>2017</b:YearAccessed>
    <b:MonthAccessed>September</b:MonthAccessed>
    <b:URL>https://ncsslabdatamart.sc.egov.usda.gov/</b:URL>
    <b:Author>
      <b:Author>
        <b:Corporate>National Cooperative Soil Survey</b:Corporate>
      </b:Author>
    </b:Author>
    <b:Year>2017</b:Year>
    <b:RefOrder>82</b:RefOrder>
  </b:Source>
  <b:Source>
    <b:Tag>Cow06</b:Tag>
    <b:SourceType>ConferenceProceedings</b:SourceType>
    <b:Guid>{2B791856-672F-4A41-8E28-E8E3B1251F57}</b:Guid>
    <b:Title>Proposed Revisions to Fine Fraction Ratios Used for AP-42 Fugitive Dust Emission Factors.</b:Title>
    <b:City>New Orleans</b:City>
    <b:Year>2006</b:Year>
    <b:Author>
      <b:Author>
        <b:Corporate>Cowherd, C. J. Donaldson, R. Hegarty, and D. Ono</b:Corporate>
      </b:Author>
    </b:Author>
    <b:ConferenceName>15th International Emission Inventory Conference</b:ConferenceName>
    <b:RefOrder>83</b:RefOrder>
  </b:Source>
  <b:Source>
    <b:Tag>USC142</b:Tag>
    <b:SourceType>ElectronicSource</b:SourceType>
    <b:Guid>{1F51EC54-9BAE-4214-A0C6-5E92C6892FCB}</b:Guid>
    <b:Title>Value of Construction Put in Place</b:Title>
    <b:Year>2017</b:Year>
    <b:Author>
      <b:Author>
        <b:Corporate>U.S. Census Bureau</b:Corporate>
      </b:Author>
    </b:Author>
    <b:YearAccessed>2015</b:YearAccessed>
    <b:MonthAccessed>September</b:MonthAccessed>
    <b:URL>https://www.census.gov/construction/nrs/pdf/price_uc.pdf</b:URL>
    <b:RefOrder>84</b:RefOrder>
  </b:Source>
  <b:Source>
    <b:Tag>USC17P</b:Tag>
    <b:SourceType>ElectronicSource</b:SourceType>
    <b:Guid>{7C2A3281-2C19-4BA1-82A5-F689C458E440}</b:Guid>
    <b:Title>Price Deflator (Fisher) Index of New Single‐Family Houses Under Construction</b:Title>
    <b:Year>2017</b:Year>
    <b:Author>
      <b:Author>
        <b:Corporate>U.S. Census Bureau</b:Corporate>
      </b:Author>
    </b:Author>
    <b:RefOrder>85</b:RefOrder>
  </b:Source>
  <b:Source>
    <b:Tag>Mid99</b:Tag>
    <b:SourceType>Report</b:SourceType>
    <b:Guid>{B9FD16C8-4E47-472A-BA04-0D9427E0CD3C}</b:Guid>
    <b:Author>
      <b:Author>
        <b:Corporate>Midwest Research Institute</b:Corporate>
      </b:Author>
    </b:Author>
    <b:Title>Estimating Particulate Matter Emissions from Construction Operations, Final Report, Table 5-2</b:Title>
    <b:Year>1999</b:Year>
    <b:ThesisType>Prepared for the EPA Emission Factor and Inventory Group</b:ThesisType>
    <b:RefOrder>86</b:RefOrder>
  </b:Source>
  <b:Source>
    <b:Tag>Est99</b:Tag>
    <b:SourceType>Report</b:SourceType>
    <b:Guid>{7B72B69D-1265-41D4-92E4-9080547B5EB8}</b:Guid>
    <b:Title>Estimating Particulate Matter Emissions from Construction Operations, Final Report</b:Title>
    <b:Year>1999</b:Year>
    <b:ThesisType>Prepared for the EPA Emission Factor and Inventory Group</b:ThesisType>
    <b:Author>
      <b:Author>
        <b:Corporate>Midwest Research Institute</b:Corporate>
      </b:Author>
    </b:Author>
    <b:RefOrder>87</b:RefOrder>
  </b:Source>
  <b:Source>
    <b:Tag>USD</b:Tag>
    <b:SourceType>ElectronicSource</b:SourceType>
    <b:Guid>{102D845C-9D60-4B49-83DB-78E56335989F}</b:Guid>
    <b:Author>
      <b:Author>
        <b:Corporate>Federal Highway Administration</b:Corporate>
      </b:Author>
    </b:Author>
    <b:Title>Table SF-12A, State Highway Agency Outlay - 2014</b:Title>
    <b:URL>https://www.fhwa.dot.gov/policyinformation/statistics/2014/sf12a.cfm</b:URL>
    <b:Year>2016</b:Year>
    <b:Month>February</b:Month>
    <b:YearAccessed>2016</b:YearAccessed>
    <b:MonthAccessed>July</b:MonthAccessed>
    <b:RefOrder>88</b:RefOrder>
  </b:Source>
  <b:Source>
    <b:Tag>Flo18</b:Tag>
    <b:SourceType>Report</b:SourceType>
    <b:Guid>{DD5925C1-04A3-439D-AF66-CBD8A1F694E8}</b:Guid>
    <b:Author>
      <b:Author>
        <b:Corporate>Florida Department of Transportation</b:Corporate>
      </b:Author>
    </b:Author>
    <b:Title>Generic Cost per Mile Models for 2018</b:Title>
    <b:Year>2018</b:Year>
    <b:RefOrder>89</b:RefOrder>
  </b:Source>
  <b:Source>
    <b:Tag>USC2019</b:Tag>
    <b:SourceType>ElectronicSource</b:SourceType>
    <b:Guid>{58F97760-BC72-423C-964F-E9D19D98BC14}</b:Guid>
    <b:Year>2015</b:Year>
    <b:YearAccessed>2015</b:YearAccessed>
    <b:URL>https://www.census.gov/construction/bps/txt/tb2u2014.txt</b:URL>
    <b:Author>
      <b:Author>
        <b:Corporate>U.S. Census Bureau</b:Corporate>
      </b:Author>
    </b:Author>
    <b:Title>Annual Housing Units Authorized by Building Permits CO2017A</b:Title>
    <b:RefOrder>90</b:RefOrder>
  </b:Source>
  <b:Source>
    <b:Tag>Mid991</b:Tag>
    <b:SourceType>Report</b:SourceType>
    <b:Guid>{CA3D1060-5E7F-4816-B320-445D392631E1}</b:Guid>
    <b:Author>
      <b:Author>
        <b:Corporate>Midwest Research Institute</b:Corporate>
      </b:Author>
    </b:Author>
    <b:Title>Estimating Particulate Matter Emissions from Construction Operations, Final Report, Section 5.7.1</b:Title>
    <b:Year>1999</b:Year>
    <b:ThesisType>prepared for the Emission Factor and Inventory Group</b:ThesisType>
    <b:RefOrder>91</b:RefOrder>
  </b:Source>
  <b:Source>
    <b:Tag>USD17</b:Tag>
    <b:SourceType>Report</b:SourceType>
    <b:Guid>{70156C82-0FCD-468A-8BF2-3CE90728BCEE}</b:Guid>
    <b:Author>
      <b:Author>
        <b:Corporate>U.S. Department of Energy</b:Corporate>
      </b:Author>
    </b:Author>
    <b:Title>Detailed data from the EIA-7A and the U.S. Mine Safety and Health Administration</b:Title>
    <b:Year>2017</b:Year>
    <b:ThesisType> Energy Information Administration</b:ThesisType>
    <b:RefOrder>92</b:RefOrder>
  </b:Source>
  <b:Source>
    <b:Tag>USC01</b:Tag>
    <b:SourceType>ElectronicSource</b:SourceType>
    <b:Guid>{275052D0-565D-4F93-981F-661A337B26F0}</b:Guid>
    <b:Author>
      <b:Author>
        <b:Corporate>Dun and Bradford</b:Corporate>
      </b:Author>
    </b:Author>
    <b:Title>Hoovers Database</b:Title>
    <b:Year>2018</b:Year>
    <b:URL>https://www.census.gov/data/datasets/2014/econ/cbp/2014-cbp.html</b:URL>
    <b:YearAccessed>2016</b:YearAccessed>
    <b:MonthAccessed>August</b:MonthAccessed>
    <b:RefOrder>93</b:RefOrder>
  </b:Source>
  <b:Source>
    <b:Tag>Pub01</b:Tag>
    <b:SourceType>Report</b:SourceType>
    <b:Guid>{C0C70D9F-075C-4012-840C-809BC71E9EC6}</b:Guid>
    <b:Author>
      <b:Author>
        <b:Corporate>Public Research Institute</b:Corporate>
      </b:Author>
    </b:Author>
    <b:Title>Charbroiling Activity Estimation</b:Title>
    <b:Year>2001</b:Year>
    <b:City>San Francisco</b:City>
    <b:ThesisType>Prepared for the California Air Resources Board and the California Environmental Protection Agency</b:ThesisType>
    <b:RefOrder>94</b:RefOrder>
  </b:Source>
  <b:Source>
    <b:Tag>Tec17</b:Tag>
    <b:SourceType>Report</b:SourceType>
    <b:Guid>{B9740DA0-41C4-4436-A2CA-A7F837004923}</b:Guid>
    <b:Author>
      <b:Author>
        <b:Corporate>Technomic</b:Corporate>
      </b:Author>
    </b:Author>
    <b:Title>Volumetric Assessment of the Foodservice Potato Market.</b:Title>
    <b:Year>2017</b:Year>
    <b:ThesisType>Prepared for Potatoes USA</b:ThesisType>
    <b:RefOrder>95</b:RefOrder>
  </b:Source>
  <b:Source>
    <b:Tag>McD03</b:Tag>
    <b:SourceType>JournalArticle</b:SourceType>
    <b:Guid>{CA8FFEA4-36D1-42A2-9104-AAA5EDA33B2A}</b:Guid>
    <b:Title>Emissions from Charbroiling and Grilling of Chicken and Beef</b:Title>
    <b:Year>2003</b:Year>
    <b:Author>
      <b:Author>
        <b:Corporate>McDonald, J., B. Zielinska, E. Fujita, J. Sagebiel, J. Chow, and J. Watson</b:Corporate>
      </b:Author>
    </b:Author>
    <b:JournalName>Journal of Air &amp; Waste Management Association</b:JournalName>
    <b:Pages>53:185-194</b:Pages>
    <b:RefOrder>96</b:RefOrder>
  </b:Source>
  <b:Source>
    <b:Tag>USE99</b:Tag>
    <b:SourceType>Report</b:SourceType>
    <b:Guid>{8BA6A8DB-7028-4015-A3D2-D808241B73F5}</b:Guid>
    <b:Title>Emissions from Street Vendor Cooking Devices (Charcoal Grilling)</b:Title>
    <b:Year>1999</b:Year>
    <b:Author>
      <b:Author>
        <b:Corporate>US EPA</b:Corporate>
      </b:Author>
    </b:Author>
    <b:ThesisType>Prepared by ARCADIS Geraghty &amp; Miller</b:ThesisType>
    <b:RefOrder>97</b:RefOrder>
  </b:Source>
  <b:Source>
    <b:Tag>Nor97</b:Tag>
    <b:SourceType>Report</b:SourceType>
    <b:Guid>{A8D04FCB-44DC-4567-B56C-FDF0DB38FAF1}</b:Guid>
    <b:Author>
      <b:Author>
        <b:NameList>
          <b:Person>
            <b:Last>Norbeck</b:Last>
            <b:First>Joseph,</b:First>
            <b:Middle>1997</b:Middle>
          </b:Person>
        </b:NameList>
      </b:Author>
    </b:Author>
    <b:Title>Further Development of Emission Test Methods and Development of Emission Factors for Various Commercial Cooking Operations</b:Title>
    <b:Year>1997</b:Year>
    <b:ThesisType>Prepared for the South Coast Air Quality</b:ThesisType>
    <b:RefOrder>98</b:RefOrder>
  </b:Source>
  <b:Source>
    <b:Tag>USC145</b:Tag>
    <b:SourceType>ElectronicSource</b:SourceType>
    <b:Guid>{F1F2BC5A-E51C-47D1-8D39-C26B09EE7315}</b:Guid>
    <b:Title>Selected Housing Characteristics, American Community Survey 5-Year Estimates</b:Title>
    <b:Year>2015</b:Year>
    <b:YearAccessed>2015</b:YearAccessed>
    <b:MonthAccessed>April</b:MonthAccessed>
    <b:URL>https://factfinder.census.gov/faces/nav/jsf/pages/index.xhtml#none</b:URL>
    <b:Author>
      <b:Author>
        <b:Corporate>U.S. Census Bureau</b:Corporate>
      </b:Author>
    </b:Author>
    <b:RefOrder>99</b:RefOrder>
  </b:Source>
  <b:Source>
    <b:Tag>Kin15</b:Tag>
    <b:SourceType>Misc</b:SourceType>
    <b:Guid>{A2B88804-E6F0-4617-95B0-25579202E3CC}</b:Guid>
    <b:Title>Email on the weight of their charcoal briquettes</b:Title>
    <b:Year>2015</b:Year>
    <b:Author>
      <b:Author>
        <b:NameList>
          <b:Person>
            <b:Last>Kingsford</b:Last>
          </b:Person>
        </b:NameList>
      </b:Author>
    </b:Author>
    <b:Month>April</b:Month>
    <b:Day>11</b:Day>
    <b:RefOrder>100</b:RefOrder>
  </b:Source>
  <b:Source>
    <b:Tag>USE991</b:Tag>
    <b:SourceType>DocumentFromInternetSite</b:SourceType>
    <b:Guid>{386C3B5E-A10F-4E36-914D-0C864337455B}</b:Guid>
    <b:Title>EPA/600/SR-99/048: Emissions from Street Vendor Cooking Devices (Charcoal Grilling)</b:Title>
    <b:Year>1999</b:Year>
    <b:Author>
      <b:Author>
        <b:Corporate>U.S. Environmental Protection Agency</b:Corporate>
      </b:Author>
    </b:Author>
    <b:ThesisType>EPA/600/SR-99/048</b:ThesisType>
    <b:URL>https://www3.epa.gov/ttn/catc/dir1/mexfr.pdf</b:URL>
    <b:RefOrder>101</b:RefOrder>
  </b:Source>
  <b:Source>
    <b:Tag>SPEC4553</b:Tag>
    <b:SourceType>ElectronicSource</b:SourceType>
    <b:Guid>{82DEA1C0-0388-4D2D-A243-72D74D4EC968}</b:Guid>
    <b:Title>SPECIATE Database, version 4.4. Speciation profile 4553, meat charbroiling</b:Title>
    <b:Year>2014</b:Year>
    <b:Author>
      <b:Author>
        <b:Corporate>U.S. Environmental Protection Agency</b:Corporate>
      </b:Author>
    </b:Author>
    <b:Publisher>Speciation profile was adjusted to be based on VOC, rather than total organic gases (TOG), by removing methane from the profile</b:Publisher>
    <b:RefOrder>102</b:RefOrder>
  </b:Source>
  <b:Source>
    <b:Tag>MSW98</b:Tag>
    <b:SourceType>ElectronicSource</b:SourceType>
    <b:Guid>{86454BA3-557D-48B5-829B-5642DDD23CFF}</b:Guid>
    <b:Title> Municipal Solid Waste Landfills, AP-42, Vol 1, Ch 2.4</b:Title>
    <b:Year>1998</b:Year>
    <b:URL>https://www.epa.gov/ sites/default/files/ 2020-10/documents/c02s04.pdf</b:URL>
    <b:Author>
      <b:Author>
        <b:Corporate>U.S. Environmental Protection Agency</b:Corporate>
      </b:Author>
    </b:Author>
    <b:RefOrder>103</b:RefOrder>
  </b:Source>
  <b:Source>
    <b:Tag>Off91</b:Tag>
    <b:SourceType>ElectronicSource</b:SourceType>
    <b:Guid>{88B3F391-F93F-4E77-AD2F-AA68954BF88F}</b:Guid>
    <b:Author>
      <b:Author>
        <b:Corporate>Office of Air Quality Planning and Standards, U. S. Environmental Protection Agency</b:Corporate>
      </b:Author>
    </b:Author>
    <b:Title>Air Emissions from Municipal Solid Waste Landfills - Background Information for Proposed, EPA-450/3-90-011a,</b:Title>
    <b:City>Research Triangle Park</b:City>
    <b:Year>1991</b:Year>
    <b:Month>March</b:Month>
    <b:RefOrder>104</b:RefOrder>
  </b:Source>
  <b:Source>
    <b:Tag>SWZ</b:Tag>
    <b:SourceType>Report</b:SourceType>
    <b:Guid>{D0C6A383-483D-406C-8280-0553CA4C3E4F}</b:Guid>
    <b:Title>Landfill Gas Production Curves: Myth Versus Reality</b:Title>
    <b:City>City of Commerce</b:City>
    <b:Author>
      <b:Author>
        <b:NameList>
          <b:Person>
            <b:Last>Zison</b:Last>
            <b:First>S.W.</b:First>
          </b:Person>
        </b:NameList>
      </b:Author>
    </b:Author>
    <b:RefOrder>105</b:RefOrder>
  </b:Source>
  <b:Source>
    <b:Tag>RLP93</b:Tag>
    <b:SourceType>Report</b:SourceType>
    <b:Guid>{C0A41F6B-1EBD-462E-99D1-ECE7A8018912}</b:Guid>
    <b:Author>
      <b:Author>
        <b:Corporate>R.L. Peer, et al.</b:Corporate>
      </b:Author>
    </b:Author>
    <b:Title>Memorandum Methodology Used to Revise the Model Inputs in the Municipal Solid</b:Title>
    <b:Year>1993</b:Year>
    <b:ThesisType>the Municipal Solid Waste Landfills Docket No. A-88-09, April 28, 1993</b:ThesisType>
    <b:RefOrder>106</b:RefOrder>
  </b:Source>
  <b:Source>
    <b:Tag>USB17</b:Tag>
    <b:SourceType>InternetSite</b:SourceType>
    <b:Guid>{B981CD8F-0329-41BE-871C-A0A3D837CA45}</b:Guid>
    <b:Title>bls.gov</b:Title>
    <b:Year>2017</b:Year>
    <b:Author>
      <b:Author>
        <b:Corporate>U.S. Bureau of Labor Statistics</b:Corporate>
      </b:Author>
    </b:Author>
    <b:URL>https://data.bls.gov/cew/apps/data_views/data_views.htm#tab=Tables</b:URL>
    <b:RefOrder>107</b:RefOrder>
  </b:Source>
  <b:Source>
    <b:Tag>AEI17</b:Tag>
    <b:SourceType>InternetSite</b:SourceType>
    <b:Guid>{87902F0D-2B74-42B1-9E29-1555E083C03A}</b:Guid>
    <b:Author>
      <b:Author>
        <b:Corporate>U.S. Environmental Protection Agency</b:Corporate>
      </b:Author>
    </b:Author>
    <b:Title>Air Emissions Inventories</b:Title>
    <b:Year>2017</b:Year>
    <b:URL>https://www.epa.gov/air-emissions-inventories/2017-national-emissions-inventory-nei-data</b:URL>
    <b:RefOrder>108</b:RefOrder>
  </b:Source>
  <b:Source>
    <b:Tag>USG17</b:Tag>
    <b:SourceType>InternetSite</b:SourceType>
    <b:Guid>{13C805F4-01C3-4E3C-A796-284DEDF1E134}</b:Guid>
    <b:Author>
      <b:Author>
        <b:Corporate>U.S. Geological Survey</b:Corporate>
      </b:Author>
    </b:Author>
    <b:Title>NATIONAL MINERALS INFORMATION CENTER</b:Title>
    <b:Year>2017</b:Year>
    <b:URL>https://www.usgs.gov/centers/national-minerals-information-center/statistical-summary</b:URL>
    <b:RefOrder>109</b:RefOrder>
  </b:Source>
  <b:Source>
    <b:Tag>USG15</b:Tag>
    <b:SourceType>DocumentFromInternetSite</b:SourceType>
    <b:Guid>{C8F111A8-24D7-472A-A747-34313DFE0261}</b:Guid>
    <b:Author>
      <b:Author>
        <b:Corporate>U.S. Geologic Survey</b:Corporate>
      </b:Author>
    </b:Author>
    <b:Title>2012 Minerals Yearbook</b:Title>
    <b:YearAccessed>2015</b:YearAccessed>
    <b:MonthAccessed>July</b:MonthAccessed>
    <b:URL>https://www.usgs.gov/centers/nmic/mining-and-quarrying#myb</b:URL>
    <b:Year>2012</b:Year>
    <b:RefOrder>110</b:RefOrder>
  </b:Source>
  <b:Source>
    <b:Tag>Pow11</b:Tag>
    <b:SourceType>InternetSite</b:SourceType>
    <b:Guid>{B84031CB-06DE-4E79-9AE7-1946BF4C9FBD}</b:Guid>
    <b:Title>Connecticut General Statutes, RCSA § 22a-174-f</b:Title>
    <b:Year>2011</b:Year>
    <b:Month>July</b:Month>
    <b:Day>1</b:Day>
    <b:URL>https://www.cga.ct.gov/current/pub/chap_446c.htm#sec_22a-174</b:URL>
    <b:Author>
      <b:Author>
        <b:Corporate>Powers of the Commisioner</b:Corporate>
      </b:Author>
    </b:Author>
    <b:RefOrder>111</b:RefOrder>
  </b:Source>
  <b:Source>
    <b:Tag>McC09</b:Tag>
    <b:SourceType>JournalArticle</b:SourceType>
    <b:Guid>{C3B1B585-B8D4-499F-8F46-D1764533B738}</b:Guid>
    <b:Title>The spatial and temporal distribution of crop residue burning in the contiguous United States</b:Title>
    <b:Year>2009</b:Year>
    <b:Author>
      <b:Author>
        <b:Corporate>McCarty, J.L., S. Korontzi, C. O. Justice, and T. Loboda</b:Corporate>
      </b:Author>
    </b:Author>
    <b:JournalName>Science of the Total Environment 407 (21)</b:JournalName>
    <b:Pages>5701-5712</b:Pages>
    <b:RefOrder>112</b:RefOrder>
  </b:Source>
  <b:Source>
    <b:Tag>McC11</b:Tag>
    <b:SourceType>JournalArticle</b:SourceType>
    <b:Guid>{12F3A298-8759-42AE-92B3-F6E937A22FA6}</b:Guid>
    <b:Author>
      <b:Author>
        <b:NameList>
          <b:Person>
            <b:Last>McCarty</b:Last>
            <b:First>J.</b:First>
            <b:Middle>L.</b:Middle>
          </b:Person>
        </b:NameList>
      </b:Author>
    </b:Author>
    <b:Title>Remote Sensing-Based Estimates of Annual and Seasonal Emissions from Crop Residue Burning in the Contiguous United States</b:Title>
    <b:JournalName>Journal of the Air &amp; Waste Management Association 61 (1)</b:JournalName>
    <b:Year>2011</b:Year>
    <b:Pages>22-34</b:Pages>
    <b:RefOrder>113</b:RefOrder>
  </b:Source>
  <b:Source>
    <b:Tag>Pou17</b:Tag>
    <b:SourceType>JournalArticle</b:SourceType>
    <b:Guid>{2C912797-522D-4CA8-9A5C-3603081EA1E5}</b:Guid>
    <b:Author>
      <b:Author>
        <b:Corporate>Pouliot, G., Rao, V., McCarty, J. L., and A. Soja</b:Corporate>
      </b:Author>
    </b:Author>
    <b:Title>Development of the crop residue and rangeland burning in the 2014 National Emissions Inventory using information from multiple sources.</b:Title>
    <b:JournalName>ournal of the Air &amp; Waste Management Association Vol. 67, Issue 5</b:JournalName>
    <b:Year>2017</b:Year>
    <b:RefOrder>114</b:RefOrder>
  </b:Source>
  <b:Source>
    <b:Tag>USDA15</b:Tag>
    <b:SourceType>InternetSite</b:SourceType>
    <b:Guid>{0090C256-071C-44C5-A4A5-45EE445FE5F4}</b:Guid>
    <b:Author>
      <b:Author>
        <b:Corporate>United States Department of Agriculture</b:Corporate>
      </b:Author>
    </b:Author>
    <b:Title>USDA National Agricultural Statistics Service Cropland Data Layer</b:Title>
    <b:Year>2015</b:Year>
    <b:URL>https://nassgeodata.gmu.edu/CropScape/</b:URL>
    <b:RefOrder>115</b:RefOrder>
  </b:Source>
  <b:Source>
    <b:Tag>USGS17</b:Tag>
    <b:SourceType>InternetSite</b:SourceType>
    <b:Guid>{FD27161D-608D-4C3F-828B-75F72663490D}</b:Guid>
    <b:Title>Archived preliminary county-level pesticide use estimates.</b:Title>
    <b:Year>2017</b:Year>
    <b:Publisher>U.S. Geologic Survey</b:Publisher>
    <b:ThesisType>https://pubs.er.usgs.gov/publication/ofr20151176</b:ThesisType>
    <b:Author>
      <b:Author>
        <b:Corporate>United States Geological Survey</b:Corporate>
      </b:Author>
    </b:Author>
    <b:URL>https://water.usgs.gov/nawqa/pnsp/usage/maps/county-level/</b:URL>
    <b:RefOrder>116</b:RefOrder>
  </b:Source>
  <b:Source>
    <b:Tag>CMAQ53</b:Tag>
    <b:SourceType>InternetSite</b:SourceType>
    <b:Guid>{2608E584-AE26-4AE5-8CFC-B9B18A1F1E31}</b:Guid>
    <b:Title>Community Multiscale Air Quality (CMAQ v5.3) model</b:Title>
    <b:Author>
      <b:Author>
        <b:Corporate>U.S. EPA Office of Research and Development and the Community Modeling and Analysis System Center</b:Corporate>
      </b:Author>
    </b:Author>
    <b:URL>https://www.epa.gov/cmaq</b:URL>
    <b:RefOrder>117</b:RefOrder>
  </b:Source>
  <b:Source>
    <b:Tag>FestC</b:Tag>
    <b:SourceType>InternetSite</b:SourceType>
    <b:Guid>{F592188D-8064-4736-AC3D-45FC5C1679A1}</b:Guid>
    <b:Author>
      <b:Author>
        <b:Corporate>Univeristy of North Carolinia Community Modeling Analysis System Center</b:Corporate>
      </b:Author>
    </b:Author>
    <b:Title>Fertilizer Emission Scenario Tool for CMAQ (FEST-C) system</b:Title>
    <b:URL>https://www.cmascenter.org/fest-c/</b:URL>
    <b:RefOrder>118</b:RefOrder>
  </b:Source>
  <b:Source>
    <b:Tag>Nat</b:Tag>
    <b:SourceType>InternetSite</b:SourceType>
    <b:Guid>{492DBA1C-F770-4FDC-8BA9-331BA6E7E0F5}</b:Guid>
    <b:Author>
      <b:Author>
        <b:Corporate>National Center for Atmospheric Research</b:Corporate>
      </b:Author>
    </b:Author>
    <b:Title>Weather Research Forecast (WRF) model, </b:Title>
    <b:URL>https://www.mmm.ucar.edu/weather-research-and-forecasting-model</b:URL>
    <b:RefOrder>119</b:RefOrder>
  </b:Source>
  <b:Source>
    <b:Tag>Tex</b:Tag>
    <b:SourceType>InternetSite</b:SourceType>
    <b:Guid>{7EEB60BD-6468-497D-9DB9-0BC2FB7EA2FE}</b:Guid>
    <b:Title>EPIC &amp; APEX Models</b:Title>
    <b:Author>
      <b:Author>
        <b:Corporate>Texas Agriculture and Mechanical University</b:Corporate>
      </b:Author>
    </b:Author>
    <b:URL>https://epicapex.tamu.edu/</b:URL>
    <b:RefOrder>120</b:RefOrder>
  </b:Source>
  <b:Source>
    <b:Tag>Coo12</b:Tag>
    <b:SourceType>JournalArticle</b:SourceType>
    <b:Guid>{C70F5447-5CA2-4533-8F94-DB7E0C3211FB}</b:Guid>
    <b:Title>Linking agricultural crop management and air quality models for regional to national-scale nitrogen assessments</b:Title>
    <b:Year>2012</b:Year>
    <b:Author>
      <b:Author>
        <b:Corporate>Cooter, E. J., Bash, J. O., Benson, V., and Ran, L.</b:Corporate>
      </b:Author>
    </b:Author>
    <b:JournalName>Biogeosciences</b:JournalName>
    <b:Pages>4023-4035</b:Pages>
    <b:Issue>9</b:Issue>
    <b:URL>https://bg.copernicus.org/articles/9/4023/2012/bg-9-4023-2012.pdf</b:URL>
    <b:DOI>https://doi.org/10.5194/bg-9-4023-2012</b:DOI>
    <b:RefOrder>121</b:RefOrder>
  </b:Source>
  <b:Source>
    <b:Tag>Mid81</b:Tag>
    <b:SourceType>Report</b:SourceType>
    <b:Guid>{9FAD84FE-0F81-4A37-BAE5-F9AC6E920FD5}</b:Guid>
    <b:Title>The Role of Agricultural Practices in Fugitive Dust Emissions, page 117</b:Title>
    <b:Year>1981</b:Year>
    <b:ThesisType>Prepared for California Air Resources Board</b:ThesisType>
    <b:Author>
      <b:Author>
        <b:Corporate>Midwest Research Institute</b:Corporate>
      </b:Author>
    </b:Author>
    <b:RefOrder>122</b:RefOrder>
  </b:Source>
  <b:Source>
    <b:Tag>USD22</b:Tag>
    <b:SourceType>InternetSite</b:SourceType>
    <b:Guid>{5F6B577A-A07A-4BCD-9144-23A5C28A8A58}</b:Guid>
    <b:Title>National Cooperative Soil Survey, NCSS Microsoft Access Soil Characterization Database</b:Title>
    <b:Author>
      <b:Author>
        <b:Corporate>U.S. Department of Agriculture</b:Corporate>
      </b:Author>
    </b:Author>
    <b:YearAccessed>2022</b:YearAccessed>
    <b:MonthAccessed>August</b:MonthAccessed>
    <b:DayAccessed>24</b:DayAccessed>
    <b:URL>https://ncsslabdatamart.sc.egov.usda.gov/</b:URL>
    <b:RefOrder>123</b:RefOrder>
  </b:Source>
  <b:Source>
    <b:Tag>USE85</b:Tag>
    <b:SourceType>ElectronicSource</b:SourceType>
    <b:Guid>{F11C3481-93EF-49BC-AB00-C8EF992CF7CD}</b:Guid>
    <b:Title>Compilation of Air Pollutant Emission Factors, 4th Edition, AP-42, Volume I: Stationary Point and Area Sources,</b:Title>
    <b:Year>1985</b:Year>
    <b:Author>
      <b:Author>
        <b:Corporate>U.S. Environmental Protection Agency</b:Corporate>
      </b:Author>
    </b:Author>
    <b:City>Research Triangle Park</b:City>
    <b:RefOrder>124</b:RefOrder>
  </b:Source>
  <b:Source>
    <b:Tag>Uni17</b:Tag>
    <b:SourceType>InternetSite</b:SourceType>
    <b:Guid>{4EF16E58-AA5F-4870-8FBA-223AC94B163C}</b:Guid>
    <b:Title>National Agricultural Statistics Service</b:Title>
    <b:Year>2017</b:Year>
    <b:Author>
      <b:Author>
        <b:Corporate>United States Department of Agriculture</b:Corporate>
      </b:Author>
    </b:Author>
    <b:YearAccessed>2022</b:YearAccessed>
    <b:URL>https://quickstats.nass.usda.gov/</b:URL>
    <b:RefOrder>125</b:RefOrder>
  </b:Source>
  <b:Source>
    <b:Tag>McQA15</b:Tag>
    <b:SourceType>JournalArticle</b:SourceType>
    <b:Guid>{DB277718-5710-49D6-9B9C-4F0966A51E74}</b:Guid>
    <b:Title>Semi-empirical process-based models for ammonia emissions from beef, swine, and poultry operations in the United States.  Vol 120, </b:Title>
    <b:Year>2015</b:Year>
    <b:Author>
      <b:Author>
        <b:Corporate>McQuilling, A. M. &amp; Adams, P. J.</b:Corporate>
      </b:Author>
    </b:Author>
    <b:JournalName>Atmospheric Environmental</b:JournalName>
    <b:Pages>127–136</b:Pages>
    <b:RefOrder>126</b:RefOrder>
  </b:Source>
  <b:Source>
    <b:Tag>PinSD04</b:Tag>
    <b:SourceType>JournalArticle</b:SourceType>
    <b:Guid>{23C4B293-7A4D-4F93-81CE-C2D1922CB658}</b:Guid>
    <b:Author>
      <b:Author>
        <b:Corporate>Pinder, R., Strader, R., Davidson, C. &amp; Adams, P. </b:Corporate>
      </b:Author>
    </b:Author>
    <b:Title>A temporally and spatially resolved ammonia emission inventory for dairy cows in the United States. , </b:Title>
    <b:JournalName>Atmospheric Environmental, Vol 38, No. 23</b:JournalName>
    <b:Year>2004</b:Year>
    <b:Pages>3747–3756</b:Pages>
    <b:RefOrder>127</b:RefOrder>
  </b:Source>
  <b:Source>
    <b:Tag>PPDA04</b:Tag>
    <b:SourceType>JournalArticle</b:SourceType>
    <b:Guid>{96291154-496C-4DAA-B56F-22AB72E7D15A}</b:Guid>
    <b:Author>
      <b:Author>
        <b:Corporate>Pinder, R., Pekney, N., Davidson, C. &amp; Adams</b:Corporate>
      </b:Author>
    </b:Author>
    <b:Title>P. A process-based model of ammonia emissions from dairy cows: improved temporal and spatial resolution. </b:Title>
    <b:JournalName>Atmospheric Environmental, Vol 38. No. 9</b:JournalName>
    <b:Year>2004</b:Year>
    <b:Pages>1357–1365 </b:Pages>
    <b:RefOrder>128</b:RefOrder>
  </b:Source>
  <b:Source>
    <b:Tag>USE211</b:Tag>
    <b:SourceType>ElectronicSource</b:SourceType>
    <b:Guid>{9E3EE447-F1C5-4C83-A9E7-34F7848E6B8D}</b:Guid>
    <b:Title>Agriculture Field Burning, January 2021 Release of the 2017 NEI Technical Support Document</b:Title>
    <b:Year>2021</b:Year>
    <b:Month>January</b:Month>
    <b:Author>
      <b:Author>
        <b:Corporate>U.S. Environmental Protection Agency</b:Corporate>
      </b:Author>
    </b:Author>
    <b:RefOrder>129</b:RefOrder>
  </b:Source>
  <b:Source>
    <b:Tag>USEP17</b:Tag>
    <b:SourceType>ElectronicSource</b:SourceType>
    <b:Guid>{6C08E639-389A-4EF4-B9B4-662BB6468074}</b:Guid>
    <b:Title>Agriculture Livestock Waste, January 2021 Release of the 2017 NEI Technical Support Document</b:Title>
    <b:Year>2021</b:Year>
    <b:Author>
      <b:Author>
        <b:Corporate>U.S. Environmental Protection Agency</b:Corporate>
      </b:Author>
    </b:Author>
    <b:Month>January</b:Month>
    <b:RefOrder>130</b:RefOrder>
  </b:Source>
  <b:Source>
    <b:Tag>USE212</b:Tag>
    <b:SourceType>ElectronicSource</b:SourceType>
    <b:Guid>{E44EE5E9-1B20-4CC0-8539-E8C1E11500BB}</b:Guid>
    <b:Author>
      <b:Author>
        <b:Corporate>U.S. Environmental Protection Agency</b:Corporate>
      </b:Author>
    </b:Author>
    <b:Title>Agriculture Crops&amp; Livestock Dust, January 2021 Release of the 2017 NEI Technical Support Document</b:Title>
    <b:Year>2021</b:Year>
    <b:RefOrder>131</b:RefOrder>
  </b:Source>
  <b:Source>
    <b:Tag>USE213</b:Tag>
    <b:SourceType>ElectronicSource</b:SourceType>
    <b:Guid>{54576AE8-D3BB-4BE8-B0A2-BDB9C7C59BDC}</b:Guid>
    <b:Author>
      <b:Author>
        <b:Corporate>U.S. Environmental Protection Agency</b:Corporate>
      </b:Author>
    </b:Author>
    <b:Title>Agriculture Fertilizer Application, January 2021 Release of the 2017 NEI Technical Support Document</b:Title>
    <b:Year>2021</b:Year>
    <b:Month>January</b:Month>
    <b:RefOrder>132</b:RefOrder>
  </b:Source>
  <b:Source>
    <b:Tag>Uni21</b:Tag>
    <b:SourceType>ElectronicSource</b:SourceType>
    <b:Guid>{B238D943-1308-4ADB-BFC7-3ABE5EA57B4C}</b:Guid>
    <b:Author>
      <b:Author>
        <b:Corporate>U.S. Environmental Protection Agency</b:Corporate>
      </b:Author>
    </b:Author>
    <b:Title>Paved Road Dust, January 2021 Release of the 2017 NEI Technical Support Document</b:Title>
    <b:Year>2021</b:Year>
    <b:Month>April</b:Month>
    <b:RefOrder>133</b:RefOrder>
  </b:Source>
  <b:Source>
    <b:Tag>TSDP17</b:Tag>
    <b:SourceType>ElectronicSource</b:SourceType>
    <b:Guid>{29DDA907-1590-4A1A-9876-EBB26DCFC153}</b:Guid>
    <b:Author>
      <b:Author>
        <b:Corporate>U.S. Environmental Protection Agency</b:Corporate>
      </b:Author>
    </b:Author>
    <b:Title>Agriculture Pesticide, January 2021 Release of the 2017 NEI Technical Support Document</b:Title>
    <b:Year>2021</b:Year>
    <b:StateProvince>NC</b:StateProvince>
    <b:URL>https://www.epa.gov/sites/production/files/2018-07/documents/nei2014v2_tsd_05jul2018.pdf</b:URL>
    <b:Publisher>Research Triangle Park</b:Publisher>
    <b:Month>April</b:Month>
    <b:RefOrder>134</b:RefOrder>
  </b:Source>
  <b:Source>
    <b:Tag>USE214</b:Tag>
    <b:SourceType>ElectronicSource</b:SourceType>
    <b:Guid>{97FB875E-6589-408D-857C-7A8BC8FCF0FB}</b:Guid>
    <b:Author>
      <b:Author>
        <b:Corporate>U.S. Environmental Protection Agency</b:Corporate>
      </b:Author>
    </b:Author>
    <b:Title>Unpaved Dust, January 2021 Release of the 2017 NEI Technical Support Document</b:Title>
    <b:Year>2021</b:Year>
    <b:Month>January</b:Month>
    <b:RefOrder>135</b:RefOrder>
  </b:Source>
  <b:Source>
    <b:Tag>USE215</b:Tag>
    <b:SourceType>ElectronicSource</b:SourceType>
    <b:Guid>{FD6D37D8-B983-48DC-B0F3-A9FAE8C80FC2}</b:Guid>
    <b:Author>
      <b:Author>
        <b:Corporate>U.S. Environmental Protection Agency</b:Corporate>
      </b:Author>
    </b:Author>
    <b:Title>Residential Construction, January 2021 Release of the 2017 NEI Technical Support Document</b:Title>
    <b:Year>2021</b:Year>
    <b:Month>January</b:Month>
    <b:RefOrder>136</b:RefOrder>
  </b:Source>
  <b:Source>
    <b:Tag>USE216</b:Tag>
    <b:SourceType>ElectronicSource</b:SourceType>
    <b:Guid>{0644F388-F5AE-489E-82ED-19319F4AD988}</b:Guid>
    <b:Author>
      <b:Author>
        <b:Corporate>U.S. Environmental Protection Agency</b:Corporate>
      </b:Author>
    </b:Author>
    <b:Title>Non-residential Construction, January 2021 Release of the 2017 NEI Technical Support Document</b:Title>
    <b:Year>2021</b:Year>
    <b:Month>January</b:Month>
    <b:RefOrder>137</b:RefOrder>
  </b:Source>
  <b:Source>
    <b:Tag>USE217</b:Tag>
    <b:SourceType>ElectronicSource</b:SourceType>
    <b:Guid>{C8A1AEEE-F4AE-41BA-8861-44B792772A20}</b:Guid>
    <b:Author>
      <b:Author>
        <b:Corporate>U.S. Environmental Protection Agency</b:Corporate>
      </b:Author>
    </b:Author>
    <b:Title>Road Construction, January 2021 Release of the 2017 NEI Technical Support Document</b:Title>
    <b:Year>2021</b:Year>
    <b:Month>January</b:Month>
    <b:RefOrder>138</b:RefOrder>
  </b:Source>
</b:Sources>
</file>

<file path=customXml/itemProps1.xml><?xml version="1.0" encoding="utf-8"?>
<ds:datastoreItem xmlns:ds="http://schemas.openxmlformats.org/officeDocument/2006/customXml" ds:itemID="{B93BDFA4-E792-4565-B652-28E0A7343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30</Pages>
  <Words>11319</Words>
  <Characters>64520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Ambient Impact Analysis Guideline A Guideline for Performing Stationary Source Air Quality Modeling in Connecticut</vt:lpstr>
    </vt:vector>
  </TitlesOfParts>
  <Company>CT DEEP</Company>
  <LinksUpToDate>false</LinksUpToDate>
  <CharactersWithSpaces>75688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Ambient Impact Analysis Guideline A Guideline for Performing Stationary Source Air Quality Modeling in Connecticut</dc:title>
  <dc:subject>September 2023</dc:subject>
  <dc:creator>Potter, Steven</dc:creator>
  <cp:keywords/>
  <dc:description/>
  <cp:lastModifiedBy>McLean, Rebecca</cp:lastModifiedBy>
  <cp:revision>20</cp:revision>
  <dcterms:created xsi:type="dcterms:W3CDTF">2023-09-27T16:27:00Z</dcterms:created>
  <dcterms:modified xsi:type="dcterms:W3CDTF">2023-10-03T16:50:00Z</dcterms:modified>
</cp:coreProperties>
</file>