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BD91680" w14:textId="77777777" w:rsidR="00F64278" w:rsidRDefault="00F64278" w:rsidP="00716FCB">
      <w:r w:rsidRPr="00AC7E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328B" wp14:editId="712AC347">
                <wp:simplePos x="0" y="0"/>
                <wp:positionH relativeFrom="margin">
                  <wp:posOffset>-161043</wp:posOffset>
                </wp:positionH>
                <wp:positionV relativeFrom="paragraph">
                  <wp:posOffset>775970</wp:posOffset>
                </wp:positionV>
                <wp:extent cx="1581374" cy="430887"/>
                <wp:effectExtent l="0" t="0" r="0" b="0"/>
                <wp:wrapNone/>
                <wp:docPr id="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374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35E31" w14:textId="77777777" w:rsidR="00533203" w:rsidRPr="00AC7EC7" w:rsidRDefault="00533203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A07328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12.7pt;margin-top:61.1pt;width:124.5pt;height:33.9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" filled="f" stroked="f">
                <v:textbox style="mso-fit-shape-to-text:t">
                  <w:txbxContent>
                    <w:p w14:paraId="65235E31" w14:textId="77777777" w:rsidR="00533203" w:rsidRPr="00AC7EC7" w:rsidRDefault="00533203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927142" wp14:editId="5D0FAB32">
            <wp:extent cx="5486400" cy="854075"/>
            <wp:effectExtent l="0" t="0" r="0" b="3175"/>
            <wp:docPr id="1" name="Picture 1" descr="Macintosh HD:Users:Stephanie:Desktop:Letterhead-Logo-Lo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phanie:Desktop:Letterhead-Logo-Locku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C0DC0" w14:textId="77777777" w:rsidR="000E0291" w:rsidRPr="006B03DC" w:rsidRDefault="000E0291" w:rsidP="000E0291">
      <w:pPr>
        <w:pStyle w:val="Title"/>
      </w:pPr>
      <w:r w:rsidRPr="006B03DC">
        <w:t>AFFIRMATIVE ACTION PLAN</w:t>
      </w:r>
    </w:p>
    <w:p w14:paraId="45A83DFD" w14:textId="77777777" w:rsidR="000E0291" w:rsidRPr="006B03DC" w:rsidRDefault="000E0291" w:rsidP="000E0291">
      <w:pPr>
        <w:jc w:val="center"/>
        <w:rPr>
          <w:b/>
          <w:bCs/>
        </w:rPr>
      </w:pPr>
      <w:r w:rsidRPr="006B03DC">
        <w:rPr>
          <w:b/>
          <w:bCs/>
        </w:rPr>
        <w:t>SUMMARY OF OBJECTIVES</w:t>
      </w:r>
    </w:p>
    <w:p w14:paraId="625EF870" w14:textId="77777777" w:rsidR="000E0291" w:rsidRPr="00C70828" w:rsidRDefault="000E0291" w:rsidP="000E0291">
      <w:pPr>
        <w:jc w:val="center"/>
        <w:rPr>
          <w:b/>
          <w:bCs/>
          <w:sz w:val="22"/>
          <w:szCs w:val="22"/>
        </w:rPr>
      </w:pPr>
    </w:p>
    <w:p w14:paraId="706DBF3F" w14:textId="77777777" w:rsidR="000E0291" w:rsidRPr="00C70828" w:rsidRDefault="000E0291" w:rsidP="000E0291">
      <w:pPr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September  2018</w:t>
      </w:r>
      <w:proofErr w:type="gramEnd"/>
    </w:p>
    <w:p w14:paraId="3D4EB691" w14:textId="77777777" w:rsidR="000E0291" w:rsidRPr="00C70828" w:rsidRDefault="000E0291" w:rsidP="000E0291">
      <w:pPr>
        <w:jc w:val="both"/>
        <w:rPr>
          <w:sz w:val="22"/>
          <w:szCs w:val="22"/>
        </w:rPr>
      </w:pPr>
    </w:p>
    <w:p w14:paraId="0FBEBB0F" w14:textId="77777777" w:rsidR="000E0291" w:rsidRPr="00C70828" w:rsidRDefault="000E0291" w:rsidP="000E0291">
      <w:pPr>
        <w:jc w:val="both"/>
        <w:rPr>
          <w:sz w:val="22"/>
          <w:szCs w:val="22"/>
        </w:rPr>
      </w:pPr>
      <w:r w:rsidRPr="00C70828">
        <w:rPr>
          <w:sz w:val="22"/>
          <w:szCs w:val="22"/>
        </w:rPr>
        <w:t xml:space="preserve">The </w:t>
      </w:r>
      <w:r>
        <w:rPr>
          <w:bCs/>
          <w:sz w:val="22"/>
          <w:szCs w:val="22"/>
        </w:rPr>
        <w:t xml:space="preserve">Department of Economic and Community Development </w:t>
      </w:r>
      <w:r w:rsidRPr="00C70828">
        <w:rPr>
          <w:sz w:val="22"/>
          <w:szCs w:val="22"/>
        </w:rPr>
        <w:t>has completed its biennial Affirmative Action Plan for the repo</w:t>
      </w:r>
      <w:r>
        <w:rPr>
          <w:sz w:val="22"/>
          <w:szCs w:val="22"/>
        </w:rPr>
        <w:t>rting period of March 1, 2016 through February 28, 2018</w:t>
      </w:r>
      <w:r w:rsidRPr="00C70828">
        <w:rPr>
          <w:sz w:val="22"/>
          <w:szCs w:val="22"/>
        </w:rPr>
        <w:t>.  The Plan continues to be utilized as a tool to assist in the effort and realization of Equal Employment Op</w:t>
      </w:r>
      <w:r>
        <w:rPr>
          <w:sz w:val="22"/>
          <w:szCs w:val="22"/>
        </w:rPr>
        <w:t xml:space="preserve">portunities for all </w:t>
      </w:r>
      <w:r w:rsidRPr="00C70828">
        <w:rPr>
          <w:sz w:val="22"/>
          <w:szCs w:val="22"/>
        </w:rPr>
        <w:t xml:space="preserve"> </w:t>
      </w:r>
      <w:r w:rsidRPr="009A7837">
        <w:rPr>
          <w:bCs/>
        </w:rPr>
        <w:t>individuals without consideration of the following: race; color; religious creed; age; sex; pregnancy; sexual orientation; workplace hazards to reproductive systems, gender identity or expression; marital status; national origin; ancestry; intellectual disability; genetic information; learning disability; physical disability (including, but not limited to, blindness); mental disability (past/present history thereof); military or veteran status; or criminal record in state employment, unless the provisions of §46a-80(b) or 46a-81(b) of the Connecticut General Statutes are controlling; unless there is a bona fide occupational qualification excluding persons in one of the above protected groups</w:t>
      </w:r>
      <w:r w:rsidRPr="00C70828">
        <w:rPr>
          <w:bCs/>
          <w:sz w:val="22"/>
          <w:szCs w:val="22"/>
        </w:rPr>
        <w:t xml:space="preserve">.  </w:t>
      </w:r>
    </w:p>
    <w:p w14:paraId="231AF4E2" w14:textId="77777777" w:rsidR="000E0291" w:rsidRPr="00C70828" w:rsidRDefault="000E0291" w:rsidP="000E0291">
      <w:pPr>
        <w:rPr>
          <w:sz w:val="22"/>
          <w:szCs w:val="22"/>
        </w:rPr>
      </w:pPr>
    </w:p>
    <w:p w14:paraId="5C31520C" w14:textId="77777777" w:rsidR="000E0291" w:rsidRPr="00C70828" w:rsidRDefault="000E0291" w:rsidP="000E0291">
      <w:pPr>
        <w:jc w:val="both"/>
        <w:rPr>
          <w:sz w:val="22"/>
          <w:szCs w:val="22"/>
        </w:rPr>
      </w:pPr>
      <w:r w:rsidRPr="00C70828">
        <w:rPr>
          <w:sz w:val="22"/>
          <w:szCs w:val="22"/>
        </w:rPr>
        <w:t xml:space="preserve">Included in the plan are an analysis of the </w:t>
      </w:r>
      <w:r>
        <w:rPr>
          <w:sz w:val="22"/>
          <w:szCs w:val="22"/>
        </w:rPr>
        <w:t>DECD</w:t>
      </w:r>
      <w:r w:rsidRPr="00C70828">
        <w:rPr>
          <w:sz w:val="22"/>
          <w:szCs w:val="22"/>
        </w:rPr>
        <w:t xml:space="preserve"> workforce by race and sex within each occupational category and a comparison of the workforce to the availability of these individuals in the relevant labor market area.  Where a disparity exists, numerical goals and timetables have been established to assist in achieving parity.  The Plan further reviews the Department’s previous year’s Plan with regard to progress to goals.</w:t>
      </w:r>
    </w:p>
    <w:p w14:paraId="6B258F4B" w14:textId="77777777" w:rsidR="000E0291" w:rsidRPr="00C70828" w:rsidRDefault="000E0291" w:rsidP="000E0291">
      <w:pPr>
        <w:rPr>
          <w:sz w:val="22"/>
          <w:szCs w:val="22"/>
        </w:rPr>
      </w:pPr>
    </w:p>
    <w:p w14:paraId="1AF71088" w14:textId="77777777" w:rsidR="000E0291" w:rsidRPr="00C70828" w:rsidRDefault="000E0291" w:rsidP="000E0291">
      <w:pPr>
        <w:jc w:val="both"/>
        <w:rPr>
          <w:sz w:val="22"/>
          <w:szCs w:val="22"/>
        </w:rPr>
      </w:pPr>
      <w:r w:rsidRPr="00C70828">
        <w:rPr>
          <w:sz w:val="22"/>
          <w:szCs w:val="22"/>
        </w:rPr>
        <w:t xml:space="preserve">The </w:t>
      </w:r>
      <w:r>
        <w:rPr>
          <w:bCs/>
          <w:sz w:val="22"/>
          <w:szCs w:val="22"/>
        </w:rPr>
        <w:t xml:space="preserve">Department of Economic and Community Development </w:t>
      </w:r>
      <w:r w:rsidRPr="00C70828">
        <w:rPr>
          <w:sz w:val="22"/>
          <w:szCs w:val="22"/>
        </w:rPr>
        <w:t>continues to review its employment processes on an ongoing basis to assure all processes and procedures are administered in accordance with equal employment opportunity and affirmative action guidelines.</w:t>
      </w:r>
    </w:p>
    <w:p w14:paraId="1341F49F" w14:textId="77777777" w:rsidR="000E0291" w:rsidRPr="00C70828" w:rsidRDefault="000E0291" w:rsidP="000E0291">
      <w:pPr>
        <w:rPr>
          <w:sz w:val="22"/>
          <w:szCs w:val="22"/>
        </w:rPr>
      </w:pPr>
    </w:p>
    <w:p w14:paraId="6452289D" w14:textId="77777777" w:rsidR="000E0291" w:rsidRPr="00C70828" w:rsidRDefault="000E0291" w:rsidP="000E0291">
      <w:pPr>
        <w:jc w:val="both"/>
        <w:rPr>
          <w:bCs/>
          <w:sz w:val="22"/>
          <w:szCs w:val="22"/>
        </w:rPr>
      </w:pPr>
      <w:r w:rsidRPr="00C70828">
        <w:rPr>
          <w:sz w:val="22"/>
          <w:szCs w:val="22"/>
        </w:rPr>
        <w:lastRenderedPageBreak/>
        <w:t>All employees are invited to review the Plan and submit comments about the Plan to our Equal Employment Opportunity</w:t>
      </w:r>
      <w:r>
        <w:rPr>
          <w:sz w:val="22"/>
          <w:szCs w:val="22"/>
        </w:rPr>
        <w:t xml:space="preserve"> Specialist 2</w:t>
      </w:r>
      <w:r w:rsidRPr="00C70828">
        <w:rPr>
          <w:sz w:val="22"/>
          <w:szCs w:val="22"/>
        </w:rPr>
        <w:t>,</w:t>
      </w:r>
      <w:r>
        <w:rPr>
          <w:sz w:val="22"/>
          <w:szCs w:val="22"/>
        </w:rPr>
        <w:t xml:space="preserve"> Jennifer Taplin</w:t>
      </w:r>
      <w:r w:rsidRPr="00C70828">
        <w:rPr>
          <w:sz w:val="22"/>
          <w:szCs w:val="22"/>
        </w:rPr>
        <w:t xml:space="preserve">.  </w:t>
      </w:r>
      <w:r w:rsidRPr="00C70828">
        <w:rPr>
          <w:bCs/>
          <w:sz w:val="22"/>
          <w:szCs w:val="22"/>
        </w:rPr>
        <w:t xml:space="preserve">She can be reached at the Department of Administrative Services, Equal Employment Opportunity Unit, 450 Columbus Boulevard, Suite 1501, Hartford, CT  06103, or at </w:t>
      </w:r>
      <w:hyperlink r:id="rId8" w:history="1">
        <w:r w:rsidRPr="005C4F51">
          <w:rPr>
            <w:rStyle w:val="Hyperlink"/>
            <w:bCs/>
            <w:sz w:val="22"/>
            <w:szCs w:val="22"/>
          </w:rPr>
          <w:t>jennifer.taplin@ct.gov</w:t>
        </w:r>
      </w:hyperlink>
      <w:r w:rsidRPr="00C70828">
        <w:rPr>
          <w:bCs/>
          <w:sz w:val="22"/>
          <w:szCs w:val="22"/>
        </w:rPr>
        <w:t>.  Her phone number</w:t>
      </w:r>
      <w:r>
        <w:rPr>
          <w:bCs/>
          <w:sz w:val="22"/>
          <w:szCs w:val="22"/>
        </w:rPr>
        <w:t xml:space="preserve"> at the agency is (860) 713-5309</w:t>
      </w:r>
      <w:r w:rsidRPr="00C70828">
        <w:rPr>
          <w:bCs/>
          <w:sz w:val="22"/>
          <w:szCs w:val="22"/>
        </w:rPr>
        <w:t>.</w:t>
      </w:r>
    </w:p>
    <w:p w14:paraId="3EECF95C" w14:textId="77777777" w:rsidR="000E0291" w:rsidRPr="00C70828" w:rsidRDefault="000E0291" w:rsidP="000E0291">
      <w:pPr>
        <w:jc w:val="both"/>
        <w:rPr>
          <w:bCs/>
          <w:sz w:val="22"/>
          <w:szCs w:val="22"/>
        </w:rPr>
      </w:pPr>
    </w:p>
    <w:p w14:paraId="24270E99" w14:textId="77777777" w:rsidR="000E0291" w:rsidRPr="00C70828" w:rsidRDefault="000E0291" w:rsidP="000E0291">
      <w:pPr>
        <w:jc w:val="both"/>
        <w:rPr>
          <w:color w:val="FF0000"/>
          <w:sz w:val="22"/>
          <w:szCs w:val="22"/>
        </w:rPr>
      </w:pPr>
      <w:r w:rsidRPr="00C70828">
        <w:rPr>
          <w:sz w:val="22"/>
          <w:szCs w:val="22"/>
        </w:rPr>
        <w:t xml:space="preserve">A copy of the Affirmative Action Plan Policy Statement as well as other relevant policy statements that are contained in the Plan will be forwarded to all </w:t>
      </w:r>
      <w:r>
        <w:rPr>
          <w:sz w:val="22"/>
          <w:szCs w:val="22"/>
        </w:rPr>
        <w:t>DECD</w:t>
      </w:r>
      <w:r w:rsidRPr="00C70828">
        <w:rPr>
          <w:sz w:val="22"/>
          <w:szCs w:val="22"/>
        </w:rPr>
        <w:t xml:space="preserve"> employees and will be posted on the Department’s Website.</w:t>
      </w:r>
      <w:r w:rsidRPr="00C70828">
        <w:rPr>
          <w:bCs/>
          <w:sz w:val="22"/>
          <w:szCs w:val="22"/>
        </w:rPr>
        <w:t xml:space="preserve"> </w:t>
      </w:r>
      <w:r w:rsidRPr="00C70828">
        <w:rPr>
          <w:sz w:val="22"/>
          <w:szCs w:val="22"/>
        </w:rPr>
        <w:t xml:space="preserve">The </w:t>
      </w:r>
      <w:r>
        <w:rPr>
          <w:bCs/>
          <w:sz w:val="22"/>
          <w:szCs w:val="22"/>
        </w:rPr>
        <w:t xml:space="preserve">Department of Economic and Community Development </w:t>
      </w:r>
      <w:r w:rsidRPr="00C70828">
        <w:rPr>
          <w:sz w:val="22"/>
          <w:szCs w:val="22"/>
        </w:rPr>
        <w:t xml:space="preserve">will make every good faith effort to achieve the objectives, goals and timetables as set forth in the Affirmative Action Plan and will hold all </w:t>
      </w:r>
      <w:r>
        <w:rPr>
          <w:sz w:val="22"/>
          <w:szCs w:val="22"/>
        </w:rPr>
        <w:t>DECD</w:t>
      </w:r>
      <w:r w:rsidRPr="00C70828">
        <w:rPr>
          <w:sz w:val="22"/>
          <w:szCs w:val="22"/>
        </w:rPr>
        <w:t xml:space="preserve"> employees accountable for their responsibilities in helping achieve its objectives.</w:t>
      </w:r>
    </w:p>
    <w:p w14:paraId="5B44EB7C" w14:textId="10C6CB3D" w:rsidR="00F70659" w:rsidRDefault="00F70659" w:rsidP="00F70659"/>
    <w:sectPr w:rsidR="00F70659" w:rsidSect="00533203">
      <w:headerReference w:type="default" r:id="rId9"/>
      <w:footerReference w:type="default" r:id="rId10"/>
      <w:pgSz w:w="12240" w:h="15840" w:code="1"/>
      <w:pgMar w:top="432" w:right="1440" w:bottom="288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65FCA" w14:textId="77777777" w:rsidR="00EB77AA" w:rsidRDefault="00EB77AA" w:rsidP="00953A41">
      <w:r>
        <w:separator/>
      </w:r>
    </w:p>
  </w:endnote>
  <w:endnote w:type="continuationSeparator" w:id="0">
    <w:p w14:paraId="438A1A72" w14:textId="77777777" w:rsidR="00EB77AA" w:rsidRDefault="00EB77AA" w:rsidP="009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useo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useo 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18548" w14:textId="77777777" w:rsidR="003A414D" w:rsidRDefault="005E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1CB55F" wp14:editId="0166F075">
              <wp:simplePos x="0" y="0"/>
              <wp:positionH relativeFrom="column">
                <wp:posOffset>-1091565</wp:posOffset>
              </wp:positionH>
              <wp:positionV relativeFrom="paragraph">
                <wp:posOffset>-96520</wp:posOffset>
              </wp:positionV>
              <wp:extent cx="7658100" cy="8001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99668" w14:textId="77777777" w:rsidR="003A414D" w:rsidRDefault="003A414D" w:rsidP="00953A41">
                          <w:pPr>
                            <w:spacing w:before="60" w:after="60"/>
                            <w:jc w:val="center"/>
                            <w:rPr>
                              <w:rStyle w:val="A3"/>
                              <w:rFonts w:ascii="Museo 500" w:hAnsi="Museo 500"/>
                              <w:color w:val="4C4C4C"/>
                            </w:rPr>
                          </w:pPr>
                        </w:p>
                        <w:p w14:paraId="1C0BF0FF" w14:textId="54303698" w:rsidR="003A414D" w:rsidRPr="00321E98" w:rsidRDefault="00533203" w:rsidP="00953A41">
                          <w:pPr>
                            <w:spacing w:before="60" w:after="60"/>
                            <w:jc w:val="center"/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</w:pP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450 Columbus Boulevard, Suite 5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Hartford, CT 06103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Phone:  860-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500-2</w:t>
                          </w:r>
                          <w:r w:rsidR="00D55CD5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441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</w:t>
                          </w:r>
                        </w:p>
                        <w:p w14:paraId="1129189E" w14:textId="77777777" w:rsidR="003A414D" w:rsidRPr="00321E98" w:rsidRDefault="003A414D" w:rsidP="00953A41">
                          <w:pPr>
                            <w:jc w:val="center"/>
                            <w:rPr>
                              <w:color w:val="4C4C4C"/>
                            </w:rPr>
                          </w:pPr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An Affirmative Action/Equal Opportunity Employer </w:t>
                          </w:r>
                          <w:proofErr w:type="gramStart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>An</w:t>
                          </w:r>
                          <w:proofErr w:type="gramEnd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 Equal Opportunity Lender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D1CB5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85.95pt;margin-top:-7.6pt;width:60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" filled="f" stroked="f">
              <v:path arrowok="t"/>
              <v:textbox>
                <w:txbxContent>
                  <w:p w14:paraId="62F99668" w14:textId="77777777" w:rsidR="003A414D" w:rsidRDefault="003A414D" w:rsidP="00953A41">
                    <w:pPr>
                      <w:spacing w:before="60" w:after="60"/>
                      <w:jc w:val="center"/>
                      <w:rPr>
                        <w:rStyle w:val="A3"/>
                        <w:rFonts w:ascii="Museo 500" w:hAnsi="Museo 500"/>
                        <w:color w:val="4C4C4C"/>
                      </w:rPr>
                    </w:pPr>
                  </w:p>
                  <w:p w14:paraId="1C0BF0FF" w14:textId="54303698" w:rsidR="003A414D" w:rsidRPr="00321E98" w:rsidRDefault="00533203" w:rsidP="00953A41">
                    <w:pPr>
                      <w:spacing w:before="60" w:after="60"/>
                      <w:jc w:val="center"/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</w:pP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450 Columbus Boulevard, Suite 5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Hartford, CT 06103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Phone:  860-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500-2</w:t>
                    </w:r>
                    <w:r w:rsidR="00D55CD5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441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</w:t>
                    </w:r>
                  </w:p>
                  <w:p w14:paraId="1129189E" w14:textId="77777777" w:rsidR="003A414D" w:rsidRPr="00321E98" w:rsidRDefault="003A414D" w:rsidP="00953A41">
                    <w:pPr>
                      <w:jc w:val="center"/>
                      <w:rPr>
                        <w:color w:val="4C4C4C"/>
                      </w:rPr>
                    </w:pPr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An Affirmative Action/Equal Opportunity Employer </w:t>
                    </w:r>
                    <w:proofErr w:type="gramStart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>An</w:t>
                    </w:r>
                    <w:proofErr w:type="gramEnd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 Equal Opportunity Lender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02718" w14:textId="77777777" w:rsidR="00EB77AA" w:rsidRDefault="00EB77AA" w:rsidP="00953A41">
      <w:r>
        <w:separator/>
      </w:r>
    </w:p>
  </w:footnote>
  <w:footnote w:type="continuationSeparator" w:id="0">
    <w:p w14:paraId="2EA66AF4" w14:textId="77777777" w:rsidR="00EB77AA" w:rsidRDefault="00EB77AA" w:rsidP="00953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41701" w14:textId="77777777" w:rsidR="003A414D" w:rsidRDefault="003A414D" w:rsidP="00612B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45885"/>
    <w:multiLevelType w:val="hybridMultilevel"/>
    <w:tmpl w:val="6BF8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9584B"/>
    <w:multiLevelType w:val="hybridMultilevel"/>
    <w:tmpl w:val="3E72E5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563A4"/>
    <w:multiLevelType w:val="hybridMultilevel"/>
    <w:tmpl w:val="C36C7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474259"/>
    <w:multiLevelType w:val="hybridMultilevel"/>
    <w:tmpl w:val="CF4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23ABF"/>
    <w:multiLevelType w:val="hybridMultilevel"/>
    <w:tmpl w:val="E022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E1A6A"/>
    <w:multiLevelType w:val="hybridMultilevel"/>
    <w:tmpl w:val="03042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9A204F"/>
    <w:multiLevelType w:val="hybridMultilevel"/>
    <w:tmpl w:val="F83A9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0F7F"/>
    <w:multiLevelType w:val="hybridMultilevel"/>
    <w:tmpl w:val="7D1E7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682039"/>
    <w:multiLevelType w:val="hybridMultilevel"/>
    <w:tmpl w:val="BAA6E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155089"/>
    <w:multiLevelType w:val="hybridMultilevel"/>
    <w:tmpl w:val="7602A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41"/>
    <w:rsid w:val="00014618"/>
    <w:rsid w:val="000255CA"/>
    <w:rsid w:val="00027665"/>
    <w:rsid w:val="00051677"/>
    <w:rsid w:val="0007587D"/>
    <w:rsid w:val="00077045"/>
    <w:rsid w:val="000D4DAC"/>
    <w:rsid w:val="000E0291"/>
    <w:rsid w:val="000F6972"/>
    <w:rsid w:val="00100DD4"/>
    <w:rsid w:val="00134DA3"/>
    <w:rsid w:val="00134E1C"/>
    <w:rsid w:val="00163209"/>
    <w:rsid w:val="00175F36"/>
    <w:rsid w:val="00184520"/>
    <w:rsid w:val="00187CCB"/>
    <w:rsid w:val="0019164F"/>
    <w:rsid w:val="00192936"/>
    <w:rsid w:val="001A10F5"/>
    <w:rsid w:val="001A2616"/>
    <w:rsid w:val="001D1157"/>
    <w:rsid w:val="001E12C8"/>
    <w:rsid w:val="001E3F41"/>
    <w:rsid w:val="001E524C"/>
    <w:rsid w:val="001F2D44"/>
    <w:rsid w:val="001F7389"/>
    <w:rsid w:val="00213608"/>
    <w:rsid w:val="00217304"/>
    <w:rsid w:val="0025464C"/>
    <w:rsid w:val="00254ED1"/>
    <w:rsid w:val="0027252F"/>
    <w:rsid w:val="0028544C"/>
    <w:rsid w:val="00286E22"/>
    <w:rsid w:val="002A67F0"/>
    <w:rsid w:val="002C3EDB"/>
    <w:rsid w:val="002C5454"/>
    <w:rsid w:val="002D0459"/>
    <w:rsid w:val="002F5EC4"/>
    <w:rsid w:val="00303C49"/>
    <w:rsid w:val="0031373E"/>
    <w:rsid w:val="0031453C"/>
    <w:rsid w:val="00314B02"/>
    <w:rsid w:val="00332BC4"/>
    <w:rsid w:val="00334897"/>
    <w:rsid w:val="00375543"/>
    <w:rsid w:val="00390293"/>
    <w:rsid w:val="00392E9D"/>
    <w:rsid w:val="003A3915"/>
    <w:rsid w:val="003A414D"/>
    <w:rsid w:val="003C09AF"/>
    <w:rsid w:val="003C2CD1"/>
    <w:rsid w:val="003C7935"/>
    <w:rsid w:val="003E6DF7"/>
    <w:rsid w:val="003F6B2D"/>
    <w:rsid w:val="004074B3"/>
    <w:rsid w:val="00410FC6"/>
    <w:rsid w:val="00413D18"/>
    <w:rsid w:val="004360F0"/>
    <w:rsid w:val="004405E2"/>
    <w:rsid w:val="00452C83"/>
    <w:rsid w:val="00463E97"/>
    <w:rsid w:val="00466A60"/>
    <w:rsid w:val="00477455"/>
    <w:rsid w:val="00496F70"/>
    <w:rsid w:val="004A3E26"/>
    <w:rsid w:val="004A5CC6"/>
    <w:rsid w:val="004B11A7"/>
    <w:rsid w:val="004D5E09"/>
    <w:rsid w:val="004E0AB4"/>
    <w:rsid w:val="004E3D17"/>
    <w:rsid w:val="004E4B1A"/>
    <w:rsid w:val="0050709C"/>
    <w:rsid w:val="005128AF"/>
    <w:rsid w:val="00533203"/>
    <w:rsid w:val="00543AD8"/>
    <w:rsid w:val="00564ACF"/>
    <w:rsid w:val="005756D0"/>
    <w:rsid w:val="00576747"/>
    <w:rsid w:val="005831C8"/>
    <w:rsid w:val="00587CA9"/>
    <w:rsid w:val="00590D2C"/>
    <w:rsid w:val="00592335"/>
    <w:rsid w:val="00594015"/>
    <w:rsid w:val="005B1C76"/>
    <w:rsid w:val="005C6655"/>
    <w:rsid w:val="005E3E3B"/>
    <w:rsid w:val="006050FE"/>
    <w:rsid w:val="006104B9"/>
    <w:rsid w:val="00611814"/>
    <w:rsid w:val="00612B3E"/>
    <w:rsid w:val="0062584A"/>
    <w:rsid w:val="00631977"/>
    <w:rsid w:val="00632891"/>
    <w:rsid w:val="0064288F"/>
    <w:rsid w:val="0066373E"/>
    <w:rsid w:val="00686010"/>
    <w:rsid w:val="0068631E"/>
    <w:rsid w:val="00697F11"/>
    <w:rsid w:val="006A6DA3"/>
    <w:rsid w:val="006B4102"/>
    <w:rsid w:val="006D61C3"/>
    <w:rsid w:val="00716FCB"/>
    <w:rsid w:val="00720CF5"/>
    <w:rsid w:val="00726F80"/>
    <w:rsid w:val="00746231"/>
    <w:rsid w:val="00767EB2"/>
    <w:rsid w:val="0077150B"/>
    <w:rsid w:val="00775DD0"/>
    <w:rsid w:val="00786188"/>
    <w:rsid w:val="007948C8"/>
    <w:rsid w:val="007A3818"/>
    <w:rsid w:val="007A3BFC"/>
    <w:rsid w:val="007C2609"/>
    <w:rsid w:val="007D79C9"/>
    <w:rsid w:val="007F3480"/>
    <w:rsid w:val="008106D9"/>
    <w:rsid w:val="00863FD5"/>
    <w:rsid w:val="00864E6A"/>
    <w:rsid w:val="00875C63"/>
    <w:rsid w:val="008812D6"/>
    <w:rsid w:val="00886901"/>
    <w:rsid w:val="008A772B"/>
    <w:rsid w:val="008C5422"/>
    <w:rsid w:val="008E5756"/>
    <w:rsid w:val="008F13EA"/>
    <w:rsid w:val="008F1AC1"/>
    <w:rsid w:val="00922439"/>
    <w:rsid w:val="00923576"/>
    <w:rsid w:val="009267E5"/>
    <w:rsid w:val="009323AD"/>
    <w:rsid w:val="00953A41"/>
    <w:rsid w:val="00955C2B"/>
    <w:rsid w:val="00973265"/>
    <w:rsid w:val="009C3399"/>
    <w:rsid w:val="009C731B"/>
    <w:rsid w:val="009E38E3"/>
    <w:rsid w:val="009E3D1B"/>
    <w:rsid w:val="009F5DB9"/>
    <w:rsid w:val="00A237F5"/>
    <w:rsid w:val="00A31525"/>
    <w:rsid w:val="00A42750"/>
    <w:rsid w:val="00A439BE"/>
    <w:rsid w:val="00AA770E"/>
    <w:rsid w:val="00AA7E58"/>
    <w:rsid w:val="00B014FD"/>
    <w:rsid w:val="00B019EB"/>
    <w:rsid w:val="00B0228C"/>
    <w:rsid w:val="00B1505F"/>
    <w:rsid w:val="00B24FB9"/>
    <w:rsid w:val="00B3049A"/>
    <w:rsid w:val="00B34168"/>
    <w:rsid w:val="00B63762"/>
    <w:rsid w:val="00B72FF2"/>
    <w:rsid w:val="00B91288"/>
    <w:rsid w:val="00BC2F85"/>
    <w:rsid w:val="00C2197E"/>
    <w:rsid w:val="00C23CFF"/>
    <w:rsid w:val="00C451B0"/>
    <w:rsid w:val="00C51459"/>
    <w:rsid w:val="00C71C6E"/>
    <w:rsid w:val="00C80B41"/>
    <w:rsid w:val="00C85359"/>
    <w:rsid w:val="00C94734"/>
    <w:rsid w:val="00CA1F65"/>
    <w:rsid w:val="00CD40B1"/>
    <w:rsid w:val="00D22B90"/>
    <w:rsid w:val="00D31C33"/>
    <w:rsid w:val="00D3571A"/>
    <w:rsid w:val="00D52C33"/>
    <w:rsid w:val="00D55CD5"/>
    <w:rsid w:val="00D66579"/>
    <w:rsid w:val="00D74BA2"/>
    <w:rsid w:val="00D97741"/>
    <w:rsid w:val="00DC385D"/>
    <w:rsid w:val="00DC4BCA"/>
    <w:rsid w:val="00DC5A78"/>
    <w:rsid w:val="00DD0F6D"/>
    <w:rsid w:val="00E0206E"/>
    <w:rsid w:val="00E2035A"/>
    <w:rsid w:val="00E4473D"/>
    <w:rsid w:val="00E469D2"/>
    <w:rsid w:val="00E5716D"/>
    <w:rsid w:val="00E65737"/>
    <w:rsid w:val="00E70BA3"/>
    <w:rsid w:val="00E75A09"/>
    <w:rsid w:val="00E80485"/>
    <w:rsid w:val="00E8055C"/>
    <w:rsid w:val="00EB39AB"/>
    <w:rsid w:val="00EB4902"/>
    <w:rsid w:val="00EB77AA"/>
    <w:rsid w:val="00EF76D1"/>
    <w:rsid w:val="00F0051F"/>
    <w:rsid w:val="00F07D78"/>
    <w:rsid w:val="00F153F1"/>
    <w:rsid w:val="00F25114"/>
    <w:rsid w:val="00F27DB1"/>
    <w:rsid w:val="00F35F0E"/>
    <w:rsid w:val="00F36AD5"/>
    <w:rsid w:val="00F64278"/>
    <w:rsid w:val="00F70659"/>
    <w:rsid w:val="00F85354"/>
    <w:rsid w:val="00F86646"/>
    <w:rsid w:val="00FA3852"/>
    <w:rsid w:val="00FB2524"/>
    <w:rsid w:val="00FC68B8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618D4088"/>
  <w15:docId w15:val="{451034D3-724C-4C7C-9F9E-9F78FEB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41"/>
    <w:rPr>
      <w:rFonts w:ascii="Lucida Grande" w:hAnsi="Lucida Grande" w:cs="Lucida Grande"/>
      <w:sz w:val="18"/>
      <w:szCs w:val="18"/>
      <w:lang w:eastAsia="en-US"/>
    </w:rPr>
  </w:style>
  <w:style w:type="character" w:customStyle="1" w:styleId="A3">
    <w:name w:val="A3"/>
    <w:uiPriority w:val="99"/>
    <w:rsid w:val="00953A41"/>
    <w:rPr>
      <w:rFonts w:cs="Museo 500"/>
      <w:color w:val="6C6E70"/>
      <w:sz w:val="22"/>
      <w:szCs w:val="22"/>
    </w:rPr>
  </w:style>
  <w:style w:type="paragraph" w:customStyle="1" w:styleId="Default">
    <w:name w:val="Default"/>
    <w:rsid w:val="0050709C"/>
    <w:pPr>
      <w:autoSpaceDE w:val="0"/>
      <w:autoSpaceDN w:val="0"/>
      <w:adjustRightInd w:val="0"/>
    </w:pPr>
    <w:rPr>
      <w:rFonts w:ascii="Adobe Garamond Pro Bold" w:eastAsia="Calibri" w:hAnsi="Adobe Garamond Pro Bold" w:cs="Adobe Garamond Pro Bol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D5E09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D5E09"/>
    <w:rPr>
      <w:rFonts w:eastAsia="Times New Roman"/>
      <w:b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34DA3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nhideWhenUsed/>
    <w:rsid w:val="00F64278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31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525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525"/>
    <w:rPr>
      <w:rFonts w:ascii="Calibri" w:hAnsi="Calibri"/>
    </w:rPr>
  </w:style>
  <w:style w:type="character" w:styleId="Hyperlink">
    <w:name w:val="Hyperlink"/>
    <w:unhideWhenUsed/>
    <w:rsid w:val="00F7065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70659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70659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Strong">
    <w:name w:val="Strong"/>
    <w:basedOn w:val="DefaultParagraphFont"/>
    <w:uiPriority w:val="22"/>
    <w:qFormat/>
    <w:rsid w:val="00F70659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7065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0659"/>
    <w:rPr>
      <w:rFonts w:ascii="Calibri" w:eastAsiaTheme="minorHAnsi" w:hAnsi="Calibri" w:cs="Consolas"/>
      <w:sz w:val="22"/>
      <w:szCs w:val="21"/>
    </w:rPr>
  </w:style>
  <w:style w:type="paragraph" w:styleId="Title">
    <w:name w:val="Title"/>
    <w:basedOn w:val="Normal"/>
    <w:link w:val="TitleChar"/>
    <w:qFormat/>
    <w:rsid w:val="00254ED1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254ED1"/>
    <w:rPr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9F5DB9"/>
    <w:rPr>
      <w:b/>
      <w:bCs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9F5DB9"/>
    <w:rPr>
      <w:b/>
      <w:bCs/>
      <w:sz w:val="24"/>
      <w:szCs w:val="24"/>
      <w:lang w:val="x-none" w:eastAsia="x-none"/>
    </w:rPr>
  </w:style>
  <w:style w:type="paragraph" w:customStyle="1" w:styleId="c59">
    <w:name w:val="c59"/>
    <w:basedOn w:val="Normal"/>
    <w:semiHidden/>
    <w:rsid w:val="009F5DB9"/>
    <w:pPr>
      <w:widowControl w:val="0"/>
      <w:snapToGrid w:val="0"/>
      <w:spacing w:line="240" w:lineRule="atLeast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9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taplin@ct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2313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Yeung, Sidney</cp:lastModifiedBy>
  <cp:revision>2</cp:revision>
  <cp:lastPrinted>2017-04-27T14:03:00Z</cp:lastPrinted>
  <dcterms:created xsi:type="dcterms:W3CDTF">2019-02-21T15:46:00Z</dcterms:created>
  <dcterms:modified xsi:type="dcterms:W3CDTF">2019-02-21T15:46:00Z</dcterms:modified>
</cp:coreProperties>
</file>