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3A56" w14:textId="77777777" w:rsidR="00542472" w:rsidRPr="00474495" w:rsidRDefault="00542472" w:rsidP="00542472">
      <w:pPr>
        <w:jc w:val="center"/>
        <w:rPr>
          <w:b/>
          <w:bCs/>
          <w:u w:val="single"/>
        </w:rPr>
      </w:pPr>
      <w:r w:rsidRPr="00474495">
        <w:rPr>
          <w:b/>
          <w:bCs/>
          <w:u w:val="single"/>
        </w:rPr>
        <w:t>ANTI-HARASSMENT AND DISCRIMINATION POLICY</w:t>
      </w:r>
    </w:p>
    <w:p w14:paraId="20EAD334" w14:textId="77777777" w:rsidR="00542472" w:rsidRPr="00474495" w:rsidRDefault="00542472" w:rsidP="00542472">
      <w:pPr>
        <w:rPr>
          <w:b/>
          <w:bCs/>
          <w:sz w:val="22"/>
          <w:szCs w:val="22"/>
          <w:u w:val="single"/>
        </w:rPr>
      </w:pPr>
    </w:p>
    <w:p w14:paraId="6BB5432F" w14:textId="77777777" w:rsidR="00542472" w:rsidRPr="00474495" w:rsidRDefault="00542472" w:rsidP="00500F37">
      <w:pPr>
        <w:pStyle w:val="CAPS"/>
      </w:pPr>
      <w:r w:rsidRPr="00474495">
        <w:t>Purpose</w:t>
      </w:r>
    </w:p>
    <w:p w14:paraId="23DF655A" w14:textId="77777777" w:rsidR="00542472" w:rsidRPr="00474495" w:rsidRDefault="00542472" w:rsidP="00500F37">
      <w:pPr>
        <w:rPr>
          <w:b/>
          <w:bCs/>
          <w:sz w:val="22"/>
          <w:szCs w:val="22"/>
          <w:u w:val="single"/>
        </w:rPr>
      </w:pPr>
    </w:p>
    <w:p w14:paraId="4C3FEA29" w14:textId="77777777" w:rsidR="00542472" w:rsidRPr="00474495" w:rsidRDefault="00542472" w:rsidP="00500F37">
      <w:pPr>
        <w:rPr>
          <w:sz w:val="22"/>
          <w:szCs w:val="22"/>
        </w:rPr>
      </w:pPr>
      <w:r w:rsidRPr="00474495">
        <w:rPr>
          <w:sz w:val="22"/>
          <w:szCs w:val="22"/>
        </w:rPr>
        <w:t xml:space="preserve">The Department of Economic and Community Development </w:t>
      </w:r>
      <w:r w:rsidRPr="00474495">
        <w:rPr>
          <w:bCs/>
          <w:sz w:val="22"/>
          <w:szCs w:val="22"/>
        </w:rPr>
        <w:t xml:space="preserve">(DECD) </w:t>
      </w:r>
      <w:r w:rsidRPr="00474495">
        <w:rPr>
          <w:sz w:val="22"/>
          <w:szCs w:val="22"/>
        </w:rPr>
        <w:t>is committed to providing a work environment in which all people are treated with respect and dignity. All employees are expected to participate in this effort.</w:t>
      </w:r>
    </w:p>
    <w:p w14:paraId="4B071723" w14:textId="77777777" w:rsidR="00542472" w:rsidRPr="00474495" w:rsidRDefault="00542472" w:rsidP="00500F37">
      <w:pPr>
        <w:rPr>
          <w:b/>
          <w:bCs/>
          <w:sz w:val="22"/>
          <w:szCs w:val="22"/>
          <w:u w:val="single"/>
        </w:rPr>
      </w:pPr>
    </w:p>
    <w:p w14:paraId="6A0F774C" w14:textId="77777777" w:rsidR="00542472" w:rsidRPr="00474495" w:rsidRDefault="00542472" w:rsidP="00500F37">
      <w:pPr>
        <w:pStyle w:val="CAPS"/>
      </w:pPr>
      <w:r w:rsidRPr="00474495">
        <w:t>Prohibited Conduct</w:t>
      </w:r>
    </w:p>
    <w:p w14:paraId="6E6099CA" w14:textId="77777777" w:rsidR="00542472" w:rsidRPr="00474495" w:rsidRDefault="00542472" w:rsidP="00500F37">
      <w:pPr>
        <w:rPr>
          <w:b/>
          <w:bCs/>
          <w:sz w:val="22"/>
          <w:szCs w:val="22"/>
          <w:u w:val="single"/>
        </w:rPr>
      </w:pPr>
    </w:p>
    <w:p w14:paraId="0AF8CBE7" w14:textId="77777777" w:rsidR="00542472" w:rsidRPr="00474495" w:rsidRDefault="00542472" w:rsidP="00500F37">
      <w:pPr>
        <w:rPr>
          <w:bCs/>
          <w:sz w:val="22"/>
          <w:szCs w:val="22"/>
        </w:rPr>
      </w:pPr>
      <w:r w:rsidRPr="00474495">
        <w:rPr>
          <w:bCs/>
          <w:sz w:val="22"/>
          <w:szCs w:val="22"/>
        </w:rPr>
        <w:t xml:space="preserve">Federal and state law, including Title VII of the 1964 Civil Rights Act, 42 U.S.C. § 2000e-2(a)(1), and the Connecticut Fair Employment Practices Act, C.G.S. §46a-60 </w:t>
      </w:r>
      <w:r w:rsidRPr="00474495">
        <w:rPr>
          <w:bCs/>
          <w:i/>
          <w:iCs/>
          <w:sz w:val="22"/>
          <w:szCs w:val="22"/>
        </w:rPr>
        <w:t>et seq</w:t>
      </w:r>
      <w:r w:rsidRPr="00474495">
        <w:rPr>
          <w:bCs/>
          <w:sz w:val="22"/>
          <w:szCs w:val="22"/>
        </w:rPr>
        <w:t>., prohibit various forms of discrimination and illegal harassment in employment.</w:t>
      </w:r>
    </w:p>
    <w:p w14:paraId="05B31797" w14:textId="77777777" w:rsidR="00542472" w:rsidRPr="00474495" w:rsidRDefault="00542472" w:rsidP="00500F37">
      <w:pPr>
        <w:rPr>
          <w:bCs/>
          <w:sz w:val="22"/>
          <w:szCs w:val="22"/>
        </w:rPr>
      </w:pPr>
    </w:p>
    <w:p w14:paraId="429CB7F3" w14:textId="4DD1C96F" w:rsidR="00542472" w:rsidRPr="00474495" w:rsidRDefault="00542472" w:rsidP="00500F37">
      <w:pPr>
        <w:rPr>
          <w:sz w:val="22"/>
          <w:szCs w:val="22"/>
        </w:rPr>
      </w:pPr>
      <w:r w:rsidRPr="00474495">
        <w:rPr>
          <w:bCs/>
          <w:sz w:val="22"/>
          <w:szCs w:val="22"/>
        </w:rPr>
        <w:t>DECD</w:t>
      </w:r>
      <w:r w:rsidRPr="00474495">
        <w:rPr>
          <w:sz w:val="22"/>
          <w:szCs w:val="22"/>
        </w:rPr>
        <w:t xml:space="preserve"> strictly prohibits discrimination, including sexual harassment and harassment based on all legally protected classes: </w:t>
      </w:r>
      <w:r w:rsidRPr="00474495">
        <w:rPr>
          <w:bCs/>
          <w:sz w:val="22"/>
          <w:szCs w:val="22"/>
        </w:rPr>
        <w:t>race, color</w:t>
      </w:r>
      <w:r w:rsidR="00686F14">
        <w:rPr>
          <w:bCs/>
          <w:sz w:val="22"/>
          <w:szCs w:val="22"/>
        </w:rPr>
        <w:t>;</w:t>
      </w:r>
      <w:r w:rsidRPr="00474495">
        <w:rPr>
          <w:bCs/>
          <w:sz w:val="22"/>
          <w:szCs w:val="22"/>
        </w:rPr>
        <w:t xml:space="preserve"> religious creed</w:t>
      </w:r>
      <w:r w:rsidR="00686F14">
        <w:rPr>
          <w:bCs/>
          <w:sz w:val="22"/>
          <w:szCs w:val="22"/>
        </w:rPr>
        <w:t>;</w:t>
      </w:r>
      <w:r w:rsidRPr="00474495">
        <w:rPr>
          <w:bCs/>
          <w:sz w:val="22"/>
          <w:szCs w:val="22"/>
        </w:rPr>
        <w:t xml:space="preserve"> age</w:t>
      </w:r>
      <w:r w:rsidR="00686F14">
        <w:rPr>
          <w:bCs/>
          <w:sz w:val="22"/>
          <w:szCs w:val="22"/>
        </w:rPr>
        <w:t>;</w:t>
      </w:r>
      <w:r w:rsidRPr="00474495">
        <w:rPr>
          <w:bCs/>
          <w:sz w:val="22"/>
          <w:szCs w:val="22"/>
        </w:rPr>
        <w:t xml:space="preserve"> sex</w:t>
      </w:r>
      <w:r w:rsidR="00686F14">
        <w:rPr>
          <w:bCs/>
          <w:sz w:val="22"/>
          <w:szCs w:val="22"/>
        </w:rPr>
        <w:t>;</w:t>
      </w:r>
      <w:r w:rsidRPr="00474495">
        <w:rPr>
          <w:bCs/>
          <w:sz w:val="22"/>
          <w:szCs w:val="22"/>
        </w:rPr>
        <w:t xml:space="preserve"> pregnancy</w:t>
      </w:r>
      <w:r w:rsidR="00686F14">
        <w:rPr>
          <w:bCs/>
          <w:sz w:val="22"/>
          <w:szCs w:val="22"/>
        </w:rPr>
        <w:t>;</w:t>
      </w:r>
      <w:r w:rsidRPr="00474495">
        <w:rPr>
          <w:sz w:val="22"/>
          <w:szCs w:val="22"/>
        </w:rPr>
        <w:t xml:space="preserve"> </w:t>
      </w:r>
      <w:r w:rsidRPr="00474495">
        <w:rPr>
          <w:bCs/>
          <w:sz w:val="22"/>
          <w:szCs w:val="22"/>
        </w:rPr>
        <w:t>sexual orientation</w:t>
      </w:r>
      <w:r w:rsidR="00686F14">
        <w:rPr>
          <w:bCs/>
          <w:sz w:val="22"/>
          <w:szCs w:val="22"/>
        </w:rPr>
        <w:t>;</w:t>
      </w:r>
      <w:r w:rsidRPr="00474495">
        <w:rPr>
          <w:bCs/>
          <w:sz w:val="22"/>
          <w:szCs w:val="22"/>
        </w:rPr>
        <w:t xml:space="preserve"> </w:t>
      </w:r>
      <w:r w:rsidRPr="00474495">
        <w:rPr>
          <w:sz w:val="22"/>
          <w:szCs w:val="22"/>
        </w:rPr>
        <w:t>gender identity or expression</w:t>
      </w:r>
      <w:r w:rsidR="00686F14">
        <w:rPr>
          <w:bCs/>
          <w:sz w:val="22"/>
          <w:szCs w:val="22"/>
        </w:rPr>
        <w:t>;</w:t>
      </w:r>
      <w:r w:rsidRPr="00474495">
        <w:rPr>
          <w:bCs/>
          <w:sz w:val="22"/>
          <w:szCs w:val="22"/>
        </w:rPr>
        <w:t xml:space="preserve"> marital status</w:t>
      </w:r>
      <w:r w:rsidR="00686F14">
        <w:rPr>
          <w:bCs/>
          <w:sz w:val="22"/>
          <w:szCs w:val="22"/>
        </w:rPr>
        <w:t>;</w:t>
      </w:r>
      <w:r w:rsidRPr="00474495">
        <w:rPr>
          <w:bCs/>
          <w:sz w:val="22"/>
          <w:szCs w:val="22"/>
        </w:rPr>
        <w:t xml:space="preserve"> national origin</w:t>
      </w:r>
      <w:r w:rsidR="00686F14">
        <w:rPr>
          <w:bCs/>
          <w:sz w:val="22"/>
          <w:szCs w:val="22"/>
        </w:rPr>
        <w:t>;</w:t>
      </w:r>
      <w:r w:rsidRPr="00474495">
        <w:rPr>
          <w:bCs/>
          <w:sz w:val="22"/>
          <w:szCs w:val="22"/>
        </w:rPr>
        <w:t xml:space="preserve"> ancestry</w:t>
      </w:r>
      <w:r w:rsidR="00686F14">
        <w:rPr>
          <w:bCs/>
          <w:sz w:val="22"/>
          <w:szCs w:val="22"/>
        </w:rPr>
        <w:t>;</w:t>
      </w:r>
      <w:r w:rsidRPr="00474495">
        <w:rPr>
          <w:bCs/>
          <w:sz w:val="22"/>
          <w:szCs w:val="22"/>
        </w:rPr>
        <w:t xml:space="preserve"> </w:t>
      </w:r>
      <w:r w:rsidRPr="00474495">
        <w:rPr>
          <w:sz w:val="22"/>
          <w:szCs w:val="22"/>
        </w:rPr>
        <w:t>intellectual disability</w:t>
      </w:r>
      <w:r w:rsidR="00686F14">
        <w:rPr>
          <w:bCs/>
          <w:sz w:val="22"/>
          <w:szCs w:val="22"/>
        </w:rPr>
        <w:t>;</w:t>
      </w:r>
      <w:r w:rsidRPr="00474495">
        <w:rPr>
          <w:bCs/>
          <w:sz w:val="22"/>
          <w:szCs w:val="22"/>
        </w:rPr>
        <w:t xml:space="preserve"> genetic information</w:t>
      </w:r>
      <w:r w:rsidR="00686F14">
        <w:rPr>
          <w:bCs/>
          <w:sz w:val="22"/>
          <w:szCs w:val="22"/>
        </w:rPr>
        <w:t>;</w:t>
      </w:r>
      <w:r w:rsidRPr="00474495">
        <w:rPr>
          <w:bCs/>
          <w:sz w:val="22"/>
          <w:szCs w:val="22"/>
        </w:rPr>
        <w:t xml:space="preserve"> learning disability</w:t>
      </w:r>
      <w:r w:rsidR="00686F14">
        <w:rPr>
          <w:bCs/>
          <w:sz w:val="22"/>
          <w:szCs w:val="22"/>
        </w:rPr>
        <w:t>;</w:t>
      </w:r>
      <w:r w:rsidRPr="00474495">
        <w:rPr>
          <w:bCs/>
          <w:sz w:val="22"/>
          <w:szCs w:val="22"/>
        </w:rPr>
        <w:t xml:space="preserve"> physical disability (including, but not limited to, blindness)</w:t>
      </w:r>
      <w:r w:rsidR="00686F14">
        <w:rPr>
          <w:bCs/>
          <w:sz w:val="22"/>
          <w:szCs w:val="22"/>
        </w:rPr>
        <w:t>;</w:t>
      </w:r>
      <w:r w:rsidRPr="00474495">
        <w:rPr>
          <w:bCs/>
          <w:sz w:val="22"/>
          <w:szCs w:val="22"/>
        </w:rPr>
        <w:t xml:space="preserve"> mental disability (past/present history thereof)</w:t>
      </w:r>
      <w:r w:rsidR="00500F37">
        <w:rPr>
          <w:bCs/>
          <w:sz w:val="22"/>
          <w:szCs w:val="22"/>
        </w:rPr>
        <w:t>; status as a victim of domestic violence;</w:t>
      </w:r>
      <w:r w:rsidRPr="0087014B">
        <w:rPr>
          <w:sz w:val="22"/>
          <w:szCs w:val="22"/>
        </w:rPr>
        <w:t xml:space="preserve"> </w:t>
      </w:r>
      <w:r>
        <w:rPr>
          <w:sz w:val="22"/>
          <w:szCs w:val="22"/>
        </w:rPr>
        <w:t>and military or veteran status; or criminal record</w:t>
      </w:r>
      <w:r w:rsidRPr="00474495">
        <w:rPr>
          <w:sz w:val="22"/>
          <w:szCs w:val="22"/>
        </w:rPr>
        <w:t>.</w:t>
      </w:r>
    </w:p>
    <w:p w14:paraId="1149B2AE" w14:textId="77777777" w:rsidR="00542472" w:rsidRPr="00474495" w:rsidRDefault="00542472" w:rsidP="00500F37">
      <w:pPr>
        <w:rPr>
          <w:sz w:val="22"/>
          <w:szCs w:val="22"/>
        </w:rPr>
      </w:pPr>
    </w:p>
    <w:p w14:paraId="5358890A" w14:textId="77777777" w:rsidR="00542472" w:rsidRPr="00474495" w:rsidRDefault="00542472" w:rsidP="00500F37">
      <w:pPr>
        <w:rPr>
          <w:sz w:val="22"/>
          <w:szCs w:val="22"/>
        </w:rPr>
      </w:pPr>
      <w:r w:rsidRPr="00474495">
        <w:rPr>
          <w:sz w:val="22"/>
          <w:szCs w:val="22"/>
        </w:rPr>
        <w:t>“Harassment” means any verbal, physical, graphic, or written conduct when:</w:t>
      </w:r>
    </w:p>
    <w:p w14:paraId="068E1795" w14:textId="77777777" w:rsidR="00542472" w:rsidRPr="00474495" w:rsidRDefault="00542472" w:rsidP="00500F37">
      <w:pPr>
        <w:rPr>
          <w:sz w:val="22"/>
          <w:szCs w:val="22"/>
        </w:rPr>
      </w:pPr>
    </w:p>
    <w:p w14:paraId="142B6588" w14:textId="77777777" w:rsidR="00542472" w:rsidRPr="00474495" w:rsidRDefault="00542472" w:rsidP="00500F37">
      <w:pPr>
        <w:numPr>
          <w:ilvl w:val="0"/>
          <w:numId w:val="5"/>
        </w:numPr>
        <w:rPr>
          <w:sz w:val="22"/>
          <w:szCs w:val="22"/>
        </w:rPr>
      </w:pPr>
      <w:r w:rsidRPr="00474495">
        <w:rPr>
          <w:sz w:val="22"/>
          <w:szCs w:val="22"/>
        </w:rPr>
        <w:t>Submission to such conduct is made either explicitly or implicitly a term or</w:t>
      </w:r>
    </w:p>
    <w:p w14:paraId="5FE2C0EF" w14:textId="77777777" w:rsidR="00542472" w:rsidRPr="00474495" w:rsidRDefault="00542472" w:rsidP="00500F37">
      <w:pPr>
        <w:ind w:firstLine="720"/>
        <w:rPr>
          <w:sz w:val="22"/>
          <w:szCs w:val="22"/>
        </w:rPr>
      </w:pPr>
      <w:r w:rsidRPr="00474495">
        <w:rPr>
          <w:sz w:val="22"/>
          <w:szCs w:val="22"/>
        </w:rPr>
        <w:t>condition of employment;</w:t>
      </w:r>
    </w:p>
    <w:p w14:paraId="19108950" w14:textId="77777777" w:rsidR="00542472" w:rsidRPr="00474495" w:rsidRDefault="00542472" w:rsidP="00500F37">
      <w:pPr>
        <w:numPr>
          <w:ilvl w:val="0"/>
          <w:numId w:val="5"/>
        </w:numPr>
        <w:rPr>
          <w:sz w:val="22"/>
          <w:szCs w:val="22"/>
        </w:rPr>
      </w:pPr>
      <w:r w:rsidRPr="00474495">
        <w:rPr>
          <w:sz w:val="22"/>
          <w:szCs w:val="22"/>
        </w:rPr>
        <w:t>Submission to or rejection of such conduct by an individual is used as a basis for an</w:t>
      </w:r>
    </w:p>
    <w:p w14:paraId="2A707889" w14:textId="77777777" w:rsidR="00542472" w:rsidRPr="00474495" w:rsidRDefault="00542472" w:rsidP="00500F37">
      <w:pPr>
        <w:ind w:firstLine="720"/>
        <w:rPr>
          <w:sz w:val="22"/>
          <w:szCs w:val="22"/>
        </w:rPr>
      </w:pPr>
      <w:r w:rsidRPr="00474495">
        <w:rPr>
          <w:sz w:val="22"/>
          <w:szCs w:val="22"/>
        </w:rPr>
        <w:t xml:space="preserve">employment decision affecting that individual; </w:t>
      </w:r>
      <w:r w:rsidRPr="00474495">
        <w:rPr>
          <w:sz w:val="22"/>
          <w:szCs w:val="22"/>
          <w:u w:val="single"/>
        </w:rPr>
        <w:t>or</w:t>
      </w:r>
    </w:p>
    <w:p w14:paraId="37CCFBA2" w14:textId="77777777" w:rsidR="00542472" w:rsidRPr="00474495" w:rsidRDefault="00542472" w:rsidP="00500F37">
      <w:pPr>
        <w:numPr>
          <w:ilvl w:val="0"/>
          <w:numId w:val="5"/>
        </w:numPr>
        <w:rPr>
          <w:sz w:val="22"/>
          <w:szCs w:val="22"/>
        </w:rPr>
      </w:pPr>
      <w:r w:rsidRPr="00474495">
        <w:rPr>
          <w:sz w:val="22"/>
          <w:szCs w:val="22"/>
        </w:rPr>
        <w:t>Such conduct interferes with another’s work performance or creates an intimidating, offensive or hostile work environment.</w:t>
      </w:r>
    </w:p>
    <w:p w14:paraId="4DDE43DA" w14:textId="77777777" w:rsidR="00542472" w:rsidRPr="00474495" w:rsidRDefault="00542472" w:rsidP="00500F37">
      <w:pPr>
        <w:rPr>
          <w:sz w:val="22"/>
          <w:szCs w:val="22"/>
        </w:rPr>
      </w:pPr>
    </w:p>
    <w:p w14:paraId="62DDDF68" w14:textId="77777777" w:rsidR="00542472" w:rsidRPr="00474495" w:rsidRDefault="00542472" w:rsidP="00500F37">
      <w:pPr>
        <w:rPr>
          <w:sz w:val="22"/>
          <w:szCs w:val="22"/>
        </w:rPr>
      </w:pPr>
      <w:r w:rsidRPr="00474495">
        <w:rPr>
          <w:bCs/>
          <w:sz w:val="22"/>
          <w:szCs w:val="22"/>
        </w:rPr>
        <w:t>DECD</w:t>
      </w:r>
      <w:r w:rsidRPr="00474495">
        <w:rPr>
          <w:sz w:val="22"/>
          <w:szCs w:val="22"/>
        </w:rPr>
        <w:t xml:space="preserve"> shall not tolerate discrimination or harassment on the basis of a protected class by anyone, including any supervisor, co-worker, vendor, client or customer, whether in the workplace, at assignments outside of the workplace, at </w:t>
      </w:r>
      <w:r w:rsidRPr="00474495">
        <w:rPr>
          <w:bCs/>
          <w:sz w:val="22"/>
          <w:szCs w:val="22"/>
        </w:rPr>
        <w:t>DECD</w:t>
      </w:r>
      <w:r w:rsidRPr="00474495">
        <w:rPr>
          <w:sz w:val="22"/>
          <w:szCs w:val="22"/>
        </w:rPr>
        <w:t>-sponsored social events or elsewhere.</w:t>
      </w:r>
    </w:p>
    <w:p w14:paraId="74D0711E" w14:textId="77777777" w:rsidR="00542472" w:rsidRPr="00474495" w:rsidRDefault="00542472" w:rsidP="00500F37">
      <w:pPr>
        <w:rPr>
          <w:sz w:val="22"/>
          <w:szCs w:val="22"/>
        </w:rPr>
      </w:pPr>
    </w:p>
    <w:p w14:paraId="7B909204" w14:textId="77777777" w:rsidR="00542472" w:rsidRPr="00474495" w:rsidRDefault="00542472" w:rsidP="00500F37">
      <w:pPr>
        <w:rPr>
          <w:b/>
          <w:sz w:val="22"/>
          <w:szCs w:val="22"/>
          <w:u w:val="single"/>
        </w:rPr>
      </w:pPr>
      <w:r w:rsidRPr="00474495">
        <w:rPr>
          <w:b/>
          <w:sz w:val="22"/>
          <w:szCs w:val="22"/>
          <w:u w:val="single"/>
        </w:rPr>
        <w:br w:type="page"/>
      </w:r>
    </w:p>
    <w:p w14:paraId="743EA90C" w14:textId="77777777" w:rsidR="00542472" w:rsidRPr="00474495" w:rsidRDefault="00542472" w:rsidP="00500F37">
      <w:pPr>
        <w:pStyle w:val="CAPS"/>
      </w:pPr>
      <w:r w:rsidRPr="00474495">
        <w:lastRenderedPageBreak/>
        <w:t>Reporting Discrimination and Harassment</w:t>
      </w:r>
    </w:p>
    <w:p w14:paraId="22E82C78" w14:textId="77777777" w:rsidR="00542472" w:rsidRPr="00474495" w:rsidRDefault="00542472" w:rsidP="00500F37">
      <w:pPr>
        <w:rPr>
          <w:b/>
          <w:sz w:val="22"/>
          <w:szCs w:val="22"/>
        </w:rPr>
      </w:pPr>
    </w:p>
    <w:p w14:paraId="3FFEBBDB" w14:textId="77777777" w:rsidR="00542472" w:rsidRPr="00474495" w:rsidRDefault="00542472" w:rsidP="00500F37">
      <w:pPr>
        <w:numPr>
          <w:ilvl w:val="0"/>
          <w:numId w:val="3"/>
        </w:numPr>
        <w:rPr>
          <w:sz w:val="22"/>
          <w:szCs w:val="22"/>
        </w:rPr>
      </w:pPr>
      <w:r w:rsidRPr="00474495">
        <w:rPr>
          <w:b/>
          <w:bCs/>
          <w:sz w:val="22"/>
          <w:szCs w:val="22"/>
        </w:rPr>
        <w:t xml:space="preserve">Claimants </w:t>
      </w:r>
      <w:r w:rsidRPr="00474495">
        <w:rPr>
          <w:sz w:val="22"/>
          <w:szCs w:val="22"/>
        </w:rPr>
        <w:t>– If you believe that you are being harassed or otherwise discriminated against because of your protected class, you should immediately report the harassment/discrimination to any one of the following people:</w:t>
      </w:r>
    </w:p>
    <w:p w14:paraId="2A79863E" w14:textId="77777777" w:rsidR="00542472" w:rsidRPr="00474495" w:rsidRDefault="00542472" w:rsidP="00500F37">
      <w:pPr>
        <w:rPr>
          <w:sz w:val="22"/>
          <w:szCs w:val="22"/>
        </w:rPr>
      </w:pPr>
    </w:p>
    <w:p w14:paraId="131FCF85" w14:textId="77777777" w:rsidR="00542472" w:rsidRPr="00474495" w:rsidRDefault="00542472" w:rsidP="00500F37">
      <w:pPr>
        <w:numPr>
          <w:ilvl w:val="0"/>
          <w:numId w:val="4"/>
        </w:numPr>
        <w:rPr>
          <w:sz w:val="22"/>
          <w:szCs w:val="22"/>
        </w:rPr>
      </w:pPr>
      <w:r w:rsidRPr="00474495">
        <w:rPr>
          <w:sz w:val="22"/>
          <w:szCs w:val="22"/>
        </w:rPr>
        <w:t>Your supervisor or manager;</w:t>
      </w:r>
    </w:p>
    <w:p w14:paraId="4668D05F" w14:textId="29652436" w:rsidR="00542472" w:rsidRPr="00474495" w:rsidRDefault="00542472" w:rsidP="00500F37">
      <w:pPr>
        <w:numPr>
          <w:ilvl w:val="0"/>
          <w:numId w:val="4"/>
        </w:numPr>
        <w:rPr>
          <w:sz w:val="22"/>
          <w:szCs w:val="22"/>
        </w:rPr>
      </w:pPr>
      <w:r w:rsidRPr="00474495">
        <w:rPr>
          <w:sz w:val="22"/>
          <w:szCs w:val="22"/>
        </w:rPr>
        <w:t>DECD’s Leadership Associate/</w:t>
      </w:r>
      <w:r w:rsidR="00510D7F">
        <w:rPr>
          <w:sz w:val="22"/>
          <w:szCs w:val="22"/>
        </w:rPr>
        <w:t xml:space="preserve">HR Associate – Equal </w:t>
      </w:r>
      <w:r w:rsidRPr="00510D7F">
        <w:rPr>
          <w:sz w:val="22"/>
          <w:szCs w:val="22"/>
        </w:rPr>
        <w:t>Employment Opportunity,</w:t>
      </w:r>
      <w:r w:rsidRPr="00474495">
        <w:rPr>
          <w:sz w:val="22"/>
          <w:szCs w:val="22"/>
        </w:rPr>
        <w:t xml:space="preserve"> </w:t>
      </w:r>
      <w:r>
        <w:rPr>
          <w:sz w:val="22"/>
          <w:szCs w:val="22"/>
        </w:rPr>
        <w:t>Caesar Valentin</w:t>
      </w:r>
      <w:r w:rsidRPr="00474495">
        <w:rPr>
          <w:sz w:val="22"/>
          <w:szCs w:val="22"/>
        </w:rPr>
        <w:t xml:space="preserve"> (860-713-5</w:t>
      </w:r>
      <w:r>
        <w:rPr>
          <w:sz w:val="22"/>
          <w:szCs w:val="22"/>
        </w:rPr>
        <w:t>032</w:t>
      </w:r>
      <w:r w:rsidRPr="00474495">
        <w:rPr>
          <w:sz w:val="22"/>
          <w:szCs w:val="22"/>
        </w:rPr>
        <w:t>); or</w:t>
      </w:r>
    </w:p>
    <w:p w14:paraId="3E0EA90C" w14:textId="77777777" w:rsidR="00542472" w:rsidRPr="00474495" w:rsidRDefault="00542472" w:rsidP="00500F37">
      <w:pPr>
        <w:numPr>
          <w:ilvl w:val="0"/>
          <w:numId w:val="4"/>
        </w:numPr>
        <w:rPr>
          <w:sz w:val="22"/>
          <w:szCs w:val="22"/>
        </w:rPr>
      </w:pPr>
      <w:r w:rsidRPr="00474495">
        <w:rPr>
          <w:sz w:val="22"/>
          <w:szCs w:val="22"/>
        </w:rPr>
        <w:t xml:space="preserve">DECD’s Human Resources Generalist 3, </w:t>
      </w:r>
      <w:r>
        <w:rPr>
          <w:sz w:val="22"/>
          <w:szCs w:val="22"/>
        </w:rPr>
        <w:t xml:space="preserve">Heidi Gray </w:t>
      </w:r>
      <w:r w:rsidRPr="00474495">
        <w:rPr>
          <w:sz w:val="22"/>
          <w:szCs w:val="22"/>
        </w:rPr>
        <w:t>(860-7</w:t>
      </w:r>
      <w:r>
        <w:rPr>
          <w:sz w:val="22"/>
          <w:szCs w:val="22"/>
        </w:rPr>
        <w:t>85-9477</w:t>
      </w:r>
      <w:r w:rsidRPr="00474495">
        <w:rPr>
          <w:sz w:val="22"/>
          <w:szCs w:val="22"/>
        </w:rPr>
        <w:t>).</w:t>
      </w:r>
    </w:p>
    <w:p w14:paraId="537817B6" w14:textId="77777777" w:rsidR="00542472" w:rsidRPr="00474495" w:rsidRDefault="00542472" w:rsidP="00500F37">
      <w:pPr>
        <w:ind w:left="864"/>
        <w:rPr>
          <w:sz w:val="22"/>
          <w:szCs w:val="22"/>
        </w:rPr>
      </w:pPr>
    </w:p>
    <w:p w14:paraId="41327F9A" w14:textId="77777777" w:rsidR="00542472" w:rsidRPr="00474495" w:rsidRDefault="00542472" w:rsidP="00500F37">
      <w:pPr>
        <w:numPr>
          <w:ilvl w:val="0"/>
          <w:numId w:val="3"/>
        </w:numPr>
        <w:rPr>
          <w:sz w:val="22"/>
          <w:szCs w:val="22"/>
        </w:rPr>
      </w:pPr>
      <w:r w:rsidRPr="00474495">
        <w:rPr>
          <w:b/>
          <w:bCs/>
          <w:sz w:val="22"/>
          <w:szCs w:val="22"/>
        </w:rPr>
        <w:t xml:space="preserve">Witnesses </w:t>
      </w:r>
      <w:r w:rsidRPr="00474495">
        <w:rPr>
          <w:sz w:val="22"/>
          <w:szCs w:val="22"/>
        </w:rPr>
        <w:t>– Any employee who witnesses harassment or other forms of discrimination prohibited under this policy or becomes aware that another employee has been subjected to such harassment or discrimination is also urged to immediately report the conduct via one of the three avenues listed above.</w:t>
      </w:r>
    </w:p>
    <w:p w14:paraId="495612A8" w14:textId="77777777" w:rsidR="00542472" w:rsidRPr="00474495" w:rsidRDefault="00542472" w:rsidP="00500F37">
      <w:pPr>
        <w:rPr>
          <w:sz w:val="22"/>
          <w:szCs w:val="22"/>
        </w:rPr>
      </w:pPr>
    </w:p>
    <w:p w14:paraId="06169D76" w14:textId="77777777" w:rsidR="00542472" w:rsidRPr="00474495" w:rsidRDefault="00542472" w:rsidP="00500F37">
      <w:pPr>
        <w:numPr>
          <w:ilvl w:val="0"/>
          <w:numId w:val="3"/>
        </w:numPr>
        <w:rPr>
          <w:sz w:val="22"/>
          <w:szCs w:val="22"/>
        </w:rPr>
      </w:pPr>
      <w:r w:rsidRPr="00474495">
        <w:rPr>
          <w:b/>
          <w:bCs/>
          <w:sz w:val="22"/>
          <w:szCs w:val="22"/>
        </w:rPr>
        <w:t xml:space="preserve">Supervisors and Managers </w:t>
      </w:r>
      <w:r w:rsidRPr="00474495">
        <w:rPr>
          <w:sz w:val="22"/>
          <w:szCs w:val="22"/>
        </w:rPr>
        <w:t xml:space="preserve">– Any supervisor or manager who receives a complaint about prohibited harassment or other forms of discrimination, who believes that someone is engaging in such conduct are mandated to report it to </w:t>
      </w:r>
      <w:r>
        <w:rPr>
          <w:sz w:val="22"/>
          <w:szCs w:val="22"/>
        </w:rPr>
        <w:t>Caesar Valentin</w:t>
      </w:r>
      <w:r w:rsidRPr="00474495">
        <w:rPr>
          <w:sz w:val="22"/>
          <w:szCs w:val="22"/>
        </w:rPr>
        <w:t xml:space="preserve"> or </w:t>
      </w:r>
      <w:r>
        <w:rPr>
          <w:sz w:val="22"/>
          <w:szCs w:val="22"/>
        </w:rPr>
        <w:t>Heidi Gray</w:t>
      </w:r>
      <w:r w:rsidRPr="00474495">
        <w:rPr>
          <w:sz w:val="22"/>
          <w:szCs w:val="22"/>
        </w:rPr>
        <w:t>. Ignoring such conduct is not optional and may subject the supervisor or manager to disciplinary action.</w:t>
      </w:r>
    </w:p>
    <w:p w14:paraId="2CA376F5" w14:textId="77777777" w:rsidR="00542472" w:rsidRPr="00474495" w:rsidRDefault="00542472" w:rsidP="00500F37">
      <w:pPr>
        <w:rPr>
          <w:b/>
          <w:bCs/>
          <w:sz w:val="22"/>
          <w:szCs w:val="22"/>
          <w:u w:val="single"/>
        </w:rPr>
      </w:pPr>
    </w:p>
    <w:p w14:paraId="16176C99" w14:textId="77777777" w:rsidR="00542472" w:rsidRPr="00474495" w:rsidRDefault="00542472" w:rsidP="00500F37">
      <w:pPr>
        <w:pStyle w:val="CAPS"/>
      </w:pPr>
      <w:r w:rsidRPr="00474495">
        <w:t>No Retaliation</w:t>
      </w:r>
    </w:p>
    <w:p w14:paraId="1BADEA06" w14:textId="77777777" w:rsidR="00542472" w:rsidRPr="00474495" w:rsidRDefault="00542472" w:rsidP="00500F37">
      <w:pPr>
        <w:rPr>
          <w:sz w:val="22"/>
          <w:szCs w:val="22"/>
        </w:rPr>
      </w:pPr>
    </w:p>
    <w:p w14:paraId="79F7A3BF" w14:textId="77777777" w:rsidR="00542472" w:rsidRPr="00474495" w:rsidRDefault="00542472" w:rsidP="00500F37">
      <w:pPr>
        <w:rPr>
          <w:sz w:val="22"/>
          <w:szCs w:val="22"/>
        </w:rPr>
      </w:pPr>
      <w:r w:rsidRPr="00474495">
        <w:rPr>
          <w:bCs/>
          <w:sz w:val="22"/>
          <w:szCs w:val="22"/>
        </w:rPr>
        <w:t>DECD</w:t>
      </w:r>
      <w:r w:rsidRPr="00474495">
        <w:rPr>
          <w:sz w:val="22"/>
          <w:szCs w:val="22"/>
        </w:rPr>
        <w:t xml:space="preserve"> strictly forbids retaliation against employees who report discrimination, including harassment, or who participate in internal or external investigations involving such conduct.  Agents of </w:t>
      </w:r>
      <w:r w:rsidRPr="00474495">
        <w:rPr>
          <w:bCs/>
          <w:sz w:val="22"/>
          <w:szCs w:val="22"/>
        </w:rPr>
        <w:t>DECD</w:t>
      </w:r>
      <w:r w:rsidRPr="00474495">
        <w:rPr>
          <w:b/>
          <w:sz w:val="22"/>
          <w:szCs w:val="22"/>
        </w:rPr>
        <w:t xml:space="preserve"> </w:t>
      </w:r>
      <w:r w:rsidRPr="00474495">
        <w:rPr>
          <w:sz w:val="22"/>
          <w:szCs w:val="22"/>
        </w:rPr>
        <w:t xml:space="preserve">shall not retaliate against, coerce, intimidate, threaten, harass, or interfere with any individual exercising or enjoying </w:t>
      </w:r>
      <w:r>
        <w:rPr>
          <w:sz w:val="22"/>
          <w:szCs w:val="22"/>
        </w:rPr>
        <w:t>his or her</w:t>
      </w:r>
      <w:r w:rsidRPr="00474495">
        <w:rPr>
          <w:sz w:val="22"/>
          <w:szCs w:val="22"/>
        </w:rPr>
        <w:t xml:space="preserve"> rights under Federal or State law or because an individual aided or encouraged any other individual in the exercise of rights granted or protected by State or Federal law. All employees are strongly urged to report all instances of retaliation via one of the avenues listed above.</w:t>
      </w:r>
    </w:p>
    <w:p w14:paraId="2C51BFBD" w14:textId="77777777" w:rsidR="00542472" w:rsidRPr="00474495" w:rsidRDefault="00542472" w:rsidP="00500F37">
      <w:pPr>
        <w:rPr>
          <w:b/>
          <w:bCs/>
          <w:sz w:val="22"/>
          <w:szCs w:val="22"/>
          <w:u w:val="single"/>
        </w:rPr>
      </w:pPr>
    </w:p>
    <w:p w14:paraId="5735781F" w14:textId="77777777" w:rsidR="00542472" w:rsidRPr="00474495" w:rsidRDefault="00542472" w:rsidP="00500F37">
      <w:pPr>
        <w:pStyle w:val="CAPS"/>
      </w:pPr>
      <w:r w:rsidRPr="00474495">
        <w:t>Investigating Complaints</w:t>
      </w:r>
    </w:p>
    <w:p w14:paraId="394E1B86" w14:textId="77777777" w:rsidR="00542472" w:rsidRPr="00474495" w:rsidRDefault="00542472" w:rsidP="00500F37">
      <w:pPr>
        <w:rPr>
          <w:b/>
          <w:bCs/>
          <w:sz w:val="22"/>
          <w:szCs w:val="22"/>
          <w:u w:val="single"/>
        </w:rPr>
      </w:pPr>
    </w:p>
    <w:p w14:paraId="0482AA7E" w14:textId="18A72099" w:rsidR="00542472" w:rsidRPr="00474495" w:rsidRDefault="00542472" w:rsidP="00500F37">
      <w:pPr>
        <w:rPr>
          <w:bCs/>
          <w:sz w:val="22"/>
          <w:szCs w:val="22"/>
        </w:rPr>
      </w:pPr>
      <w:r w:rsidRPr="00474495">
        <w:rPr>
          <w:bCs/>
          <w:sz w:val="22"/>
          <w:szCs w:val="22"/>
        </w:rPr>
        <w:t>DECD takes all complaints and reports of harassment and discrimination seriously. All complaints and reports will be investigated promptly. All employees are expected to cooperate fully with all administrative complaint investigations and any actions taken by DECD as a result of such investigations.</w:t>
      </w:r>
    </w:p>
    <w:p w14:paraId="23D349D7" w14:textId="77777777" w:rsidR="00542472" w:rsidRPr="00474495" w:rsidRDefault="00542472" w:rsidP="00500F37">
      <w:pPr>
        <w:rPr>
          <w:b/>
          <w:bCs/>
          <w:sz w:val="22"/>
          <w:szCs w:val="22"/>
          <w:u w:val="single"/>
        </w:rPr>
      </w:pPr>
    </w:p>
    <w:p w14:paraId="7BC47B11" w14:textId="77777777" w:rsidR="00542472" w:rsidRPr="00474495" w:rsidRDefault="00542472" w:rsidP="00500F37">
      <w:pPr>
        <w:pStyle w:val="CAPS"/>
      </w:pPr>
      <w:r w:rsidRPr="00474495">
        <w:t>Corrective Action</w:t>
      </w:r>
    </w:p>
    <w:p w14:paraId="3BB243B2" w14:textId="77777777" w:rsidR="00542472" w:rsidRPr="00474495" w:rsidRDefault="00542472" w:rsidP="00500F37">
      <w:pPr>
        <w:rPr>
          <w:sz w:val="22"/>
          <w:szCs w:val="22"/>
        </w:rPr>
      </w:pPr>
    </w:p>
    <w:p w14:paraId="40DBDBB5" w14:textId="77777777" w:rsidR="00542472" w:rsidRPr="00474495" w:rsidRDefault="00542472" w:rsidP="00500F37">
      <w:pPr>
        <w:rPr>
          <w:bCs/>
          <w:sz w:val="22"/>
          <w:szCs w:val="22"/>
        </w:rPr>
      </w:pPr>
      <w:r w:rsidRPr="00474495">
        <w:rPr>
          <w:sz w:val="22"/>
          <w:szCs w:val="22"/>
        </w:rPr>
        <w:t>If an investigation confirms that discrimination or harassment prohibited under this policy has occurred, DECD will take corrective action promptly.  Discipline up to and including discharge from state service may be imposed.</w:t>
      </w:r>
    </w:p>
    <w:p w14:paraId="4D8872A3" w14:textId="77777777" w:rsidR="00542472" w:rsidRDefault="00542472" w:rsidP="00500F37">
      <w:pPr>
        <w:rPr>
          <w:bCs/>
          <w:sz w:val="22"/>
          <w:szCs w:val="22"/>
        </w:rPr>
      </w:pPr>
    </w:p>
    <w:p w14:paraId="06A2C6C9" w14:textId="55A5B20D" w:rsidR="00542472" w:rsidRPr="00474495" w:rsidRDefault="005D5675" w:rsidP="00500F37">
      <w:pPr>
        <w:rPr>
          <w:bCs/>
          <w:sz w:val="22"/>
          <w:szCs w:val="22"/>
        </w:rPr>
      </w:pPr>
      <w:r>
        <w:rPr>
          <w:noProof/>
        </w:rPr>
        <w:drawing>
          <wp:inline distT="0" distB="0" distL="0" distR="0" wp14:anchorId="3932292D" wp14:editId="5462741F">
            <wp:extent cx="1898576" cy="412750"/>
            <wp:effectExtent l="0" t="0" r="6985" b="6350"/>
            <wp:docPr id="3" name="Picture 2">
              <a:extLst xmlns:a="http://schemas.openxmlformats.org/drawingml/2006/main">
                <a:ext uri="{FF2B5EF4-FFF2-40B4-BE49-F238E27FC236}">
                  <a16:creationId xmlns:a16="http://schemas.microsoft.com/office/drawing/2014/main" id="{00000000-0008-0000-04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400-000003000000}"/>
                        </a:ext>
                      </a:extLst>
                    </pic:cNvPr>
                    <pic:cNvPicPr>
                      <a:picLocks noChangeAspect="1"/>
                    </pic:cNvPicPr>
                  </pic:nvPicPr>
                  <pic:blipFill>
                    <a:blip r:embed="rId8"/>
                    <a:stretch>
                      <a:fillRect/>
                    </a:stretch>
                  </pic:blipFill>
                  <pic:spPr>
                    <a:xfrm>
                      <a:off x="0" y="0"/>
                      <a:ext cx="1909958" cy="415225"/>
                    </a:xfrm>
                    <a:prstGeom prst="rect">
                      <a:avLst/>
                    </a:prstGeom>
                  </pic:spPr>
                </pic:pic>
              </a:graphicData>
            </a:graphic>
          </wp:inline>
        </w:drawing>
      </w:r>
      <w:r>
        <w:rPr>
          <w:bCs/>
        </w:rPr>
        <w:tab/>
      </w:r>
      <w:r>
        <w:rPr>
          <w:bCs/>
        </w:rPr>
        <w:tab/>
      </w:r>
      <w:r>
        <w:rPr>
          <w:bCs/>
        </w:rPr>
        <w:tab/>
        <w:t>March 31, 2023</w:t>
      </w:r>
    </w:p>
    <w:p w14:paraId="2DB0D241" w14:textId="77777777" w:rsidR="00542472" w:rsidRPr="00474495" w:rsidRDefault="00542472" w:rsidP="00500F37">
      <w:pPr>
        <w:rPr>
          <w:sz w:val="22"/>
          <w:szCs w:val="22"/>
        </w:rPr>
      </w:pPr>
      <w:r w:rsidRPr="00474495">
        <w:rPr>
          <w:bCs/>
          <w:sz w:val="22"/>
          <w:szCs w:val="22"/>
        </w:rPr>
        <w:t xml:space="preserve">______________________________                   </w:t>
      </w:r>
      <w:r w:rsidRPr="00474495">
        <w:rPr>
          <w:bCs/>
          <w:sz w:val="22"/>
          <w:szCs w:val="22"/>
        </w:rPr>
        <w:tab/>
        <w:t xml:space="preserve">                          ______________________</w:t>
      </w:r>
    </w:p>
    <w:p w14:paraId="737EDB28" w14:textId="66CA93E7" w:rsidR="00542472" w:rsidRPr="00474495" w:rsidRDefault="00542472" w:rsidP="00500F37">
      <w:pPr>
        <w:rPr>
          <w:sz w:val="22"/>
          <w:szCs w:val="22"/>
        </w:rPr>
      </w:pPr>
      <w:r>
        <w:rPr>
          <w:sz w:val="22"/>
          <w:szCs w:val="22"/>
        </w:rPr>
        <w:t>Alexandra Daum</w:t>
      </w:r>
      <w:r w:rsidRPr="00474495">
        <w:rPr>
          <w:sz w:val="22"/>
          <w:szCs w:val="22"/>
        </w:rPr>
        <w:tab/>
      </w:r>
      <w:r w:rsidRPr="00474495">
        <w:rPr>
          <w:sz w:val="22"/>
          <w:szCs w:val="22"/>
        </w:rPr>
        <w:tab/>
      </w:r>
      <w:r w:rsidRPr="00474495">
        <w:rPr>
          <w:sz w:val="22"/>
          <w:szCs w:val="22"/>
        </w:rPr>
        <w:tab/>
      </w:r>
      <w:r w:rsidRPr="00474495">
        <w:rPr>
          <w:sz w:val="22"/>
          <w:szCs w:val="22"/>
        </w:rPr>
        <w:tab/>
      </w:r>
      <w:r w:rsidR="005D5675">
        <w:rPr>
          <w:sz w:val="22"/>
          <w:szCs w:val="22"/>
        </w:rPr>
        <w:t xml:space="preserve">        </w:t>
      </w:r>
      <w:r w:rsidRPr="00474495">
        <w:rPr>
          <w:sz w:val="22"/>
          <w:szCs w:val="22"/>
        </w:rPr>
        <w:t xml:space="preserve">   Date</w:t>
      </w:r>
    </w:p>
    <w:p w14:paraId="64AA7BAD" w14:textId="77777777" w:rsidR="00542472" w:rsidRPr="00474495" w:rsidRDefault="00542472" w:rsidP="00500F37">
      <w:pPr>
        <w:rPr>
          <w:sz w:val="22"/>
          <w:szCs w:val="22"/>
        </w:rPr>
      </w:pPr>
      <w:r w:rsidRPr="00474495">
        <w:rPr>
          <w:sz w:val="22"/>
          <w:szCs w:val="22"/>
        </w:rPr>
        <w:t>Commissioner, Department of Economic and Community Development</w:t>
      </w:r>
    </w:p>
    <w:p w14:paraId="7B577648" w14:textId="77777777" w:rsidR="00542472" w:rsidRDefault="00542472" w:rsidP="00500F37">
      <w:pPr>
        <w:rPr>
          <w:sz w:val="10"/>
          <w:szCs w:val="10"/>
        </w:rPr>
      </w:pPr>
    </w:p>
    <w:p w14:paraId="6561B193" w14:textId="77777777" w:rsidR="00542472" w:rsidRDefault="00542472" w:rsidP="00500F37">
      <w:pPr>
        <w:rPr>
          <w:sz w:val="10"/>
          <w:szCs w:val="10"/>
        </w:rPr>
      </w:pPr>
    </w:p>
    <w:p w14:paraId="4955E15F" w14:textId="4F0BE639" w:rsidR="00143A91" w:rsidRPr="00500F37" w:rsidRDefault="00542472" w:rsidP="00500F37">
      <w:pPr>
        <w:rPr>
          <w:sz w:val="12"/>
          <w:szCs w:val="12"/>
        </w:rPr>
      </w:pPr>
      <w:r w:rsidRPr="00500F37">
        <w:rPr>
          <w:sz w:val="12"/>
          <w:szCs w:val="12"/>
        </w:rPr>
        <w:t xml:space="preserve">Rev: </w:t>
      </w:r>
      <w:r w:rsidR="00500F37" w:rsidRPr="00500F37">
        <w:rPr>
          <w:sz w:val="12"/>
          <w:szCs w:val="12"/>
        </w:rPr>
        <w:t>3</w:t>
      </w:r>
      <w:r w:rsidRPr="00500F37">
        <w:rPr>
          <w:sz w:val="12"/>
          <w:szCs w:val="12"/>
        </w:rPr>
        <w:t>/202</w:t>
      </w:r>
      <w:r w:rsidR="00500F37" w:rsidRPr="00500F37">
        <w:rPr>
          <w:sz w:val="12"/>
          <w:szCs w:val="12"/>
        </w:rPr>
        <w:t>3</w:t>
      </w:r>
    </w:p>
    <w:sectPr w:rsidR="00143A91" w:rsidRPr="00500F37" w:rsidSect="00DD180E">
      <w:footerReference w:type="default" r:id="rId9"/>
      <w:headerReference w:type="first" r:id="rId10"/>
      <w:footerReference w:type="first" r:id="rId11"/>
      <w:pgSz w:w="12240" w:h="15840"/>
      <w:pgMar w:top="1440" w:right="1440" w:bottom="1440" w:left="1440" w:header="720" w:footer="3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0E01" w14:textId="77777777" w:rsidR="005675DE" w:rsidRDefault="005675DE" w:rsidP="00190F70">
      <w:r>
        <w:separator/>
      </w:r>
    </w:p>
  </w:endnote>
  <w:endnote w:type="continuationSeparator" w:id="0">
    <w:p w14:paraId="45FA1F68" w14:textId="77777777" w:rsidR="005675DE" w:rsidRDefault="005675DE"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kzidenz Grotesk BE Medium">
    <w:altName w:val="Calibri"/>
    <w:panose1 w:val="00000000000000000000"/>
    <w:charset w:val="00"/>
    <w:family w:val="modern"/>
    <w:notTrueType/>
    <w:pitch w:val="variable"/>
    <w:sig w:usb0="8000002F" w:usb1="4000004A" w:usb2="00000000" w:usb3="00000000" w:csb0="00000001" w:csb1="00000000"/>
  </w:font>
  <w:font w:name="Akzidenz Grotesk BE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31DD" w14:textId="77777777" w:rsidR="0047188A" w:rsidRPr="00DD76DA" w:rsidRDefault="0047188A" w:rsidP="0047188A">
    <w:pPr>
      <w:jc w:val="center"/>
      <w:rPr>
        <w:rFonts w:ascii="Akzidenz Grotesk BE Medium" w:hAnsi="Akzidenz Grotesk BE Medium"/>
        <w:color w:val="808080" w:themeColor="background1" w:themeShade="80"/>
        <w:sz w:val="10"/>
        <w:szCs w:val="10"/>
      </w:rPr>
    </w:pPr>
  </w:p>
  <w:p w14:paraId="460FB384" w14:textId="77777777" w:rsidR="0047188A" w:rsidRDefault="0047188A" w:rsidP="0047188A">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P: 860.500.2300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ChooseCT.gov</w:t>
    </w:r>
  </w:p>
  <w:p w14:paraId="6366ACB0" w14:textId="77777777" w:rsidR="0047188A" w:rsidRPr="00DD76DA" w:rsidRDefault="0047188A" w:rsidP="0047188A">
    <w:pPr>
      <w:jc w:val="center"/>
      <w:rPr>
        <w:rFonts w:ascii="Akzidenz Grotesk BE Regular" w:hAnsi="Akzidenz Grotesk BE Regular"/>
        <w:color w:val="808080" w:themeColor="background1" w:themeShade="80"/>
        <w:sz w:val="8"/>
        <w:szCs w:val="8"/>
      </w:rPr>
    </w:pPr>
  </w:p>
  <w:p w14:paraId="74FBBEB1" w14:textId="77777777" w:rsidR="0047188A" w:rsidRPr="005C1D87" w:rsidRDefault="0047188A" w:rsidP="0047188A">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p>
  <w:p w14:paraId="4B8FD4CA" w14:textId="3089F641" w:rsidR="00F976B8" w:rsidRDefault="00F976B8" w:rsidP="00642137">
    <w:pPr>
      <w:pStyle w:val="Footer"/>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CA89" w14:textId="77777777" w:rsidR="0047188A" w:rsidRPr="00DD76DA" w:rsidRDefault="0047188A" w:rsidP="0047188A">
    <w:pPr>
      <w:jc w:val="center"/>
      <w:rPr>
        <w:rFonts w:ascii="Akzidenz Grotesk BE Medium" w:hAnsi="Akzidenz Grotesk BE Medium"/>
        <w:color w:val="808080" w:themeColor="background1" w:themeShade="80"/>
        <w:sz w:val="10"/>
        <w:szCs w:val="10"/>
      </w:rPr>
    </w:pPr>
  </w:p>
  <w:p w14:paraId="314EA663" w14:textId="77777777" w:rsidR="0047188A" w:rsidRDefault="0047188A" w:rsidP="0047188A">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P: 860.500.2300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ChooseCT.gov</w:t>
    </w:r>
  </w:p>
  <w:p w14:paraId="3151FBC8" w14:textId="77777777" w:rsidR="0047188A" w:rsidRPr="00DD76DA" w:rsidRDefault="0047188A" w:rsidP="0047188A">
    <w:pPr>
      <w:jc w:val="center"/>
      <w:rPr>
        <w:rFonts w:ascii="Akzidenz Grotesk BE Regular" w:hAnsi="Akzidenz Grotesk BE Regular"/>
        <w:color w:val="808080" w:themeColor="background1" w:themeShade="80"/>
        <w:sz w:val="8"/>
        <w:szCs w:val="8"/>
      </w:rPr>
    </w:pPr>
  </w:p>
  <w:p w14:paraId="3134FD00" w14:textId="77777777" w:rsidR="0047188A" w:rsidRPr="005C1D87" w:rsidRDefault="0047188A" w:rsidP="0047188A">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p>
  <w:p w14:paraId="24097EBE" w14:textId="77777777" w:rsidR="0047188A" w:rsidRDefault="00471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F665" w14:textId="77777777" w:rsidR="005675DE" w:rsidRDefault="005675DE" w:rsidP="00190F70">
      <w:r>
        <w:separator/>
      </w:r>
    </w:p>
  </w:footnote>
  <w:footnote w:type="continuationSeparator" w:id="0">
    <w:p w14:paraId="624D30B7" w14:textId="77777777" w:rsidR="005675DE" w:rsidRDefault="005675DE"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F8DB" w14:textId="77777777" w:rsidR="00DD180E" w:rsidRDefault="00DD180E" w:rsidP="00DD180E">
    <w:pPr>
      <w:pStyle w:val="Header"/>
    </w:pPr>
    <w:r w:rsidRPr="005D641A">
      <w:rPr>
        <w:noProof/>
      </w:rPr>
      <mc:AlternateContent>
        <mc:Choice Requires="wps">
          <w:drawing>
            <wp:anchor distT="45720" distB="45720" distL="114300" distR="114300" simplePos="0" relativeHeight="251671552" behindDoc="0" locked="0" layoutInCell="1" allowOverlap="1" wp14:anchorId="7669B4A9" wp14:editId="5044A889">
              <wp:simplePos x="0" y="0"/>
              <wp:positionH relativeFrom="margin">
                <wp:posOffset>2260600</wp:posOffset>
              </wp:positionH>
              <wp:positionV relativeFrom="paragraph">
                <wp:posOffset>57150</wp:posOffset>
              </wp:positionV>
              <wp:extent cx="3759200" cy="4191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419100"/>
                      </a:xfrm>
                      <a:prstGeom prst="rect">
                        <a:avLst/>
                      </a:prstGeom>
                      <a:solidFill>
                        <a:srgbClr val="FFFFFF"/>
                      </a:solidFill>
                      <a:ln w="9525">
                        <a:noFill/>
                        <a:miter lim="800000"/>
                        <a:headEnd/>
                        <a:tailEnd/>
                      </a:ln>
                    </wps:spPr>
                    <wps:txbx>
                      <w:txbxContent>
                        <w:p w14:paraId="0158AE52"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 xml:space="preserve">Commissioner </w:t>
                          </w:r>
                          <w:r>
                            <w:rPr>
                              <w:rFonts w:ascii="Akzidenz Grotesk BE Medium" w:hAnsi="Akzidenz Grotesk BE Medium"/>
                              <w:color w:val="7F7F7F" w:themeColor="text1" w:themeTint="80"/>
                              <w:sz w:val="22"/>
                              <w:szCs w:val="22"/>
                            </w:rPr>
                            <w:t>Alexandra Daum</w:t>
                          </w:r>
                        </w:p>
                        <w:p w14:paraId="42244177"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Department of Economic and Community Development</w:t>
                          </w:r>
                        </w:p>
                        <w:p w14:paraId="03F040DF" w14:textId="77777777" w:rsidR="00DD180E" w:rsidRDefault="00DD180E" w:rsidP="00DD180E">
                          <w:pPr>
                            <w:rPr>
                              <w:rFonts w:ascii="Akzidenz Grotesk BE Medium" w:hAnsi="Akzidenz Grotesk BE Medium"/>
                              <w:color w:val="808080" w:themeColor="background1" w:themeShade="80"/>
                              <w:sz w:val="22"/>
                              <w:szCs w:val="22"/>
                            </w:rPr>
                          </w:pPr>
                        </w:p>
                        <w:p w14:paraId="32F56F0C" w14:textId="77777777" w:rsidR="00DD180E" w:rsidRPr="00704501" w:rsidRDefault="00DD180E" w:rsidP="00DD180E">
                          <w:pPr>
                            <w:rPr>
                              <w:rFonts w:ascii="Akzidenz Grotesk BE Medium" w:hAnsi="Akzidenz Grotesk BE Medium"/>
                              <w:color w:val="808080" w:themeColor="background1" w:themeShade="80"/>
                              <w:sz w:val="22"/>
                              <w:szCs w:val="22"/>
                            </w:rPr>
                          </w:pPr>
                        </w:p>
                        <w:p w14:paraId="0CB1F681" w14:textId="77777777" w:rsidR="00DD180E" w:rsidRDefault="00DD180E" w:rsidP="00DD1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9B4A9" id="_x0000_t202" coordsize="21600,21600" o:spt="202" path="m,l,21600r21600,l21600,xe">
              <v:stroke joinstyle="miter"/>
              <v:path gradientshapeok="t" o:connecttype="rect"/>
            </v:shapetype>
            <v:shape id="Text Box 5" o:spid="_x0000_s1026" type="#_x0000_t202" style="position:absolute;margin-left:178pt;margin-top:4.5pt;width:296pt;height:3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" stroked="f">
              <v:textbox>
                <w:txbxContent>
                  <w:p w14:paraId="0158AE52"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 xml:space="preserve">Commissioner </w:t>
                    </w:r>
                    <w:r>
                      <w:rPr>
                        <w:rFonts w:ascii="Akzidenz Grotesk BE Medium" w:hAnsi="Akzidenz Grotesk BE Medium"/>
                        <w:color w:val="7F7F7F" w:themeColor="text1" w:themeTint="80"/>
                        <w:sz w:val="22"/>
                        <w:szCs w:val="22"/>
                      </w:rPr>
                      <w:t>Alexandra Daum</w:t>
                    </w:r>
                  </w:p>
                  <w:p w14:paraId="42244177"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Department of Economic and Community Development</w:t>
                    </w:r>
                  </w:p>
                  <w:p w14:paraId="03F040DF" w14:textId="77777777" w:rsidR="00DD180E" w:rsidRDefault="00DD180E" w:rsidP="00DD180E">
                    <w:pPr>
                      <w:rPr>
                        <w:rFonts w:ascii="Akzidenz Grotesk BE Medium" w:hAnsi="Akzidenz Grotesk BE Medium"/>
                        <w:color w:val="808080" w:themeColor="background1" w:themeShade="80"/>
                        <w:sz w:val="22"/>
                        <w:szCs w:val="22"/>
                      </w:rPr>
                    </w:pPr>
                  </w:p>
                  <w:p w14:paraId="32F56F0C" w14:textId="77777777" w:rsidR="00DD180E" w:rsidRPr="00704501" w:rsidRDefault="00DD180E" w:rsidP="00DD180E">
                    <w:pPr>
                      <w:rPr>
                        <w:rFonts w:ascii="Akzidenz Grotesk BE Medium" w:hAnsi="Akzidenz Grotesk BE Medium"/>
                        <w:color w:val="808080" w:themeColor="background1" w:themeShade="80"/>
                        <w:sz w:val="22"/>
                        <w:szCs w:val="22"/>
                      </w:rPr>
                    </w:pPr>
                  </w:p>
                  <w:p w14:paraId="0CB1F681" w14:textId="77777777" w:rsidR="00DD180E" w:rsidRDefault="00DD180E" w:rsidP="00DD180E"/>
                </w:txbxContent>
              </v:textbox>
              <w10:wrap type="square" anchorx="margin"/>
            </v:shape>
          </w:pict>
        </mc:Fallback>
      </mc:AlternateContent>
    </w:r>
    <w:r>
      <w:rPr>
        <w:noProof/>
      </w:rPr>
      <w:drawing>
        <wp:anchor distT="0" distB="0" distL="114300" distR="114300" simplePos="0" relativeHeight="251669504" behindDoc="1" locked="0" layoutInCell="1" allowOverlap="1" wp14:anchorId="75027465" wp14:editId="7A3844B8">
          <wp:simplePos x="0" y="0"/>
          <wp:positionH relativeFrom="margin">
            <wp:posOffset>0</wp:posOffset>
          </wp:positionH>
          <wp:positionV relativeFrom="page">
            <wp:posOffset>393700</wp:posOffset>
          </wp:positionV>
          <wp:extent cx="1907540" cy="474980"/>
          <wp:effectExtent l="0" t="0" r="0" b="1270"/>
          <wp:wrapNone/>
          <wp:docPr id="7" name="Picture 7"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tableware, plate, dish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474980"/>
                  </a:xfrm>
                  <a:prstGeom prst="rect">
                    <a:avLst/>
                  </a:prstGeom>
                  <a:noFill/>
                </pic:spPr>
              </pic:pic>
            </a:graphicData>
          </a:graphic>
          <wp14:sizeRelH relativeFrom="page">
            <wp14:pctWidth>0</wp14:pctWidth>
          </wp14:sizeRelH>
          <wp14:sizeRelV relativeFrom="page">
            <wp14:pctHeight>0</wp14:pctHeight>
          </wp14:sizeRelV>
        </wp:anchor>
      </w:drawing>
    </w:r>
  </w:p>
  <w:p w14:paraId="72A4AA4B" w14:textId="77777777" w:rsidR="00DD180E" w:rsidRDefault="00DD180E" w:rsidP="00DD180E">
    <w:pPr>
      <w:pStyle w:val="Header"/>
    </w:pPr>
  </w:p>
  <w:p w14:paraId="3225FD0D" w14:textId="77777777" w:rsidR="00DD180E" w:rsidRDefault="00DD180E" w:rsidP="00DD180E">
    <w:pPr>
      <w:pStyle w:val="Header"/>
    </w:pPr>
    <w:r>
      <w:rPr>
        <w:noProof/>
      </w:rPr>
      <mc:AlternateContent>
        <mc:Choice Requires="wps">
          <w:drawing>
            <wp:anchor distT="0" distB="0" distL="114300" distR="114300" simplePos="0" relativeHeight="251670528" behindDoc="0" locked="0" layoutInCell="1" allowOverlap="1" wp14:anchorId="5BB134C3" wp14:editId="384208AA">
              <wp:simplePos x="0" y="0"/>
              <wp:positionH relativeFrom="margin">
                <wp:align>left</wp:align>
              </wp:positionH>
              <wp:positionV relativeFrom="paragraph">
                <wp:posOffset>171450</wp:posOffset>
              </wp:positionV>
              <wp:extent cx="59309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5930900" cy="0"/>
                      </a:xfrm>
                      <a:prstGeom prst="line">
                        <a:avLst/>
                      </a:prstGeom>
                      <a:noFill/>
                      <a:ln w="3175" cap="flat" cmpd="sng" algn="ctr">
                        <a:solidFill>
                          <a:srgbClr val="4F81BD"/>
                        </a:solidFill>
                        <a:prstDash val="solid"/>
                      </a:ln>
                      <a:effectLst/>
                    </wps:spPr>
                    <wps:bodyPr/>
                  </wps:wsp>
                </a:graphicData>
              </a:graphic>
            </wp:anchor>
          </w:drawing>
        </mc:Choice>
        <mc:Fallback>
          <w:pict>
            <v:line w14:anchorId="10AF43CB" id="Straight Connector 6"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3.5pt" to="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" strokecolor="#4f81bd" strokeweight=".25pt">
              <w10:wrap anchorx="margin"/>
            </v:line>
          </w:pict>
        </mc:Fallback>
      </mc:AlternateContent>
    </w:r>
  </w:p>
  <w:p w14:paraId="7BF84310" w14:textId="4BA4665C" w:rsidR="00DD180E" w:rsidRDefault="00DD1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63A4"/>
    <w:multiLevelType w:val="hybridMultilevel"/>
    <w:tmpl w:val="C36C7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A070B21"/>
    <w:multiLevelType w:val="hybridMultilevel"/>
    <w:tmpl w:val="49FEF5E6"/>
    <w:lvl w:ilvl="0" w:tplc="DE1A10A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23ABF"/>
    <w:multiLevelType w:val="hybridMultilevel"/>
    <w:tmpl w:val="E022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697360"/>
    <w:multiLevelType w:val="hybridMultilevel"/>
    <w:tmpl w:val="F070911C"/>
    <w:lvl w:ilvl="0" w:tplc="A860F2A8">
      <w:start w:val="1"/>
      <w:numFmt w:val="bullet"/>
      <w:lvlText w:val=""/>
      <w:lvlJc w:val="left"/>
      <w:pPr>
        <w:tabs>
          <w:tab w:val="num" w:pos="1080"/>
        </w:tabs>
        <w:ind w:left="864" w:hanging="144"/>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0B0363"/>
    <w:multiLevelType w:val="hybridMultilevel"/>
    <w:tmpl w:val="465C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725872">
    <w:abstractNumId w:val="2"/>
  </w:num>
  <w:num w:numId="2" w16cid:durableId="398748097">
    <w:abstractNumId w:val="0"/>
  </w:num>
  <w:num w:numId="3" w16cid:durableId="154802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977069">
    <w:abstractNumId w:val="3"/>
  </w:num>
  <w:num w:numId="5" w16cid:durableId="2009749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70"/>
    <w:rsid w:val="000C3A36"/>
    <w:rsid w:val="0012166D"/>
    <w:rsid w:val="00143A91"/>
    <w:rsid w:val="00190F70"/>
    <w:rsid w:val="001B5421"/>
    <w:rsid w:val="00211EAE"/>
    <w:rsid w:val="00243BB9"/>
    <w:rsid w:val="00253F13"/>
    <w:rsid w:val="002E552F"/>
    <w:rsid w:val="00340AEB"/>
    <w:rsid w:val="003A4DBC"/>
    <w:rsid w:val="00400EB6"/>
    <w:rsid w:val="00457770"/>
    <w:rsid w:val="0047188A"/>
    <w:rsid w:val="00491A37"/>
    <w:rsid w:val="004A04D3"/>
    <w:rsid w:val="004A15CA"/>
    <w:rsid w:val="00500F37"/>
    <w:rsid w:val="00510D7F"/>
    <w:rsid w:val="00542472"/>
    <w:rsid w:val="005675DE"/>
    <w:rsid w:val="005B0D34"/>
    <w:rsid w:val="005C1D87"/>
    <w:rsid w:val="005D5675"/>
    <w:rsid w:val="005D641A"/>
    <w:rsid w:val="005F1449"/>
    <w:rsid w:val="00617634"/>
    <w:rsid w:val="00642137"/>
    <w:rsid w:val="00686F14"/>
    <w:rsid w:val="00694813"/>
    <w:rsid w:val="006A1CBF"/>
    <w:rsid w:val="006A49DA"/>
    <w:rsid w:val="00704501"/>
    <w:rsid w:val="007117EF"/>
    <w:rsid w:val="007370EE"/>
    <w:rsid w:val="007E09B1"/>
    <w:rsid w:val="00861F90"/>
    <w:rsid w:val="008B5FAE"/>
    <w:rsid w:val="008B63A2"/>
    <w:rsid w:val="008F1511"/>
    <w:rsid w:val="0091147C"/>
    <w:rsid w:val="009743D4"/>
    <w:rsid w:val="00997361"/>
    <w:rsid w:val="00A75A36"/>
    <w:rsid w:val="00AE2C20"/>
    <w:rsid w:val="00BF3224"/>
    <w:rsid w:val="00C1243E"/>
    <w:rsid w:val="00D157CB"/>
    <w:rsid w:val="00D5173A"/>
    <w:rsid w:val="00DD180E"/>
    <w:rsid w:val="00DD76DA"/>
    <w:rsid w:val="00DF0C57"/>
    <w:rsid w:val="00E05FE5"/>
    <w:rsid w:val="00E14412"/>
    <w:rsid w:val="00E77A39"/>
    <w:rsid w:val="00ED1832"/>
    <w:rsid w:val="00F96685"/>
    <w:rsid w:val="00F976B8"/>
    <w:rsid w:val="00FB2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0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styleId="NormalWeb">
    <w:name w:val="Normal (Web)"/>
    <w:basedOn w:val="Normal"/>
    <w:unhideWhenUsed/>
    <w:rsid w:val="00DD180E"/>
    <w:pPr>
      <w:spacing w:before="100" w:beforeAutospacing="1" w:after="100" w:afterAutospacing="1"/>
    </w:pPr>
    <w:rPr>
      <w:rFonts w:ascii="Times New Roman" w:hAnsi="Times New Roman" w:cs="Times New Roman"/>
    </w:rPr>
  </w:style>
  <w:style w:type="paragraph" w:styleId="NoSpacing">
    <w:name w:val="No Spacing"/>
    <w:link w:val="NoSpacingChar"/>
    <w:uiPriority w:val="1"/>
    <w:qFormat/>
    <w:rsid w:val="00DD180E"/>
    <w:rPr>
      <w:sz w:val="22"/>
      <w:szCs w:val="22"/>
      <w:lang w:eastAsia="ja-JP"/>
    </w:rPr>
  </w:style>
  <w:style w:type="character" w:customStyle="1" w:styleId="NoSpacingChar">
    <w:name w:val="No Spacing Char"/>
    <w:basedOn w:val="DefaultParagraphFont"/>
    <w:link w:val="NoSpacing"/>
    <w:uiPriority w:val="1"/>
    <w:rsid w:val="00DD180E"/>
    <w:rPr>
      <w:sz w:val="22"/>
      <w:szCs w:val="22"/>
      <w:lang w:eastAsia="ja-JP"/>
    </w:rPr>
  </w:style>
  <w:style w:type="paragraph" w:styleId="Title">
    <w:name w:val="Title"/>
    <w:basedOn w:val="Normal"/>
    <w:link w:val="TitleChar"/>
    <w:qFormat/>
    <w:rsid w:val="00DD180E"/>
    <w:pPr>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DD180E"/>
    <w:rPr>
      <w:rFonts w:ascii="Times New Roman" w:eastAsia="Times New Roman" w:hAnsi="Times New Roman" w:cs="Times New Roman"/>
      <w:b/>
      <w:bCs/>
      <w:u w:val="single"/>
    </w:rPr>
  </w:style>
  <w:style w:type="paragraph" w:styleId="Subtitle">
    <w:name w:val="Subtitle"/>
    <w:basedOn w:val="Normal"/>
    <w:link w:val="SubtitleChar"/>
    <w:qFormat/>
    <w:rsid w:val="00DD180E"/>
    <w:rPr>
      <w:rFonts w:ascii="Times New Roman" w:eastAsia="Times New Roman" w:hAnsi="Times New Roman" w:cs="Times New Roman"/>
      <w:b/>
      <w:bCs/>
      <w:lang w:val="x-none" w:eastAsia="x-none"/>
    </w:rPr>
  </w:style>
  <w:style w:type="character" w:customStyle="1" w:styleId="SubtitleChar">
    <w:name w:val="Subtitle Char"/>
    <w:basedOn w:val="DefaultParagraphFont"/>
    <w:link w:val="Subtitle"/>
    <w:rsid w:val="00DD180E"/>
    <w:rPr>
      <w:rFonts w:ascii="Times New Roman" w:eastAsia="Times New Roman" w:hAnsi="Times New Roman" w:cs="Times New Roman"/>
      <w:b/>
      <w:bCs/>
      <w:lang w:val="x-none" w:eastAsia="x-none"/>
    </w:rPr>
  </w:style>
  <w:style w:type="paragraph" w:customStyle="1" w:styleId="c59">
    <w:name w:val="c59"/>
    <w:basedOn w:val="Normal"/>
    <w:semiHidden/>
    <w:rsid w:val="00DD180E"/>
    <w:pPr>
      <w:widowControl w:val="0"/>
      <w:snapToGrid w:val="0"/>
      <w:spacing w:line="240" w:lineRule="atLeast"/>
      <w:jc w:val="center"/>
    </w:pPr>
    <w:rPr>
      <w:rFonts w:ascii="Times New Roman" w:eastAsia="Times New Roman" w:hAnsi="Times New Roman" w:cs="Times New Roman"/>
      <w:szCs w:val="20"/>
    </w:rPr>
  </w:style>
  <w:style w:type="paragraph" w:styleId="ListParagraph">
    <w:name w:val="List Paragraph"/>
    <w:basedOn w:val="Normal"/>
    <w:uiPriority w:val="34"/>
    <w:qFormat/>
    <w:rsid w:val="007E09B1"/>
    <w:pPr>
      <w:ind w:left="720"/>
    </w:pPr>
    <w:rPr>
      <w:rFonts w:ascii="Calibri" w:eastAsiaTheme="minorHAnsi" w:hAnsi="Calibri" w:cs="Times New Roman"/>
      <w:sz w:val="22"/>
      <w:szCs w:val="22"/>
    </w:rPr>
  </w:style>
  <w:style w:type="paragraph" w:customStyle="1" w:styleId="CAPS">
    <w:name w:val="CAPS"/>
    <w:basedOn w:val="Normal"/>
    <w:link w:val="CAPSChar"/>
    <w:qFormat/>
    <w:rsid w:val="007E09B1"/>
    <w:rPr>
      <w:rFonts w:ascii="Times New Roman" w:eastAsia="Times New Roman" w:hAnsi="Times New Roman" w:cs="Times New Roman"/>
      <w:b/>
      <w:caps/>
      <w:u w:val="single"/>
    </w:rPr>
  </w:style>
  <w:style w:type="character" w:customStyle="1" w:styleId="CAPSChar">
    <w:name w:val="CAPS Char"/>
    <w:basedOn w:val="DefaultParagraphFont"/>
    <w:link w:val="CAPS"/>
    <w:rsid w:val="007E09B1"/>
    <w:rPr>
      <w:rFonts w:ascii="Times New Roman" w:eastAsia="Times New Roman" w:hAnsi="Times New Roman" w:cs="Times New Roman"/>
      <w:b/>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00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914D-9378-4F84-BAE8-988E3575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Watson, Jim</cp:lastModifiedBy>
  <cp:revision>2</cp:revision>
  <dcterms:created xsi:type="dcterms:W3CDTF">2023-04-03T20:51:00Z</dcterms:created>
  <dcterms:modified xsi:type="dcterms:W3CDTF">2023-04-03T20:51:00Z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