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8F" w:rsidRPr="00905581" w:rsidRDefault="00A9048F" w:rsidP="00A9048F">
      <w:pPr>
        <w:rPr>
          <w:rFonts w:cs="Times New Roman"/>
        </w:rPr>
      </w:pPr>
      <w:r w:rsidRPr="00905581">
        <w:rPr>
          <w:rFonts w:cs="Times New Roman"/>
        </w:rPr>
        <w:t xml:space="preserve">The Historic Homes Rehabilitation Tax Credit is intended to provide a 30% tax credit voucher, up to $30,000 per dwelling unit on eligible rehabilitation expenditures that meet the $15,000 minimum expenditure level and can be directly attributed to the long-term preservation of the historic building fabric. </w:t>
      </w:r>
    </w:p>
    <w:p w:rsidR="00905581" w:rsidRPr="00905581" w:rsidRDefault="00905581" w:rsidP="00A9048F">
      <w:pPr>
        <w:rPr>
          <w:color w:val="0A0A0A"/>
        </w:rPr>
      </w:pPr>
      <w:r w:rsidRPr="00905581">
        <w:t>The</w:t>
      </w:r>
      <w:r w:rsidR="00C94A8E">
        <w:t xml:space="preserve"> Historic Homes Rehabilitation</w:t>
      </w:r>
      <w:r w:rsidRPr="00905581">
        <w:t xml:space="preserve"> tax credit voucher is not the same as a check/cash issued to the homeowner. The tax credit voucher can only be </w:t>
      </w:r>
      <w:r w:rsidR="00C94A8E">
        <w:t>used/</w:t>
      </w:r>
      <w:r w:rsidRPr="00905581">
        <w:t>claimed by a C-Corporation to off-set their State income tax. An applicant must sell the voucher to a C-Corporation to obtain funds. A C-corporation is not required to purchase vouchers and they are not required to purchase vouchers dollar-for-dollar. An applicant can find a C-Corporation on their own, engage with a tax credit broker, or work with the SHPO office to facilitate the sale of the voucher to a local energy company. There is no set timeline for payment of the voucher.</w:t>
      </w:r>
      <w:r w:rsidRPr="00905581">
        <w:rPr>
          <w:color w:val="0A0A0A"/>
        </w:rPr>
        <w:t xml:space="preserve"> For those that have used the program previously, please be aware that Eversource Energy will now charge a $.10 administration fee for every $1.00 in historic rehabilitation tax credits it purchases.  Also note that Eversource Energy cannot guarantee that it will purchase any historic rehabilitation tax credits after July 2022.</w:t>
      </w:r>
    </w:p>
    <w:p w:rsidR="00A9048F" w:rsidRPr="00905581" w:rsidRDefault="00A9048F" w:rsidP="00A9048F">
      <w:pPr>
        <w:rPr>
          <w:rFonts w:cs="Times New Roman"/>
        </w:rPr>
      </w:pPr>
      <w:r w:rsidRPr="00905581">
        <w:rPr>
          <w:rFonts w:cs="Times New Roman"/>
        </w:rPr>
        <w:t>To be eligible for this program:</w:t>
      </w:r>
    </w:p>
    <w:p w:rsidR="00A9048F" w:rsidRPr="00905581" w:rsidRDefault="00905581" w:rsidP="00905581">
      <w:pPr>
        <w:pStyle w:val="NormalWeb"/>
        <w:shd w:val="clear" w:color="auto" w:fill="FEFEFE"/>
        <w:ind w:left="720"/>
        <w:rPr>
          <w:rFonts w:asciiTheme="minorHAnsi" w:hAnsiTheme="minorHAnsi"/>
          <w:color w:val="0A0A0A"/>
          <w:sz w:val="22"/>
          <w:szCs w:val="22"/>
        </w:rPr>
      </w:pPr>
      <w:r w:rsidRPr="00905581">
        <w:rPr>
          <w:rStyle w:val="Strong"/>
          <w:rFonts w:asciiTheme="minorHAnsi" w:hAnsiTheme="minorHAnsi"/>
          <w:b w:val="0"/>
          <w:color w:val="0A0A0A"/>
          <w:sz w:val="22"/>
          <w:szCs w:val="22"/>
        </w:rPr>
        <w:t xml:space="preserve">The historic home must be </w:t>
      </w:r>
      <w:r w:rsidR="00A9048F" w:rsidRPr="00905581">
        <w:rPr>
          <w:rStyle w:val="Strong"/>
          <w:rFonts w:asciiTheme="minorHAnsi" w:hAnsiTheme="minorHAnsi"/>
          <w:b w:val="0"/>
          <w:color w:val="0A0A0A"/>
          <w:sz w:val="22"/>
          <w:szCs w:val="22"/>
        </w:rPr>
        <w:t>listed</w:t>
      </w:r>
      <w:r w:rsidR="00A9048F" w:rsidRPr="00905581">
        <w:rPr>
          <w:rFonts w:asciiTheme="minorHAnsi" w:hAnsiTheme="minorHAnsi"/>
          <w:color w:val="0A0A0A"/>
          <w:sz w:val="22"/>
          <w:szCs w:val="22"/>
        </w:rPr>
        <w:t> either individually on the National or State Register of Historic Places, or as a contributing resource in a State or National Register of Historic Places District. </w:t>
      </w:r>
    </w:p>
    <w:p w:rsidR="00A9048F" w:rsidRPr="00905581" w:rsidRDefault="00A9048F" w:rsidP="00905581">
      <w:pPr>
        <w:pStyle w:val="NormalWeb"/>
        <w:shd w:val="clear" w:color="auto" w:fill="FEFEFE"/>
        <w:ind w:left="1440"/>
        <w:rPr>
          <w:rFonts w:asciiTheme="minorHAnsi" w:hAnsiTheme="minorHAnsi"/>
          <w:color w:val="0A0A0A"/>
          <w:sz w:val="22"/>
          <w:szCs w:val="22"/>
        </w:rPr>
      </w:pPr>
      <w:r w:rsidRPr="00905581">
        <w:rPr>
          <w:rFonts w:asciiTheme="minorHAnsi" w:hAnsiTheme="minorHAnsi"/>
          <w:color w:val="0A0A0A"/>
          <w:sz w:val="22"/>
          <w:szCs w:val="22"/>
        </w:rPr>
        <w:t>Currently, you can search the SHPO database for </w:t>
      </w:r>
      <w:hyperlink r:id="rId5" w:tgtFrame="_blank" w:history="1">
        <w:r w:rsidRPr="00905581">
          <w:rPr>
            <w:rStyle w:val="Hyperlink"/>
            <w:rFonts w:asciiTheme="minorHAnsi" w:hAnsiTheme="minorHAnsi"/>
            <w:b/>
            <w:bCs/>
            <w:color w:val="0771BB"/>
            <w:sz w:val="22"/>
            <w:szCs w:val="22"/>
            <w:u w:val="none"/>
          </w:rPr>
          <w:t>the southern half of the state</w:t>
        </w:r>
      </w:hyperlink>
      <w:r w:rsidRPr="00905581">
        <w:rPr>
          <w:rFonts w:asciiTheme="minorHAnsi" w:hAnsiTheme="minorHAnsi"/>
          <w:color w:val="0A0A0A"/>
          <w:sz w:val="22"/>
          <w:szCs w:val="22"/>
        </w:rPr>
        <w:t>.</w:t>
      </w:r>
    </w:p>
    <w:p w:rsidR="00A9048F" w:rsidRPr="00905581" w:rsidRDefault="00A9048F" w:rsidP="00905581">
      <w:pPr>
        <w:pStyle w:val="NormalWeb"/>
        <w:shd w:val="clear" w:color="auto" w:fill="FEFEFE"/>
        <w:ind w:left="1440"/>
        <w:rPr>
          <w:rFonts w:asciiTheme="minorHAnsi" w:hAnsiTheme="minorHAnsi"/>
          <w:color w:val="0A0A0A"/>
          <w:sz w:val="22"/>
          <w:szCs w:val="22"/>
        </w:rPr>
      </w:pPr>
      <w:r w:rsidRPr="00905581">
        <w:rPr>
          <w:rFonts w:asciiTheme="minorHAnsi" w:hAnsiTheme="minorHAnsi"/>
          <w:color w:val="0A0A0A"/>
          <w:sz w:val="22"/>
          <w:szCs w:val="22"/>
        </w:rPr>
        <w:t>You may </w:t>
      </w:r>
      <w:hyperlink r:id="rId6" w:history="1">
        <w:r w:rsidRPr="00905581">
          <w:rPr>
            <w:rStyle w:val="Hyperlink"/>
            <w:rFonts w:asciiTheme="minorHAnsi" w:hAnsiTheme="minorHAnsi"/>
            <w:b/>
            <w:bCs/>
            <w:color w:val="0771BB"/>
            <w:sz w:val="22"/>
            <w:szCs w:val="22"/>
            <w:u w:val="none"/>
          </w:rPr>
          <w:t>contact SHPO</w:t>
        </w:r>
      </w:hyperlink>
      <w:r w:rsidRPr="00905581">
        <w:rPr>
          <w:rFonts w:asciiTheme="minorHAnsi" w:hAnsiTheme="minorHAnsi"/>
          <w:color w:val="0A0A0A"/>
          <w:sz w:val="22"/>
          <w:szCs w:val="22"/>
        </w:rPr>
        <w:t> for information on the northern half of the state. </w:t>
      </w:r>
    </w:p>
    <w:p w:rsidR="00A9048F" w:rsidRPr="00905581" w:rsidRDefault="00A9048F" w:rsidP="00905581">
      <w:pPr>
        <w:pStyle w:val="ListParagraph"/>
        <w:rPr>
          <w:color w:val="0A0A0A"/>
          <w:shd w:val="clear" w:color="auto" w:fill="FEFEFE"/>
        </w:rPr>
      </w:pPr>
      <w:r w:rsidRPr="00905581">
        <w:rPr>
          <w:rStyle w:val="Strong"/>
          <w:b w:val="0"/>
          <w:color w:val="0A0A0A"/>
          <w:shd w:val="clear" w:color="auto" w:fill="FEFEFE"/>
        </w:rPr>
        <w:t>The historic home must contain between 1-4 housing units</w:t>
      </w:r>
      <w:r w:rsidRPr="00905581">
        <w:rPr>
          <w:b/>
          <w:color w:val="0A0A0A"/>
          <w:shd w:val="clear" w:color="auto" w:fill="FEFEFE"/>
        </w:rPr>
        <w:t>.</w:t>
      </w:r>
      <w:r w:rsidRPr="00905581">
        <w:rPr>
          <w:color w:val="0A0A0A"/>
          <w:shd w:val="clear" w:color="auto" w:fill="FEFEFE"/>
        </w:rPr>
        <w:t xml:space="preserve"> Mixed-use properties are ineligible.</w:t>
      </w:r>
    </w:p>
    <w:p w:rsidR="00905581" w:rsidRPr="00905581" w:rsidRDefault="00905581" w:rsidP="00905581">
      <w:pPr>
        <w:pStyle w:val="ListParagraph"/>
        <w:rPr>
          <w:bCs/>
          <w:color w:val="0A0A0A"/>
          <w:shd w:val="clear" w:color="auto" w:fill="FEFEFE"/>
        </w:rPr>
      </w:pPr>
    </w:p>
    <w:p w:rsidR="00A9048F" w:rsidRPr="00905581" w:rsidRDefault="00A9048F" w:rsidP="00905581">
      <w:pPr>
        <w:pStyle w:val="ListParagraph"/>
        <w:rPr>
          <w:color w:val="0A0A0A"/>
          <w:shd w:val="clear" w:color="auto" w:fill="FEFEFE"/>
        </w:rPr>
      </w:pPr>
      <w:r w:rsidRPr="00905581">
        <w:rPr>
          <w:rStyle w:val="Strong"/>
          <w:b w:val="0"/>
          <w:color w:val="0A0A0A"/>
          <w:shd w:val="clear" w:color="auto" w:fill="FEFEFE"/>
        </w:rPr>
        <w:t>The owner must be a taxpayer filing a state of Connecticut tax return</w:t>
      </w:r>
      <w:r w:rsidRPr="00905581">
        <w:rPr>
          <w:color w:val="0A0A0A"/>
          <w:shd w:val="clear" w:color="auto" w:fill="FEFEFE"/>
        </w:rPr>
        <w:t> who possesses title to the historic home, or prospective title to an historic home in the form of a purchase agreement or option to purchase, or a nonprofit housing corporation that possesses such title or prospective title. For homeowners with a purchase agreement or option to purchase, they must possess title by the time the part 3 application is submitted.</w:t>
      </w:r>
    </w:p>
    <w:p w:rsidR="00905581" w:rsidRPr="00905581" w:rsidRDefault="00905581" w:rsidP="00905581">
      <w:pPr>
        <w:pStyle w:val="ListParagraph"/>
        <w:rPr>
          <w:bCs/>
          <w:color w:val="0A0A0A"/>
          <w:shd w:val="clear" w:color="auto" w:fill="FEFEFE"/>
        </w:rPr>
      </w:pPr>
    </w:p>
    <w:p w:rsidR="00905581" w:rsidRPr="00905581" w:rsidRDefault="00A9048F" w:rsidP="00905581">
      <w:pPr>
        <w:pStyle w:val="ListParagraph"/>
        <w:rPr>
          <w:color w:val="0A0A0A"/>
          <w:shd w:val="clear" w:color="auto" w:fill="FEFEFE"/>
        </w:rPr>
      </w:pPr>
      <w:r w:rsidRPr="00905581">
        <w:rPr>
          <w:rStyle w:val="Strong"/>
          <w:b w:val="0"/>
          <w:color w:val="0A0A0A"/>
          <w:shd w:val="clear" w:color="auto" w:fill="FEFEFE"/>
        </w:rPr>
        <w:t>The owner must spend a minimum of $15,000 in approved qualified rehabilitation expenses</w:t>
      </w:r>
      <w:r w:rsidRPr="00905581">
        <w:rPr>
          <w:b/>
          <w:color w:val="0A0A0A"/>
          <w:shd w:val="clear" w:color="auto" w:fill="FEFEFE"/>
        </w:rPr>
        <w:t>.</w:t>
      </w:r>
      <w:r w:rsidRPr="00905581">
        <w:rPr>
          <w:color w:val="0A0A0A"/>
          <w:shd w:val="clear" w:color="auto" w:fill="FEFEFE"/>
        </w:rPr>
        <w:t xml:space="preserve"> </w:t>
      </w:r>
    </w:p>
    <w:p w:rsidR="00905581" w:rsidRPr="00905581" w:rsidRDefault="00905581" w:rsidP="00905581">
      <w:pPr>
        <w:pStyle w:val="ListParagraph"/>
        <w:rPr>
          <w:color w:val="0A0A0A"/>
          <w:shd w:val="clear" w:color="auto" w:fill="FEFEFE"/>
        </w:rPr>
      </w:pPr>
    </w:p>
    <w:p w:rsidR="00A9048F" w:rsidRPr="00905581" w:rsidRDefault="00A9048F" w:rsidP="00905581">
      <w:pPr>
        <w:pStyle w:val="ListParagraph"/>
        <w:rPr>
          <w:rStyle w:val="Strong"/>
          <w:b w:val="0"/>
          <w:color w:val="0A0A0A"/>
          <w:shd w:val="clear" w:color="auto" w:fill="FEFEFE"/>
        </w:rPr>
      </w:pPr>
      <w:r w:rsidRPr="00905581">
        <w:rPr>
          <w:rStyle w:val="Strong"/>
          <w:b w:val="0"/>
          <w:color w:val="0A0A0A"/>
          <w:shd w:val="clear" w:color="auto" w:fill="FEFEFE"/>
        </w:rPr>
        <w:t>The rehabilitation work must meet the Program’s Standards for Rehabilitation.</w:t>
      </w:r>
    </w:p>
    <w:p w:rsidR="00905581" w:rsidRPr="00905581" w:rsidRDefault="00905581" w:rsidP="00905581">
      <w:pPr>
        <w:pStyle w:val="ListParagraph"/>
        <w:rPr>
          <w:rStyle w:val="Strong"/>
          <w:b w:val="0"/>
          <w:color w:val="0A0A0A"/>
          <w:shd w:val="clear" w:color="auto" w:fill="FEFEFE"/>
        </w:rPr>
      </w:pPr>
    </w:p>
    <w:p w:rsidR="00A9048F" w:rsidRPr="00905581" w:rsidRDefault="00A9048F" w:rsidP="00905581">
      <w:pPr>
        <w:pStyle w:val="ListParagraph"/>
        <w:rPr>
          <w:bCs/>
          <w:color w:val="0A0A0A"/>
          <w:shd w:val="clear" w:color="auto" w:fill="FEFEFE"/>
        </w:rPr>
      </w:pPr>
      <w:r w:rsidRPr="00905581">
        <w:rPr>
          <w:rStyle w:val="Strong"/>
          <w:b w:val="0"/>
          <w:color w:val="0A0A0A"/>
          <w:shd w:val="clear" w:color="auto" w:fill="FEFEFE"/>
        </w:rPr>
        <w:t>At least 1 unit must be the owner’s primary residence.</w:t>
      </w:r>
    </w:p>
    <w:p w:rsidR="00C94A8E" w:rsidRPr="00905581" w:rsidRDefault="00A9048F" w:rsidP="00A9048F">
      <w:pPr>
        <w:pStyle w:val="NormalWeb"/>
        <w:shd w:val="clear" w:color="auto" w:fill="FEFEFE"/>
        <w:rPr>
          <w:rFonts w:asciiTheme="minorHAnsi" w:hAnsiTheme="minorHAnsi"/>
          <w:color w:val="0A0A0A"/>
          <w:sz w:val="22"/>
          <w:szCs w:val="22"/>
        </w:rPr>
      </w:pPr>
      <w:r w:rsidRPr="00905581">
        <w:rPr>
          <w:rFonts w:asciiTheme="minorHAnsi" w:hAnsiTheme="minorHAnsi"/>
          <w:color w:val="0A0A0A"/>
          <w:sz w:val="22"/>
          <w:szCs w:val="22"/>
        </w:rPr>
        <w:t xml:space="preserve">There is a multi-part application process. </w:t>
      </w:r>
      <w:r w:rsidR="00905581" w:rsidRPr="00905581">
        <w:rPr>
          <w:rFonts w:asciiTheme="minorHAnsi" w:hAnsiTheme="minorHAnsi"/>
          <w:color w:val="0A0A0A"/>
          <w:sz w:val="22"/>
          <w:szCs w:val="22"/>
        </w:rPr>
        <w:t xml:space="preserve">SHPO staff recommend planning ahead. SHPO staff have 30 days to review each application. If work has started, the project is in-eligible. </w:t>
      </w:r>
    </w:p>
    <w:p w:rsidR="00A9048F" w:rsidRPr="00905581" w:rsidRDefault="00A9048F" w:rsidP="00A9048F">
      <w:pPr>
        <w:pStyle w:val="NormalWeb"/>
        <w:shd w:val="clear" w:color="auto" w:fill="FEFEFE"/>
        <w:rPr>
          <w:rFonts w:asciiTheme="minorHAnsi" w:hAnsiTheme="minorHAnsi"/>
          <w:color w:val="0A0A0A"/>
          <w:sz w:val="22"/>
          <w:szCs w:val="22"/>
        </w:rPr>
      </w:pPr>
      <w:r w:rsidRPr="00905581">
        <w:rPr>
          <w:rFonts w:asciiTheme="minorHAnsi" w:hAnsiTheme="minorHAnsi"/>
          <w:color w:val="0A0A0A"/>
          <w:sz w:val="22"/>
          <w:szCs w:val="22"/>
        </w:rPr>
        <w:t>The part 1 application includes pictures of all 4 sides</w:t>
      </w:r>
      <w:r w:rsidR="00905581" w:rsidRPr="00905581">
        <w:rPr>
          <w:rFonts w:asciiTheme="minorHAnsi" w:hAnsiTheme="minorHAnsi"/>
          <w:color w:val="0A0A0A"/>
          <w:sz w:val="22"/>
          <w:szCs w:val="22"/>
        </w:rPr>
        <w:t xml:space="preserve"> of the home</w:t>
      </w:r>
      <w:r w:rsidRPr="00905581">
        <w:rPr>
          <w:rFonts w:asciiTheme="minorHAnsi" w:hAnsiTheme="minorHAnsi"/>
          <w:color w:val="0A0A0A"/>
          <w:sz w:val="22"/>
          <w:szCs w:val="22"/>
        </w:rPr>
        <w:t>, outbuildings and street views to determine if the building is historic.</w:t>
      </w:r>
    </w:p>
    <w:p w:rsidR="00A9048F" w:rsidRPr="00905581" w:rsidRDefault="00A9048F" w:rsidP="00A9048F">
      <w:pPr>
        <w:pStyle w:val="NormalWeb"/>
        <w:shd w:val="clear" w:color="auto" w:fill="FEFEFE"/>
        <w:rPr>
          <w:rFonts w:asciiTheme="minorHAnsi" w:hAnsiTheme="minorHAnsi"/>
          <w:color w:val="0A0A0A"/>
          <w:sz w:val="22"/>
          <w:szCs w:val="22"/>
        </w:rPr>
      </w:pPr>
      <w:r w:rsidRPr="00905581">
        <w:rPr>
          <w:rFonts w:asciiTheme="minorHAnsi" w:hAnsiTheme="minorHAnsi"/>
          <w:color w:val="0A0A0A"/>
          <w:sz w:val="22"/>
          <w:szCs w:val="22"/>
        </w:rPr>
        <w:lastRenderedPageBreak/>
        <w:t xml:space="preserve">The part 2 application lists each project and a detailed scope of work for each. Photographs are required and an estimated amount backed by a quote is required for each project. </w:t>
      </w:r>
    </w:p>
    <w:p w:rsidR="00A9048F" w:rsidRPr="00905581" w:rsidRDefault="00A9048F" w:rsidP="00A9048F">
      <w:pPr>
        <w:pStyle w:val="NormalWeb"/>
        <w:shd w:val="clear" w:color="auto" w:fill="FEFEFE"/>
        <w:rPr>
          <w:rFonts w:asciiTheme="minorHAnsi" w:hAnsiTheme="minorHAnsi"/>
          <w:color w:val="0A0A0A"/>
          <w:sz w:val="22"/>
          <w:szCs w:val="22"/>
        </w:rPr>
      </w:pPr>
      <w:r w:rsidRPr="00905581">
        <w:rPr>
          <w:rFonts w:asciiTheme="minorHAnsi" w:hAnsiTheme="minorHAnsi"/>
          <w:color w:val="0A0A0A"/>
          <w:sz w:val="22"/>
          <w:szCs w:val="22"/>
        </w:rPr>
        <w:t>The part 1 and part 2 application must be submitted BEFORE any work begins.</w:t>
      </w:r>
    </w:p>
    <w:p w:rsidR="00A9048F" w:rsidRPr="00905581" w:rsidRDefault="00A9048F" w:rsidP="00A9048F">
      <w:pPr>
        <w:pStyle w:val="NormalWeb"/>
        <w:shd w:val="clear" w:color="auto" w:fill="FEFEFE"/>
        <w:rPr>
          <w:rFonts w:asciiTheme="minorHAnsi" w:hAnsiTheme="minorHAnsi"/>
          <w:color w:val="0A0A0A"/>
          <w:sz w:val="22"/>
          <w:szCs w:val="22"/>
        </w:rPr>
      </w:pPr>
      <w:r w:rsidRPr="00905581">
        <w:rPr>
          <w:rFonts w:asciiTheme="minorHAnsi" w:hAnsiTheme="minorHAnsi"/>
          <w:color w:val="0A0A0A"/>
          <w:sz w:val="22"/>
          <w:szCs w:val="22"/>
        </w:rPr>
        <w:t>The part 3 application is submitted AFTER the work is completed. It includes finished project photographs a</w:t>
      </w:r>
      <w:r w:rsidR="00905581" w:rsidRPr="00905581">
        <w:rPr>
          <w:rFonts w:asciiTheme="minorHAnsi" w:hAnsiTheme="minorHAnsi"/>
          <w:color w:val="0A0A0A"/>
          <w:sz w:val="22"/>
          <w:szCs w:val="22"/>
        </w:rPr>
        <w:t>nd receipts or cancelled checks</w:t>
      </w:r>
      <w:r w:rsidRPr="00905581">
        <w:rPr>
          <w:rFonts w:asciiTheme="minorHAnsi" w:hAnsiTheme="minorHAnsi"/>
          <w:color w:val="0A0A0A"/>
          <w:sz w:val="22"/>
          <w:szCs w:val="22"/>
        </w:rPr>
        <w:t xml:space="preserve"> showing that the work was paid for in full and was done according to the approved scope of work in the part 2 application.</w:t>
      </w:r>
    </w:p>
    <w:p w:rsidR="00A9048F" w:rsidRDefault="00A9048F" w:rsidP="00A9048F">
      <w:pPr>
        <w:rPr>
          <w:color w:val="0A0A0A"/>
        </w:rPr>
      </w:pPr>
      <w:r w:rsidRPr="00905581">
        <w:rPr>
          <w:color w:val="0A0A0A"/>
        </w:rPr>
        <w:t>The part 4 application certifies that the property will serve as a primary resident for 5 years or be sold to a new owner who will occupy the property during the five-year occupancy period.</w:t>
      </w:r>
    </w:p>
    <w:p w:rsidR="00C94A8E" w:rsidRDefault="00C94A8E" w:rsidP="00A9048F">
      <w:pPr>
        <w:rPr>
          <w:color w:val="0A0A0A"/>
        </w:rPr>
      </w:pPr>
      <w:r>
        <w:rPr>
          <w:color w:val="0A0A0A"/>
        </w:rPr>
        <w:t>BEFORE STARTING WORK</w:t>
      </w:r>
    </w:p>
    <w:p w:rsidR="00C94A8E" w:rsidRDefault="00C94A8E" w:rsidP="00A9048F">
      <w:pPr>
        <w:rPr>
          <w:color w:val="0A0A0A"/>
        </w:rPr>
      </w:pPr>
      <w:r>
        <w:rPr>
          <w:color w:val="0A0A0A"/>
        </w:rPr>
        <w:t>Application 1</w:t>
      </w:r>
    </w:p>
    <w:p w:rsidR="00C94A8E" w:rsidRDefault="00C94A8E" w:rsidP="00A9048F">
      <w:pPr>
        <w:rPr>
          <w:color w:val="0A0A0A"/>
        </w:rPr>
      </w:pPr>
      <w:r>
        <w:rPr>
          <w:color w:val="0A0A0A"/>
        </w:rPr>
        <w:t>Application 2</w:t>
      </w:r>
    </w:p>
    <w:p w:rsidR="00C94A8E" w:rsidRDefault="00C94A8E" w:rsidP="00A9048F">
      <w:pPr>
        <w:rPr>
          <w:color w:val="0A0A0A"/>
        </w:rPr>
      </w:pPr>
      <w:r>
        <w:rPr>
          <w:color w:val="0A0A0A"/>
        </w:rPr>
        <w:t>AFTER COMPLETING WORK</w:t>
      </w:r>
    </w:p>
    <w:p w:rsidR="00C94A8E" w:rsidRDefault="00C94A8E" w:rsidP="00A9048F">
      <w:pPr>
        <w:rPr>
          <w:color w:val="0A0A0A"/>
        </w:rPr>
      </w:pPr>
      <w:r>
        <w:rPr>
          <w:color w:val="0A0A0A"/>
        </w:rPr>
        <w:t>Application 3</w:t>
      </w:r>
    </w:p>
    <w:p w:rsidR="00C94A8E" w:rsidRPr="00C94A8E" w:rsidRDefault="00C94A8E" w:rsidP="00A9048F">
      <w:pPr>
        <w:rPr>
          <w:color w:val="0A0A0A"/>
        </w:rPr>
      </w:pPr>
      <w:r>
        <w:rPr>
          <w:color w:val="0A0A0A"/>
        </w:rPr>
        <w:t>Application 4</w:t>
      </w:r>
    </w:p>
    <w:p w:rsidR="00A9048F" w:rsidRPr="00905581" w:rsidRDefault="00905581" w:rsidP="00A9048F">
      <w:r w:rsidRPr="00905581">
        <w:t>A</w:t>
      </w:r>
      <w:r w:rsidR="00A9048F" w:rsidRPr="00905581">
        <w:t xml:space="preserve"> tax credit reservation is issued when the part 2 application is approved. The reservation is the amount of money set aside while the owner completes the project—it is calculated based on 30% of the total anticipated project costs. The applicant has 5 years to complete the work before the reservation amount expires. SHPO adds a 10% contingency. </w:t>
      </w:r>
    </w:p>
    <w:p w:rsidR="00A9048F" w:rsidRPr="00905581" w:rsidRDefault="00905581" w:rsidP="00A9048F">
      <w:r w:rsidRPr="00905581">
        <w:t>By</w:t>
      </w:r>
      <w:r w:rsidR="00A9048F" w:rsidRPr="00905581">
        <w:t xml:space="preserve"> statute there is no provision for increasing the amount of a tax credit reservation if the work comes in higher in cost than anticipated.</w:t>
      </w:r>
    </w:p>
    <w:p w:rsidR="00A9048F" w:rsidRPr="00905581" w:rsidRDefault="00905581" w:rsidP="00A9048F">
      <w:r w:rsidRPr="00905581">
        <w:t>The</w:t>
      </w:r>
      <w:r w:rsidR="00A9048F" w:rsidRPr="00905581">
        <w:t xml:space="preserve"> reservation turns into the voucher when the part 3 application is approved. The final voucher amount may vary from the reservation amount. At the end of the project, the applicant wi</w:t>
      </w:r>
      <w:bookmarkStart w:id="0" w:name="_GoBack"/>
      <w:bookmarkEnd w:id="0"/>
      <w:r w:rsidR="00A9048F" w:rsidRPr="00905581">
        <w:t>ll earn the lesser of either the tax credit reservation, or 30% of the project’s final qualified rehabilitation expenditures.</w:t>
      </w:r>
    </w:p>
    <w:p w:rsidR="00905581" w:rsidRPr="00905581" w:rsidRDefault="00905581" w:rsidP="00905581">
      <w:pPr>
        <w:shd w:val="clear" w:color="auto" w:fill="FEFEFE"/>
        <w:spacing w:before="24" w:after="60" w:line="240" w:lineRule="auto"/>
        <w:outlineLvl w:val="2"/>
        <w:rPr>
          <w:rFonts w:eastAsia="Times New Roman" w:cs="Times New Roman"/>
          <w:color w:val="0A0A0A"/>
        </w:rPr>
      </w:pPr>
      <w:r w:rsidRPr="00905581">
        <w:rPr>
          <w:rFonts w:eastAsia="Times New Roman" w:cs="Times New Roman"/>
          <w:color w:val="0A0A0A"/>
        </w:rPr>
        <w:t>Laws/Regulations</w:t>
      </w:r>
    </w:p>
    <w:p w:rsidR="00905581" w:rsidRPr="00905581" w:rsidRDefault="00407D05" w:rsidP="00905581">
      <w:pPr>
        <w:numPr>
          <w:ilvl w:val="0"/>
          <w:numId w:val="6"/>
        </w:numPr>
        <w:shd w:val="clear" w:color="auto" w:fill="FEFEFE"/>
        <w:spacing w:before="120" w:after="120" w:line="240" w:lineRule="auto"/>
        <w:ind w:left="480"/>
        <w:rPr>
          <w:rFonts w:eastAsia="Times New Roman" w:cs="Times New Roman"/>
          <w:color w:val="0A0A0A"/>
        </w:rPr>
      </w:pPr>
      <w:hyperlink r:id="rId7" w:history="1">
        <w:r w:rsidR="00905581" w:rsidRPr="00905581">
          <w:rPr>
            <w:rFonts w:eastAsia="Times New Roman" w:cs="Times New Roman"/>
            <w:b/>
            <w:bCs/>
            <w:color w:val="0771BB"/>
            <w:u w:val="single"/>
          </w:rPr>
          <w:t>Historic Homes Rehabilitation Tax Credit Regulations</w:t>
        </w:r>
      </w:hyperlink>
    </w:p>
    <w:p w:rsidR="00905581" w:rsidRPr="00905581" w:rsidRDefault="00407D05" w:rsidP="00905581">
      <w:pPr>
        <w:numPr>
          <w:ilvl w:val="0"/>
          <w:numId w:val="6"/>
        </w:numPr>
        <w:shd w:val="clear" w:color="auto" w:fill="FEFEFE"/>
        <w:spacing w:before="120" w:after="120" w:line="240" w:lineRule="auto"/>
        <w:ind w:left="480"/>
        <w:rPr>
          <w:rFonts w:eastAsia="Times New Roman" w:cs="Times New Roman"/>
          <w:color w:val="0A0A0A"/>
        </w:rPr>
      </w:pPr>
      <w:hyperlink r:id="rId8" w:history="1">
        <w:r w:rsidR="00905581" w:rsidRPr="00905581">
          <w:rPr>
            <w:rFonts w:eastAsia="Times New Roman" w:cs="Times New Roman"/>
            <w:b/>
            <w:bCs/>
            <w:color w:val="0771BB"/>
            <w:u w:val="single"/>
          </w:rPr>
          <w:t>C.G.S. 10-416</w:t>
        </w:r>
      </w:hyperlink>
      <w:r w:rsidR="00905581" w:rsidRPr="00905581">
        <w:rPr>
          <w:rFonts w:eastAsia="Times New Roman" w:cs="Times New Roman"/>
          <w:color w:val="0A0A0A"/>
        </w:rPr>
        <w:t> Tax Credits for the Rehabilitation of Historic Homes</w:t>
      </w:r>
    </w:p>
    <w:p w:rsidR="00905581" w:rsidRDefault="00905581" w:rsidP="00905581">
      <w:pPr>
        <w:shd w:val="clear" w:color="auto" w:fill="FEFEFE"/>
        <w:spacing w:before="24" w:after="60" w:line="240" w:lineRule="auto"/>
        <w:outlineLvl w:val="2"/>
        <w:rPr>
          <w:rFonts w:eastAsia="Times New Roman" w:cs="Times New Roman"/>
          <w:color w:val="0A0A0A"/>
        </w:rPr>
      </w:pPr>
      <w:r w:rsidRPr="00905581">
        <w:rPr>
          <w:rFonts w:eastAsia="Times New Roman" w:cs="Times New Roman"/>
          <w:color w:val="0A0A0A"/>
        </w:rPr>
        <w:t>Contact</w:t>
      </w:r>
    </w:p>
    <w:p w:rsidR="00905581" w:rsidRPr="00905581" w:rsidRDefault="00905581" w:rsidP="00905581">
      <w:pPr>
        <w:shd w:val="clear" w:color="auto" w:fill="FEFEFE"/>
        <w:spacing w:before="24" w:after="60" w:line="240" w:lineRule="auto"/>
        <w:outlineLvl w:val="2"/>
        <w:rPr>
          <w:rFonts w:eastAsia="Times New Roman" w:cs="Times New Roman"/>
          <w:color w:val="0A0A0A"/>
        </w:rPr>
      </w:pPr>
      <w:r w:rsidRPr="00905581">
        <w:rPr>
          <w:rFonts w:eastAsia="Times New Roman" w:cs="Times New Roman"/>
          <w:color w:val="0A0A0A"/>
        </w:rPr>
        <w:t>Erin Fink, Architectural Preservationist</w:t>
      </w:r>
    </w:p>
    <w:p w:rsidR="00905581" w:rsidRPr="00905581" w:rsidRDefault="00905581" w:rsidP="00905581">
      <w:pPr>
        <w:shd w:val="clear" w:color="auto" w:fill="FEFEFE"/>
        <w:spacing w:before="100" w:beforeAutospacing="1" w:after="100" w:afterAutospacing="1" w:line="240" w:lineRule="auto"/>
        <w:rPr>
          <w:rFonts w:eastAsia="Times New Roman" w:cs="Times New Roman"/>
          <w:color w:val="0A0A0A"/>
        </w:rPr>
      </w:pPr>
      <w:r w:rsidRPr="00905581">
        <w:rPr>
          <w:rFonts w:eastAsia="Times New Roman" w:cs="Times New Roman"/>
          <w:color w:val="0A0A0A"/>
        </w:rPr>
        <w:t>T: 860.500.2426</w:t>
      </w:r>
    </w:p>
    <w:p w:rsidR="00EF21AA" w:rsidRPr="00407D05" w:rsidRDefault="00905581" w:rsidP="00407D05">
      <w:pPr>
        <w:shd w:val="clear" w:color="auto" w:fill="FEFEFE"/>
        <w:spacing w:before="100" w:beforeAutospacing="1" w:after="100" w:afterAutospacing="1" w:line="240" w:lineRule="auto"/>
        <w:rPr>
          <w:rFonts w:eastAsia="Times New Roman" w:cs="Times New Roman"/>
          <w:color w:val="0A0A0A"/>
        </w:rPr>
      </w:pPr>
      <w:r w:rsidRPr="00905581">
        <w:rPr>
          <w:rFonts w:eastAsia="Times New Roman" w:cs="Times New Roman"/>
          <w:color w:val="0A0A0A"/>
        </w:rPr>
        <w:t>E: </w:t>
      </w:r>
      <w:hyperlink r:id="rId9" w:history="1">
        <w:r w:rsidRPr="00905581">
          <w:rPr>
            <w:rFonts w:eastAsia="Times New Roman" w:cs="Times New Roman"/>
            <w:b/>
            <w:bCs/>
            <w:color w:val="0771BB"/>
            <w:u w:val="single"/>
          </w:rPr>
          <w:t>erin.fink@ct.gov</w:t>
        </w:r>
      </w:hyperlink>
      <w:r w:rsidRPr="00905581">
        <w:rPr>
          <w:rFonts w:eastAsia="Times New Roman" w:cs="Times New Roman"/>
          <w:color w:val="0A0A0A"/>
        </w:rPr>
        <w:br/>
        <w:t>Department of Economic and Community Development</w:t>
      </w:r>
      <w:r w:rsidRPr="00905581">
        <w:rPr>
          <w:rFonts w:eastAsia="Times New Roman" w:cs="Times New Roman"/>
          <w:color w:val="0A0A0A"/>
        </w:rPr>
        <w:br/>
        <w:t>Sta</w:t>
      </w:r>
      <w:r w:rsidR="00407D05">
        <w:rPr>
          <w:rFonts w:eastAsia="Times New Roman" w:cs="Times New Roman"/>
          <w:color w:val="0A0A0A"/>
        </w:rPr>
        <w:t>te Historic Preservation Office</w:t>
      </w:r>
    </w:p>
    <w:sectPr w:rsidR="00EF21AA" w:rsidRPr="00407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D32B4"/>
    <w:multiLevelType w:val="hybridMultilevel"/>
    <w:tmpl w:val="B762BD00"/>
    <w:lvl w:ilvl="0" w:tplc="53568C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76B3"/>
    <w:multiLevelType w:val="hybridMultilevel"/>
    <w:tmpl w:val="C13A5882"/>
    <w:lvl w:ilvl="0" w:tplc="53568C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45CB0"/>
    <w:multiLevelType w:val="hybridMultilevel"/>
    <w:tmpl w:val="48A2E0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57850"/>
    <w:multiLevelType w:val="hybridMultilevel"/>
    <w:tmpl w:val="A9083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A44B4"/>
    <w:multiLevelType w:val="hybridMultilevel"/>
    <w:tmpl w:val="BAAC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84E4B"/>
    <w:multiLevelType w:val="multilevel"/>
    <w:tmpl w:val="CD3A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8F"/>
    <w:rsid w:val="00407D05"/>
    <w:rsid w:val="00905581"/>
    <w:rsid w:val="00A9048F"/>
    <w:rsid w:val="00C94A8E"/>
    <w:rsid w:val="00E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D602"/>
  <w15:chartTrackingRefBased/>
  <w15:docId w15:val="{C212097E-9478-4750-9638-DA851BF5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48F"/>
  </w:style>
  <w:style w:type="paragraph" w:styleId="Heading3">
    <w:name w:val="heading 3"/>
    <w:basedOn w:val="Normal"/>
    <w:link w:val="Heading3Char"/>
    <w:uiPriority w:val="9"/>
    <w:qFormat/>
    <w:rsid w:val="009055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4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048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9048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0558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7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-/media/DECD/Historic-Preservation/HistoricHomes_Rehab_TaxCredit/CGS_10-41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ct.gov/-/media/DECD/Historic-Preservation/HistoricHomes_Rehab_TaxCredit/HHREG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yscofield@ct.gov?subject=Historic%20Designation%20Inqui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rtal.ct.gov/DECD/Content/Historic-Preservation/03_Technical_Assistance_Research/Research/Historic-Property-Databa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in.fink@ct.gov?subject=Historic%20Homes%20Rehab%20Tax%20Cr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Erin</dc:creator>
  <cp:keywords/>
  <dc:description/>
  <cp:lastModifiedBy>Fink, Erin</cp:lastModifiedBy>
  <cp:revision>2</cp:revision>
  <dcterms:created xsi:type="dcterms:W3CDTF">2022-01-04T15:08:00Z</dcterms:created>
  <dcterms:modified xsi:type="dcterms:W3CDTF">2022-01-04T15:08:00Z</dcterms:modified>
</cp:coreProperties>
</file>