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92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690"/>
        <w:gridCol w:w="3690"/>
        <w:gridCol w:w="4320"/>
        <w:gridCol w:w="3870"/>
        <w:gridCol w:w="3690"/>
      </w:tblGrid>
      <w:tr w:rsidR="004027A8" w:rsidRPr="009704FD" w:rsidTr="00CB26EF">
        <w:trPr>
          <w:trHeight w:val="350"/>
        </w:trPr>
        <w:tc>
          <w:tcPr>
            <w:tcW w:w="19260" w:type="dxa"/>
            <w:gridSpan w:val="5"/>
          </w:tcPr>
          <w:p w:rsidR="004027A8" w:rsidRPr="006E56E5" w:rsidRDefault="009F2440" w:rsidP="009F2440">
            <w:pPr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bookmarkStart w:id="0" w:name="_GoBack"/>
            <w:bookmarkEnd w:id="0"/>
            <w:r w:rsidRPr="00A6244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DDS REFERENCE FOR HEALTHCARE/</w:t>
            </w:r>
            <w:r w:rsidR="004027A8" w:rsidRPr="00A6244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NURSING SERVICES </w:t>
            </w:r>
          </w:p>
        </w:tc>
      </w:tr>
      <w:tr w:rsidR="00DB4690" w:rsidRPr="00407147" w:rsidTr="008F6A1C">
        <w:trPr>
          <w:trHeight w:val="350"/>
        </w:trPr>
        <w:tc>
          <w:tcPr>
            <w:tcW w:w="3690" w:type="dxa"/>
          </w:tcPr>
          <w:p w:rsidR="00DB4690" w:rsidRPr="00407147" w:rsidRDefault="00470EC1" w:rsidP="00451DC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7147">
              <w:rPr>
                <w:rFonts w:ascii="Times New Roman" w:hAnsi="Times New Roman" w:cs="Times New Roman"/>
                <w:b/>
              </w:rPr>
              <w:t>Community Living Arrangement (</w:t>
            </w:r>
            <w:r w:rsidR="00DB4690" w:rsidRPr="00407147">
              <w:rPr>
                <w:rFonts w:ascii="Times New Roman" w:hAnsi="Times New Roman" w:cs="Times New Roman"/>
                <w:b/>
              </w:rPr>
              <w:t>CLA</w:t>
            </w:r>
            <w:r w:rsidRPr="0040714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90" w:type="dxa"/>
          </w:tcPr>
          <w:p w:rsidR="00DB4690" w:rsidRPr="00407147" w:rsidRDefault="00470EC1" w:rsidP="00775CC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7147">
              <w:rPr>
                <w:rFonts w:ascii="Times New Roman" w:hAnsi="Times New Roman" w:cs="Times New Roman"/>
                <w:b/>
              </w:rPr>
              <w:t>Continuous Residential Supports (</w:t>
            </w:r>
            <w:r w:rsidR="00775CCE" w:rsidRPr="00407147">
              <w:rPr>
                <w:rFonts w:ascii="Times New Roman" w:hAnsi="Times New Roman" w:cs="Times New Roman"/>
                <w:b/>
              </w:rPr>
              <w:t>CRS</w:t>
            </w:r>
            <w:r w:rsidRPr="0040714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320" w:type="dxa"/>
          </w:tcPr>
          <w:p w:rsidR="00D26AA8" w:rsidRPr="00407147" w:rsidRDefault="00470EC1" w:rsidP="006B7C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7147">
              <w:rPr>
                <w:rFonts w:ascii="Times New Roman" w:hAnsi="Times New Roman" w:cs="Times New Roman"/>
                <w:b/>
              </w:rPr>
              <w:t>Individualized Home Supports (</w:t>
            </w:r>
            <w:r w:rsidR="00D26AA8" w:rsidRPr="00407147">
              <w:rPr>
                <w:rFonts w:ascii="Times New Roman" w:hAnsi="Times New Roman" w:cs="Times New Roman"/>
                <w:b/>
              </w:rPr>
              <w:t>IHS</w:t>
            </w:r>
            <w:r w:rsidRPr="00407147">
              <w:rPr>
                <w:rFonts w:ascii="Times New Roman" w:hAnsi="Times New Roman" w:cs="Times New Roman"/>
                <w:b/>
              </w:rPr>
              <w:t>)</w:t>
            </w:r>
          </w:p>
          <w:p w:rsidR="008F101B" w:rsidRPr="00407147" w:rsidRDefault="008F101B" w:rsidP="006B7C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:rsidR="00DB4690" w:rsidRPr="00407147" w:rsidRDefault="00470EC1" w:rsidP="00775CC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7147">
              <w:rPr>
                <w:rFonts w:ascii="Times New Roman" w:hAnsi="Times New Roman" w:cs="Times New Roman"/>
                <w:b/>
              </w:rPr>
              <w:t>Community Companion Home (</w:t>
            </w:r>
            <w:r w:rsidR="00775CCE" w:rsidRPr="00407147">
              <w:rPr>
                <w:rFonts w:ascii="Times New Roman" w:hAnsi="Times New Roman" w:cs="Times New Roman"/>
                <w:b/>
              </w:rPr>
              <w:t>CCH</w:t>
            </w:r>
            <w:r w:rsidRPr="0040714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90" w:type="dxa"/>
          </w:tcPr>
          <w:p w:rsidR="00DB4690" w:rsidRPr="00407147" w:rsidRDefault="008651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7147">
              <w:rPr>
                <w:rFonts w:ascii="Times New Roman" w:hAnsi="Times New Roman" w:cs="Times New Roman"/>
                <w:b/>
              </w:rPr>
              <w:t>Own Home or Family Home</w:t>
            </w:r>
          </w:p>
          <w:p w:rsidR="008651E4" w:rsidRPr="00407147" w:rsidRDefault="008651E4" w:rsidP="003E555E">
            <w:pPr>
              <w:jc w:val="center"/>
              <w:rPr>
                <w:rFonts w:ascii="Times New Roman" w:hAnsi="Times New Roman" w:cs="Times New Roman"/>
              </w:rPr>
            </w:pPr>
            <w:r w:rsidRPr="00407147">
              <w:rPr>
                <w:rFonts w:ascii="Times New Roman" w:hAnsi="Times New Roman" w:cs="Times New Roman"/>
              </w:rPr>
              <w:t xml:space="preserve">Individuals in these settings do not have annualized residential </w:t>
            </w:r>
            <w:r w:rsidR="00D26AA8" w:rsidRPr="00407147">
              <w:rPr>
                <w:rFonts w:ascii="Times New Roman" w:hAnsi="Times New Roman" w:cs="Times New Roman"/>
              </w:rPr>
              <w:t>funding</w:t>
            </w:r>
            <w:r w:rsidRPr="00407147">
              <w:rPr>
                <w:rFonts w:ascii="Times New Roman" w:hAnsi="Times New Roman" w:cs="Times New Roman"/>
              </w:rPr>
              <w:t>.</w:t>
            </w:r>
          </w:p>
        </w:tc>
      </w:tr>
      <w:tr w:rsidR="00775CCE" w:rsidRPr="00407147" w:rsidTr="008F6A1C">
        <w:trPr>
          <w:trHeight w:val="359"/>
        </w:trPr>
        <w:tc>
          <w:tcPr>
            <w:tcW w:w="3690" w:type="dxa"/>
          </w:tcPr>
          <w:p w:rsidR="00BD296A" w:rsidRPr="00407147" w:rsidRDefault="00775CCE" w:rsidP="006B7C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Primary</w:t>
            </w:r>
            <w:r w:rsidR="00493CA7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Care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P</w:t>
            </w:r>
            <w:r w:rsidR="00493CA7" w:rsidRPr="00407147">
              <w:rPr>
                <w:rFonts w:ascii="Times New Roman" w:hAnsi="Times New Roman" w:cs="Times New Roman"/>
                <w:sz w:val="21"/>
                <w:szCs w:val="21"/>
              </w:rPr>
              <w:t>rovider</w:t>
            </w:r>
            <w:r w:rsidR="00646723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(PCP)</w:t>
            </w:r>
          </w:p>
        </w:tc>
        <w:tc>
          <w:tcPr>
            <w:tcW w:w="3690" w:type="dxa"/>
          </w:tcPr>
          <w:p w:rsidR="00F46499" w:rsidRPr="00407147" w:rsidRDefault="00775CCE" w:rsidP="006B7C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Primary </w:t>
            </w:r>
            <w:r w:rsidR="00493CA7" w:rsidRPr="00407147">
              <w:rPr>
                <w:rFonts w:ascii="Times New Roman" w:hAnsi="Times New Roman" w:cs="Times New Roman"/>
                <w:sz w:val="21"/>
                <w:szCs w:val="21"/>
              </w:rPr>
              <w:t>Care Provider</w:t>
            </w:r>
            <w:r w:rsidR="00646723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(PCP)</w:t>
            </w:r>
          </w:p>
        </w:tc>
        <w:tc>
          <w:tcPr>
            <w:tcW w:w="4320" w:type="dxa"/>
          </w:tcPr>
          <w:p w:rsidR="00561F81" w:rsidRPr="00407147" w:rsidRDefault="00775CCE" w:rsidP="006B7C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Primary </w:t>
            </w:r>
            <w:r w:rsidR="00493CA7" w:rsidRPr="00407147">
              <w:rPr>
                <w:rFonts w:ascii="Times New Roman" w:hAnsi="Times New Roman" w:cs="Times New Roman"/>
                <w:sz w:val="21"/>
                <w:szCs w:val="21"/>
              </w:rPr>
              <w:t>Care Provider</w:t>
            </w:r>
            <w:r w:rsidR="00646723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(PCP)</w:t>
            </w:r>
          </w:p>
        </w:tc>
        <w:tc>
          <w:tcPr>
            <w:tcW w:w="3870" w:type="dxa"/>
          </w:tcPr>
          <w:p w:rsidR="00622030" w:rsidRPr="00407147" w:rsidRDefault="00775CCE" w:rsidP="006B7C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Primary </w:t>
            </w:r>
            <w:r w:rsidR="00FC04B5" w:rsidRPr="00407147">
              <w:rPr>
                <w:rFonts w:ascii="Times New Roman" w:hAnsi="Times New Roman" w:cs="Times New Roman"/>
                <w:sz w:val="21"/>
                <w:szCs w:val="21"/>
              </w:rPr>
              <w:t>Care Provider</w:t>
            </w:r>
            <w:r w:rsidR="00646723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(PCP)</w:t>
            </w:r>
          </w:p>
        </w:tc>
        <w:tc>
          <w:tcPr>
            <w:tcW w:w="3690" w:type="dxa"/>
          </w:tcPr>
          <w:p w:rsidR="00F54857" w:rsidRPr="00407147" w:rsidRDefault="00775CCE" w:rsidP="006B7CBA">
            <w:pPr>
              <w:jc w:val="center"/>
              <w:rPr>
                <w:rFonts w:ascii="Times New Roman" w:hAnsi="Times New Roman" w:cs="Times New Roman"/>
              </w:rPr>
            </w:pPr>
            <w:r w:rsidRPr="00407147">
              <w:rPr>
                <w:rFonts w:ascii="Times New Roman" w:hAnsi="Times New Roman" w:cs="Times New Roman"/>
              </w:rPr>
              <w:t xml:space="preserve">Primary </w:t>
            </w:r>
            <w:r w:rsidR="00FC04B5" w:rsidRPr="00407147">
              <w:rPr>
                <w:rFonts w:ascii="Times New Roman" w:hAnsi="Times New Roman" w:cs="Times New Roman"/>
              </w:rPr>
              <w:t>Care Provider</w:t>
            </w:r>
            <w:r w:rsidR="00646723" w:rsidRPr="00407147">
              <w:rPr>
                <w:rFonts w:ascii="Times New Roman" w:hAnsi="Times New Roman" w:cs="Times New Roman"/>
              </w:rPr>
              <w:t xml:space="preserve"> (PCP)</w:t>
            </w:r>
          </w:p>
        </w:tc>
      </w:tr>
      <w:tr w:rsidR="008844A4" w:rsidRPr="00407147" w:rsidTr="00407147">
        <w:trPr>
          <w:trHeight w:val="1340"/>
        </w:trPr>
        <w:tc>
          <w:tcPr>
            <w:tcW w:w="3690" w:type="dxa"/>
          </w:tcPr>
          <w:p w:rsidR="002744B4" w:rsidRPr="00407147" w:rsidRDefault="002744B4" w:rsidP="008651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Registered Nurse (</w:t>
            </w:r>
            <w:r w:rsidR="008651E4" w:rsidRPr="00407147">
              <w:rPr>
                <w:rFonts w:ascii="Times New Roman" w:hAnsi="Times New Roman" w:cs="Times New Roman"/>
                <w:sz w:val="21"/>
                <w:szCs w:val="21"/>
              </w:rPr>
              <w:t>RN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8844A4" w:rsidRPr="00407147" w:rsidRDefault="008651E4" w:rsidP="008651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(employed or contracted)</w:t>
            </w:r>
          </w:p>
          <w:p w:rsidR="005C2A3F" w:rsidRPr="00407147" w:rsidRDefault="005C2A3F" w:rsidP="00BC05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44A4" w:rsidRPr="00407147" w:rsidRDefault="008844A4" w:rsidP="00BC05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24-7 available </w:t>
            </w:r>
            <w:r w:rsidR="00FC04B5" w:rsidRPr="00407147">
              <w:rPr>
                <w:rFonts w:ascii="Times New Roman" w:hAnsi="Times New Roman" w:cs="Times New Roman"/>
                <w:sz w:val="21"/>
                <w:szCs w:val="21"/>
              </w:rPr>
              <w:t>RN on-call</w:t>
            </w:r>
          </w:p>
        </w:tc>
        <w:tc>
          <w:tcPr>
            <w:tcW w:w="3690" w:type="dxa"/>
          </w:tcPr>
          <w:p w:rsidR="002744B4" w:rsidRPr="00407147" w:rsidRDefault="002744B4" w:rsidP="008651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Registered Nurse (</w:t>
            </w:r>
            <w:r w:rsidR="008651E4" w:rsidRPr="00407147">
              <w:rPr>
                <w:rFonts w:ascii="Times New Roman" w:hAnsi="Times New Roman" w:cs="Times New Roman"/>
                <w:sz w:val="21"/>
                <w:szCs w:val="21"/>
              </w:rPr>
              <w:t>RN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8651E4" w:rsidRPr="00407147" w:rsidRDefault="008651E4" w:rsidP="008651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(employed or contracted)</w:t>
            </w:r>
          </w:p>
          <w:p w:rsidR="005C2A3F" w:rsidRPr="00407147" w:rsidRDefault="005C2A3F" w:rsidP="00AF41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44A4" w:rsidRPr="00407147" w:rsidRDefault="008844A4" w:rsidP="00AF415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24-7 available </w:t>
            </w:r>
            <w:r w:rsidR="00FC04B5" w:rsidRPr="00407147">
              <w:rPr>
                <w:rFonts w:ascii="Times New Roman" w:hAnsi="Times New Roman" w:cs="Times New Roman"/>
                <w:sz w:val="21"/>
                <w:szCs w:val="21"/>
              </w:rPr>
              <w:t>RN on-call</w:t>
            </w:r>
          </w:p>
        </w:tc>
        <w:tc>
          <w:tcPr>
            <w:tcW w:w="4320" w:type="dxa"/>
          </w:tcPr>
          <w:p w:rsidR="00D64DD5" w:rsidRPr="00407147" w:rsidRDefault="00D64DD5" w:rsidP="008651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Registered Nurse (</w:t>
            </w:r>
            <w:r w:rsidR="008651E4" w:rsidRPr="00407147">
              <w:rPr>
                <w:rFonts w:ascii="Times New Roman" w:hAnsi="Times New Roman" w:cs="Times New Roman"/>
                <w:sz w:val="21"/>
                <w:szCs w:val="21"/>
              </w:rPr>
              <w:t>RN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D64DD5" w:rsidRPr="00407147" w:rsidRDefault="008651E4" w:rsidP="008651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(employed or contracted) or </w:t>
            </w:r>
          </w:p>
          <w:p w:rsidR="008651E4" w:rsidRPr="00407147" w:rsidRDefault="008651E4" w:rsidP="008651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Primary Care Provider</w:t>
            </w:r>
            <w:r w:rsidR="00D64DD5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(PCP)</w:t>
            </w:r>
          </w:p>
          <w:p w:rsidR="008844A4" w:rsidRPr="00407147" w:rsidRDefault="008F101B" w:rsidP="00815F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If Self-Hire</w:t>
            </w:r>
            <w:r w:rsidR="00BC0564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  <w:r w:rsidR="00815F0C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BC0564" w:rsidRPr="00407147">
              <w:rPr>
                <w:rFonts w:ascii="Times New Roman" w:hAnsi="Times New Roman" w:cs="Times New Roman"/>
                <w:sz w:val="21"/>
                <w:szCs w:val="21"/>
              </w:rPr>
              <w:t>N</w:t>
            </w:r>
            <w:r w:rsidR="00D64DD5" w:rsidRPr="00407147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Agency </w:t>
            </w:r>
            <w:r w:rsidR="00815F0C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or On-Call 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RN</w:t>
            </w:r>
            <w:r w:rsidR="005C2A3F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870" w:type="dxa"/>
          </w:tcPr>
          <w:p w:rsidR="00C960F1" w:rsidRPr="00407147" w:rsidRDefault="00C960F1" w:rsidP="008651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Registered Nurse (</w:t>
            </w:r>
            <w:r w:rsidR="008651E4" w:rsidRPr="00407147">
              <w:rPr>
                <w:rFonts w:ascii="Times New Roman" w:hAnsi="Times New Roman" w:cs="Times New Roman"/>
                <w:sz w:val="21"/>
                <w:szCs w:val="21"/>
              </w:rPr>
              <w:t>RN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FC04B5" w:rsidRPr="00407147" w:rsidRDefault="008651E4" w:rsidP="008651E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(employed or contracted)</w:t>
            </w:r>
          </w:p>
          <w:p w:rsidR="005C2A3F" w:rsidRPr="00407147" w:rsidRDefault="005C2A3F" w:rsidP="00BC05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C04B5" w:rsidRPr="00407147" w:rsidRDefault="00FC04B5" w:rsidP="00BC05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No RN On-Call</w:t>
            </w:r>
          </w:p>
        </w:tc>
        <w:tc>
          <w:tcPr>
            <w:tcW w:w="3690" w:type="dxa"/>
          </w:tcPr>
          <w:p w:rsidR="008844A4" w:rsidRPr="00407147" w:rsidRDefault="00CB6688" w:rsidP="00CB6688">
            <w:pPr>
              <w:rPr>
                <w:rFonts w:ascii="Times New Roman" w:hAnsi="Times New Roman" w:cs="Times New Roman"/>
              </w:rPr>
            </w:pPr>
            <w:r w:rsidRPr="00407147">
              <w:rPr>
                <w:rFonts w:ascii="Times New Roman" w:hAnsi="Times New Roman" w:cs="Times New Roman"/>
              </w:rPr>
              <w:t xml:space="preserve">Individuals who reside in family homes, their own homes, or in apartments are not eligible for </w:t>
            </w:r>
            <w:r w:rsidR="008844A4" w:rsidRPr="00407147">
              <w:rPr>
                <w:rFonts w:ascii="Times New Roman" w:hAnsi="Times New Roman" w:cs="Times New Roman"/>
              </w:rPr>
              <w:t>on-going</w:t>
            </w:r>
            <w:r w:rsidR="008651E4" w:rsidRPr="00407147">
              <w:rPr>
                <w:rFonts w:ascii="Times New Roman" w:hAnsi="Times New Roman" w:cs="Times New Roman"/>
              </w:rPr>
              <w:t xml:space="preserve"> agency employed or contracted</w:t>
            </w:r>
            <w:r w:rsidR="008844A4" w:rsidRPr="00407147">
              <w:rPr>
                <w:rFonts w:ascii="Times New Roman" w:hAnsi="Times New Roman" w:cs="Times New Roman"/>
              </w:rPr>
              <w:t xml:space="preserve"> </w:t>
            </w:r>
            <w:r w:rsidR="001E5850" w:rsidRPr="00407147">
              <w:rPr>
                <w:rFonts w:ascii="Times New Roman" w:hAnsi="Times New Roman" w:cs="Times New Roman"/>
              </w:rPr>
              <w:t xml:space="preserve">nursing </w:t>
            </w:r>
            <w:r w:rsidR="008844A4" w:rsidRPr="00407147">
              <w:rPr>
                <w:rFonts w:ascii="Times New Roman" w:hAnsi="Times New Roman" w:cs="Times New Roman"/>
              </w:rPr>
              <w:t>services</w:t>
            </w:r>
            <w:r w:rsidRPr="00407147">
              <w:rPr>
                <w:rFonts w:ascii="Times New Roman" w:hAnsi="Times New Roman" w:cs="Times New Roman"/>
              </w:rPr>
              <w:t>; however, they may be eligible for VNA services via the PCP referral process.</w:t>
            </w:r>
            <w:r w:rsidR="008844A4" w:rsidRPr="004071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44A4" w:rsidRPr="00407147" w:rsidTr="00407147">
        <w:trPr>
          <w:trHeight w:val="449"/>
        </w:trPr>
        <w:tc>
          <w:tcPr>
            <w:tcW w:w="3690" w:type="dxa"/>
          </w:tcPr>
          <w:p w:rsidR="00345ED9" w:rsidRPr="00407147" w:rsidRDefault="008844A4" w:rsidP="006425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Responsibility for </w:t>
            </w:r>
            <w:r w:rsidR="006425EB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RN </w:t>
            </w:r>
            <w:r w:rsidR="00020406" w:rsidRPr="00407147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oordination</w:t>
            </w:r>
            <w:r w:rsidR="00020406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of health care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, delegation</w:t>
            </w:r>
            <w:r w:rsidR="00020406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of nursing tasks</w:t>
            </w:r>
            <w:r w:rsidR="00D73813" w:rsidRPr="00407147">
              <w:rPr>
                <w:rFonts w:ascii="Times New Roman" w:hAnsi="Times New Roman" w:cs="Times New Roman"/>
                <w:sz w:val="21"/>
                <w:szCs w:val="21"/>
              </w:rPr>
              <w:t>, and hands</w:t>
            </w:r>
            <w:r w:rsidR="002744B4" w:rsidRPr="0040714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D73813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on </w:t>
            </w:r>
            <w:r w:rsidR="00020406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nursing </w:t>
            </w:r>
            <w:r w:rsidR="00D73813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tasks </w:t>
            </w:r>
            <w:r w:rsidR="00B6312E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that </w:t>
            </w:r>
            <w:r w:rsidR="00D73813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cannot be delegated. Nursing care </w:t>
            </w:r>
            <w:r w:rsidR="00DD7ABA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plan, </w:t>
            </w:r>
            <w:r w:rsidR="00710E83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support for discharge planning, </w:t>
            </w:r>
            <w:r w:rsidR="00DD7ABA" w:rsidRPr="00407147">
              <w:rPr>
                <w:rFonts w:ascii="Times New Roman" w:hAnsi="Times New Roman" w:cs="Times New Roman"/>
                <w:sz w:val="21"/>
                <w:szCs w:val="21"/>
              </w:rPr>
              <w:t>DDS</w:t>
            </w:r>
            <w:r w:rsidR="002744B4" w:rsidRPr="0040714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DD7ABA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required assessments </w:t>
            </w:r>
            <w:r w:rsidR="002744B4" w:rsidRPr="00407147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r w:rsidR="00D73813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reports</w:t>
            </w:r>
            <w:r w:rsidR="00DD7ABA" w:rsidRPr="00407147">
              <w:rPr>
                <w:rFonts w:ascii="Times New Roman" w:hAnsi="Times New Roman" w:cs="Times New Roman"/>
                <w:sz w:val="21"/>
                <w:szCs w:val="21"/>
              </w:rPr>
              <w:t>. Request for referral for additional nursing</w:t>
            </w:r>
            <w:r w:rsidR="002744B4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r w:rsidR="00DD7ABA" w:rsidRPr="00407147">
              <w:rPr>
                <w:rFonts w:ascii="Times New Roman" w:hAnsi="Times New Roman" w:cs="Times New Roman"/>
                <w:sz w:val="21"/>
                <w:szCs w:val="21"/>
              </w:rPr>
              <w:t>therapy</w:t>
            </w:r>
            <w:r w:rsidR="002744B4" w:rsidRPr="0040714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DD7ABA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as needed. </w:t>
            </w:r>
          </w:p>
          <w:p w:rsidR="006F2551" w:rsidRPr="00407147" w:rsidRDefault="006F25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844A4" w:rsidRPr="00407147" w:rsidRDefault="00DD7ABA" w:rsidP="006E56E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Nursing costs are w</w:t>
            </w:r>
            <w:r w:rsidR="002744B4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ith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in the LON rate. Average </w:t>
            </w:r>
            <w:r w:rsidR="006425EB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Hours based on </w:t>
            </w:r>
            <w:r w:rsidR="002744B4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an </w:t>
            </w:r>
            <w:r w:rsidR="006425EB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individual’s need</w:t>
            </w:r>
            <w:r w:rsidR="00B6312E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s</w:t>
            </w:r>
            <w:r w:rsidR="006425EB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690" w:type="dxa"/>
          </w:tcPr>
          <w:p w:rsidR="00345ED9" w:rsidRPr="00407147" w:rsidRDefault="008844A4" w:rsidP="008844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Responsibility for </w:t>
            </w:r>
            <w:r w:rsidR="006425EB" w:rsidRPr="00407147">
              <w:rPr>
                <w:rFonts w:ascii="Times New Roman" w:hAnsi="Times New Roman" w:cs="Times New Roman"/>
                <w:sz w:val="21"/>
                <w:szCs w:val="21"/>
              </w:rPr>
              <w:t>RN</w:t>
            </w:r>
            <w:r w:rsidR="00861462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20406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coordination of health care, delegation of nursing tasks, and hands-on nursing tasks that cannot be delegated. </w:t>
            </w:r>
            <w:r w:rsidR="00D73813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Nursing care plan, </w:t>
            </w:r>
            <w:r w:rsidR="00710E83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support for discharge </w:t>
            </w:r>
            <w:r w:rsidR="009604D5" w:rsidRPr="00407147">
              <w:rPr>
                <w:rFonts w:ascii="Times New Roman" w:hAnsi="Times New Roman" w:cs="Times New Roman"/>
                <w:sz w:val="21"/>
                <w:szCs w:val="21"/>
              </w:rPr>
              <w:t>planning, DDS</w:t>
            </w:r>
            <w:r w:rsidR="00B6312E" w:rsidRPr="0040714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D73813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required assessments </w:t>
            </w:r>
            <w:r w:rsidR="00B6312E" w:rsidRPr="00407147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r w:rsidR="00D73813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reports</w:t>
            </w:r>
            <w:r w:rsidR="00B6312E" w:rsidRPr="0040714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DD7ABA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Request for referral for additi</w:t>
            </w:r>
            <w:r w:rsidR="00CF566E" w:rsidRPr="00407147">
              <w:rPr>
                <w:rFonts w:ascii="Times New Roman" w:hAnsi="Times New Roman" w:cs="Times New Roman"/>
                <w:sz w:val="21"/>
                <w:szCs w:val="21"/>
              </w:rPr>
              <w:t>onal nursing</w:t>
            </w:r>
            <w:r w:rsidR="00B6312E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r w:rsidR="00CF566E" w:rsidRPr="00407147">
              <w:rPr>
                <w:rFonts w:ascii="Times New Roman" w:hAnsi="Times New Roman" w:cs="Times New Roman"/>
                <w:sz w:val="21"/>
                <w:szCs w:val="21"/>
              </w:rPr>
              <w:t>therapy</w:t>
            </w:r>
            <w:r w:rsidR="00B6312E" w:rsidRPr="0040714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CF566E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as needed.</w:t>
            </w:r>
          </w:p>
          <w:p w:rsidR="006F2551" w:rsidRPr="00407147" w:rsidRDefault="006F25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844A4" w:rsidRPr="00407147" w:rsidRDefault="00DD7ABA" w:rsidP="006E56E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Nursing costs are w</w:t>
            </w:r>
            <w:r w:rsidR="00B6312E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ith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in the LON rate. </w:t>
            </w:r>
            <w:r w:rsidR="00861462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Average Hours based on </w:t>
            </w:r>
            <w:r w:rsidR="002744B4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an </w:t>
            </w:r>
            <w:r w:rsidR="00861462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individual’s need</w:t>
            </w:r>
            <w:r w:rsidR="00B6312E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s</w:t>
            </w:r>
            <w:r w:rsidR="00861462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320" w:type="dxa"/>
          </w:tcPr>
          <w:p w:rsidR="008844A4" w:rsidRPr="00407147" w:rsidRDefault="008844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Responsible for DDS</w:t>
            </w:r>
            <w:r w:rsidR="00B6312E" w:rsidRPr="0040714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required assessments </w:t>
            </w:r>
            <w:r w:rsidR="00B6312E" w:rsidRPr="00407147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reports and any services needed by the </w:t>
            </w:r>
            <w:r w:rsidR="00B6312E" w:rsidRPr="00407147">
              <w:rPr>
                <w:rFonts w:ascii="Times New Roman" w:hAnsi="Times New Roman" w:cs="Times New Roman"/>
                <w:sz w:val="21"/>
                <w:szCs w:val="21"/>
              </w:rPr>
              <w:t>individual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6F2551" w:rsidRPr="00407147" w:rsidRDefault="006F2551" w:rsidP="006F2551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ind w:left="342" w:hanging="342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Community Health and Safety Assessment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(Initial and when returning from a hospital or SNF admission)</w:t>
            </w:r>
          </w:p>
          <w:p w:rsidR="006F2551" w:rsidRPr="00407147" w:rsidRDefault="006F2551" w:rsidP="006F2551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ind w:left="342" w:hanging="342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Self-Administration of Medication Assessment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(Initial and annually)</w:t>
            </w:r>
          </w:p>
          <w:p w:rsidR="006F2551" w:rsidRPr="00407147" w:rsidRDefault="006F2551" w:rsidP="006F2551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ind w:left="342" w:hanging="342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Quarterly Health Reviews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with Healthcare Coordination (HCC); 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Semiannual or Annual Health Reviews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without HCC (Annual reviews may be sufficient for those individuals with minimum medical issues.)</w:t>
            </w:r>
          </w:p>
          <w:p w:rsidR="006F2551" w:rsidRPr="00407147" w:rsidRDefault="006F2551" w:rsidP="006F2551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ind w:left="342" w:hanging="342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Fall Risk Assessment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for any individual who meets the Fall Risk criteria (Fall Risk Assessment is reviewed annually by the Planning and Support Team</w:t>
            </w:r>
            <w:r w:rsidR="00020406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(PST)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. Screening may be adequate based upon the review’s outcome.)</w:t>
            </w:r>
          </w:p>
          <w:p w:rsidR="006F2551" w:rsidRPr="00407147" w:rsidRDefault="006F2551" w:rsidP="006F2551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ind w:left="342" w:hanging="342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DDS Coordination of Care Agreement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(Required when a homecare or visiting nurse </w:t>
            </w:r>
            <w:r w:rsidRPr="00407147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and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an agency nurse are involved with an individual’s care.)</w:t>
            </w:r>
          </w:p>
          <w:p w:rsidR="006F2551" w:rsidRPr="00407147" w:rsidRDefault="006F2551" w:rsidP="006F2551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ind w:left="342" w:hanging="342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LON 1-3: Costs are within the rate.</w:t>
            </w:r>
          </w:p>
          <w:p w:rsidR="008844A4" w:rsidRPr="00407147" w:rsidRDefault="006F2551" w:rsidP="006F2551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ind w:left="342" w:hanging="342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LON 4-8: May qualify for Healthcare Coordination.</w:t>
            </w:r>
          </w:p>
        </w:tc>
        <w:tc>
          <w:tcPr>
            <w:tcW w:w="3870" w:type="dxa"/>
          </w:tcPr>
          <w:p w:rsidR="008844A4" w:rsidRPr="00407147" w:rsidRDefault="008844A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No </w:t>
            </w:r>
            <w:r w:rsidR="001C1029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direct 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nursing</w:t>
            </w:r>
            <w:r w:rsidR="001C1029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services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. No delegation</w:t>
            </w:r>
            <w:r w:rsidR="00020406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of nursing tasks</w:t>
            </w:r>
            <w:r w:rsidR="005C6CBC" w:rsidRPr="0040714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F78A7" w:rsidRPr="00407147" w:rsidRDefault="001F7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7ABA" w:rsidRPr="00407147" w:rsidRDefault="00A775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CCH </w:t>
            </w:r>
            <w:r w:rsidR="008844A4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Licensee or </w:t>
            </w:r>
            <w:r w:rsidR="001F78A7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Visiting Nurse </w:t>
            </w:r>
            <w:r w:rsidR="008844A4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may administer </w:t>
            </w:r>
            <w:r w:rsidR="001C1029" w:rsidRPr="00407147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8844A4" w:rsidRPr="00407147">
              <w:rPr>
                <w:rFonts w:ascii="Times New Roman" w:hAnsi="Times New Roman" w:cs="Times New Roman"/>
                <w:sz w:val="21"/>
                <w:szCs w:val="21"/>
              </w:rPr>
              <w:t>edications</w:t>
            </w:r>
            <w:r w:rsidR="00E53745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r w:rsidR="008844A4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treatments. </w:t>
            </w:r>
          </w:p>
          <w:p w:rsidR="00E925D7" w:rsidRPr="00407147" w:rsidRDefault="00E925D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44A4" w:rsidRPr="00407147" w:rsidRDefault="00DD7ABA" w:rsidP="009F75C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Costs are within the Agency Administration payment based upon </w:t>
            </w:r>
            <w:r w:rsidR="00E53745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the individual’s 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LON score.</w:t>
            </w:r>
            <w:r w:rsidR="008844A4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690" w:type="dxa"/>
          </w:tcPr>
          <w:p w:rsidR="008844A4" w:rsidRPr="00407147" w:rsidRDefault="008844A4" w:rsidP="001F78A7">
            <w:pPr>
              <w:rPr>
                <w:rFonts w:ascii="Times New Roman" w:hAnsi="Times New Roman" w:cs="Times New Roman"/>
              </w:rPr>
            </w:pPr>
            <w:r w:rsidRPr="00407147">
              <w:rPr>
                <w:rFonts w:ascii="Times New Roman" w:hAnsi="Times New Roman" w:cs="Times New Roman"/>
              </w:rPr>
              <w:t xml:space="preserve">Case manager </w:t>
            </w:r>
            <w:r w:rsidR="00E53745" w:rsidRPr="00407147">
              <w:rPr>
                <w:rFonts w:ascii="Times New Roman" w:hAnsi="Times New Roman" w:cs="Times New Roman"/>
              </w:rPr>
              <w:t xml:space="preserve">may </w:t>
            </w:r>
            <w:r w:rsidRPr="00407147">
              <w:rPr>
                <w:rFonts w:ascii="Times New Roman" w:hAnsi="Times New Roman" w:cs="Times New Roman"/>
              </w:rPr>
              <w:t xml:space="preserve">request a Nursing consult through an </w:t>
            </w:r>
            <w:r w:rsidR="0040785D" w:rsidRPr="00407147">
              <w:rPr>
                <w:rFonts w:ascii="Times New Roman" w:hAnsi="Times New Roman" w:cs="Times New Roman"/>
              </w:rPr>
              <w:t>Access Resources Form</w:t>
            </w:r>
            <w:r w:rsidR="0044110B" w:rsidRPr="00407147">
              <w:rPr>
                <w:rFonts w:ascii="Times New Roman" w:hAnsi="Times New Roman" w:cs="Times New Roman"/>
              </w:rPr>
              <w:t xml:space="preserve"> (ARF</w:t>
            </w:r>
            <w:r w:rsidR="0040785D" w:rsidRPr="00407147">
              <w:rPr>
                <w:rFonts w:ascii="Times New Roman" w:hAnsi="Times New Roman" w:cs="Times New Roman"/>
              </w:rPr>
              <w:t>)</w:t>
            </w:r>
            <w:r w:rsidRPr="00407147">
              <w:rPr>
                <w:rFonts w:ascii="Times New Roman" w:hAnsi="Times New Roman" w:cs="Times New Roman"/>
              </w:rPr>
              <w:t xml:space="preserve"> to do an assessment </w:t>
            </w:r>
            <w:r w:rsidR="0044110B" w:rsidRPr="00407147">
              <w:rPr>
                <w:rFonts w:ascii="Times New Roman" w:hAnsi="Times New Roman" w:cs="Times New Roman"/>
              </w:rPr>
              <w:t>and</w:t>
            </w:r>
            <w:r w:rsidRPr="00407147">
              <w:rPr>
                <w:rFonts w:ascii="Times New Roman" w:hAnsi="Times New Roman" w:cs="Times New Roman"/>
              </w:rPr>
              <w:t xml:space="preserve"> ma</w:t>
            </w:r>
            <w:r w:rsidR="008651E4" w:rsidRPr="00407147">
              <w:rPr>
                <w:rFonts w:ascii="Times New Roman" w:hAnsi="Times New Roman" w:cs="Times New Roman"/>
              </w:rPr>
              <w:t>k</w:t>
            </w:r>
            <w:r w:rsidRPr="00407147">
              <w:rPr>
                <w:rFonts w:ascii="Times New Roman" w:hAnsi="Times New Roman" w:cs="Times New Roman"/>
              </w:rPr>
              <w:t>e recommendations.</w:t>
            </w:r>
          </w:p>
        </w:tc>
      </w:tr>
      <w:tr w:rsidR="0039124D" w:rsidRPr="00407147" w:rsidTr="00407147">
        <w:trPr>
          <w:trHeight w:val="845"/>
        </w:trPr>
        <w:tc>
          <w:tcPr>
            <w:tcW w:w="3690" w:type="dxa"/>
          </w:tcPr>
          <w:p w:rsidR="0039124D" w:rsidRPr="00407147" w:rsidRDefault="0039124D" w:rsidP="000D125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7147">
              <w:rPr>
                <w:rFonts w:ascii="Times New Roman" w:hAnsi="Times New Roman" w:cs="Times New Roman"/>
                <w:b/>
              </w:rPr>
              <w:lastRenderedPageBreak/>
              <w:t>Community Living Arrangement (CLA)</w:t>
            </w:r>
          </w:p>
        </w:tc>
        <w:tc>
          <w:tcPr>
            <w:tcW w:w="3690" w:type="dxa"/>
          </w:tcPr>
          <w:p w:rsidR="0039124D" w:rsidRPr="00407147" w:rsidRDefault="0039124D" w:rsidP="000D125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7147">
              <w:rPr>
                <w:rFonts w:ascii="Times New Roman" w:hAnsi="Times New Roman" w:cs="Times New Roman"/>
                <w:b/>
              </w:rPr>
              <w:t>Continuous Residential Supports (CRS)</w:t>
            </w:r>
          </w:p>
        </w:tc>
        <w:tc>
          <w:tcPr>
            <w:tcW w:w="4320" w:type="dxa"/>
          </w:tcPr>
          <w:p w:rsidR="0039124D" w:rsidRPr="00407147" w:rsidRDefault="0039124D" w:rsidP="000D12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7147">
              <w:rPr>
                <w:rFonts w:ascii="Times New Roman" w:hAnsi="Times New Roman" w:cs="Times New Roman"/>
                <w:b/>
              </w:rPr>
              <w:t>Individualized Home Supports (IHS)</w:t>
            </w:r>
          </w:p>
          <w:p w:rsidR="0039124D" w:rsidRPr="00407147" w:rsidRDefault="0039124D" w:rsidP="000D12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:rsidR="0039124D" w:rsidRPr="00407147" w:rsidRDefault="0039124D" w:rsidP="000D125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7147">
              <w:rPr>
                <w:rFonts w:ascii="Times New Roman" w:hAnsi="Times New Roman" w:cs="Times New Roman"/>
                <w:b/>
              </w:rPr>
              <w:t>Community Companion Home (CCH)</w:t>
            </w:r>
          </w:p>
        </w:tc>
        <w:tc>
          <w:tcPr>
            <w:tcW w:w="3690" w:type="dxa"/>
          </w:tcPr>
          <w:p w:rsidR="0039124D" w:rsidRPr="00407147" w:rsidRDefault="0039124D" w:rsidP="000D12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7147">
              <w:rPr>
                <w:rFonts w:ascii="Times New Roman" w:hAnsi="Times New Roman" w:cs="Times New Roman"/>
                <w:b/>
              </w:rPr>
              <w:t>Own Home or Family Home</w:t>
            </w:r>
          </w:p>
          <w:p w:rsidR="0039124D" w:rsidRPr="00407147" w:rsidRDefault="0039124D" w:rsidP="003E555E">
            <w:pPr>
              <w:jc w:val="center"/>
              <w:rPr>
                <w:rFonts w:ascii="Times New Roman" w:hAnsi="Times New Roman" w:cs="Times New Roman"/>
              </w:rPr>
            </w:pPr>
            <w:r w:rsidRPr="00407147">
              <w:rPr>
                <w:rFonts w:ascii="Times New Roman" w:hAnsi="Times New Roman" w:cs="Times New Roman"/>
              </w:rPr>
              <w:t>Individuals in these settings do not have annualized residential funding</w:t>
            </w:r>
            <w:r w:rsidR="003E555E" w:rsidRPr="00407147">
              <w:rPr>
                <w:rFonts w:ascii="Times New Roman" w:hAnsi="Times New Roman" w:cs="Times New Roman"/>
              </w:rPr>
              <w:t>.</w:t>
            </w:r>
          </w:p>
        </w:tc>
      </w:tr>
      <w:tr w:rsidR="008844A4" w:rsidRPr="00407147" w:rsidTr="008F6A1C">
        <w:trPr>
          <w:trHeight w:val="4580"/>
        </w:trPr>
        <w:tc>
          <w:tcPr>
            <w:tcW w:w="3690" w:type="dxa"/>
          </w:tcPr>
          <w:p w:rsidR="00D26AA8" w:rsidRPr="00407147" w:rsidRDefault="000C0F5F" w:rsidP="00D26A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Visiting Nurse Agency (</w:t>
            </w:r>
            <w:r w:rsidR="008844A4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VNA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) </w:t>
            </w:r>
            <w:r w:rsidR="008844A4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D26AA8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Primary Care Provider (</w:t>
            </w:r>
            <w:r w:rsidR="00D26AA8" w:rsidRPr="00407147">
              <w:rPr>
                <w:rFonts w:ascii="Times New Roman" w:hAnsi="Times New Roman" w:cs="Times New Roman"/>
                <w:sz w:val="21"/>
                <w:szCs w:val="21"/>
              </w:rPr>
              <w:t>PCP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D26AA8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makes the referral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80C68" w:rsidRPr="00407147" w:rsidRDefault="00080C68" w:rsidP="00775CC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651E4" w:rsidRPr="00407147" w:rsidRDefault="008651E4" w:rsidP="00775C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Eligibility for VNA is limited </w:t>
            </w:r>
            <w:proofErr w:type="gramStart"/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to </w:t>
            </w:r>
            <w:r w:rsidR="00345ED9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7B2B7F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direct</w:t>
            </w:r>
            <w:proofErr w:type="gramEnd"/>
            <w:r w:rsidR="007B2B7F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skilled nursing services, such as, injections, wound care, </w:t>
            </w:r>
            <w:r w:rsidR="00020406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or </w:t>
            </w:r>
            <w:r w:rsidR="007B2B7F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specific 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RN assessments</w:t>
            </w:r>
            <w:r w:rsidR="00EF0119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which</w:t>
            </w:r>
            <w:r w:rsidR="008844A4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cannot be delegated</w:t>
            </w:r>
            <w:r w:rsidR="00020406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216256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C0F5F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 </w:t>
            </w:r>
            <w:r w:rsidR="00020406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visiting nurse 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cannot </w:t>
            </w:r>
            <w:r w:rsidR="000C0F5F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be </w:t>
            </w:r>
            <w:r w:rsidR="00020406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utilized</w:t>
            </w:r>
            <w:r w:rsidR="000C0F5F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if there are 24/7 direct care nursing supports in the home.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BC0564" w:rsidRPr="00407147" w:rsidRDefault="00BC0564" w:rsidP="00775C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20F7" w:rsidRPr="00407147" w:rsidRDefault="00C320F7" w:rsidP="00C320F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A DDS Coordination of Care Agreement is required when a VNA is involved.  A </w:t>
            </w:r>
            <w:r w:rsidR="00020406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visiting nurse 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is not intended for </w:t>
            </w:r>
            <w:r w:rsidR="00020406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routine 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medication administration.</w:t>
            </w:r>
          </w:p>
          <w:p w:rsidR="00C320F7" w:rsidRPr="00407147" w:rsidRDefault="00C320F7" w:rsidP="00C320F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Post-hospitalization </w:t>
            </w:r>
            <w:r w:rsidR="00020406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visiting nurse 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services may be available with a physician’s order.</w:t>
            </w:r>
          </w:p>
          <w:p w:rsidR="00C320F7" w:rsidRPr="00407147" w:rsidRDefault="00C320F7" w:rsidP="00C320F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Hospice services are available.</w:t>
            </w:r>
          </w:p>
          <w:p w:rsidR="008651E4" w:rsidRPr="00407147" w:rsidRDefault="00C320F7" w:rsidP="00BC735D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VNA is a service</w:t>
            </w:r>
            <w:r w:rsidR="00BC735D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benefit</w:t>
            </w:r>
            <w:r w:rsidR="00BC735D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, or 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entitlement funded through insurance.</w:t>
            </w:r>
          </w:p>
        </w:tc>
        <w:tc>
          <w:tcPr>
            <w:tcW w:w="3690" w:type="dxa"/>
          </w:tcPr>
          <w:p w:rsidR="00D26AA8" w:rsidRPr="00407147" w:rsidRDefault="000C0F5F" w:rsidP="008651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Visiting Nurse Agency (</w:t>
            </w:r>
            <w:r w:rsidR="008651E4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VNA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) </w:t>
            </w:r>
            <w:r w:rsidR="008651E4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D26AA8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Primary Care Provider (</w:t>
            </w:r>
            <w:r w:rsidR="00D26AA8" w:rsidRPr="00407147">
              <w:rPr>
                <w:rFonts w:ascii="Times New Roman" w:hAnsi="Times New Roman" w:cs="Times New Roman"/>
                <w:sz w:val="21"/>
                <w:szCs w:val="21"/>
              </w:rPr>
              <w:t>PCP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D26AA8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makes the referral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80C68" w:rsidRPr="00407147" w:rsidRDefault="00080C68" w:rsidP="00EF011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F0119" w:rsidRPr="00407147" w:rsidRDefault="00EF0119" w:rsidP="00EF01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Eligibility for VNA is limited </w:t>
            </w:r>
            <w:proofErr w:type="gramStart"/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to  direct</w:t>
            </w:r>
            <w:proofErr w:type="gramEnd"/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skilled nursing services, such as, injections, wound care, or specific RN assessments which cannot be delegated. A visiting nurse cannot be utilized if there are 24/7 direct care nursing supports in the home.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BC0564" w:rsidRPr="00407147" w:rsidRDefault="00BC0564" w:rsidP="009F75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C735D" w:rsidRPr="00407147" w:rsidRDefault="00BC735D" w:rsidP="00BC735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A DDS Coordination of Care Agreement is required when a </w:t>
            </w:r>
            <w:r w:rsidR="009C5BBA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visiting nurse 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is involved.  A VNA is not intended for </w:t>
            </w:r>
            <w:r w:rsidR="009C5BBA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routine 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medication administration.</w:t>
            </w:r>
          </w:p>
          <w:p w:rsidR="00BC735D" w:rsidRPr="00407147" w:rsidRDefault="00BC735D" w:rsidP="00BC735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Post-hospitalization </w:t>
            </w:r>
            <w:r w:rsidR="009C5BBA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visiting nurse 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services may be available with a physician’s order.</w:t>
            </w:r>
          </w:p>
          <w:p w:rsidR="00BC735D" w:rsidRPr="00407147" w:rsidRDefault="00BC735D" w:rsidP="00BC735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Hospice services are available.</w:t>
            </w:r>
          </w:p>
          <w:p w:rsidR="002F68EC" w:rsidRPr="00407147" w:rsidRDefault="00BC735D" w:rsidP="00BC735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VNA is a service, benefit, or entitlement funded through insurance.</w:t>
            </w:r>
          </w:p>
        </w:tc>
        <w:tc>
          <w:tcPr>
            <w:tcW w:w="4320" w:type="dxa"/>
          </w:tcPr>
          <w:p w:rsidR="008651E4" w:rsidRPr="00407147" w:rsidRDefault="000C0F5F" w:rsidP="00DC2E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Visiting Nurse Agency (</w:t>
            </w:r>
            <w:r w:rsidR="008844A4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VNA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  <w:r w:rsidR="008844A4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16256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8651E4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Primary Care Provider (</w:t>
            </w:r>
            <w:r w:rsidR="008651E4" w:rsidRPr="00407147">
              <w:rPr>
                <w:rFonts w:ascii="Times New Roman" w:hAnsi="Times New Roman" w:cs="Times New Roman"/>
                <w:sz w:val="21"/>
                <w:szCs w:val="21"/>
              </w:rPr>
              <w:t>PCP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8651E4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makes the referral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AF4156" w:rsidRPr="00407147" w:rsidRDefault="00AF4156" w:rsidP="00DC2E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A71AA" w:rsidRPr="00407147" w:rsidRDefault="004131D9" w:rsidP="00BA71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Direct </w:t>
            </w:r>
            <w:r w:rsidR="00BA71AA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skilled nursing 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services </w:t>
            </w:r>
            <w:r w:rsidR="00080C68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shall </w:t>
            </w:r>
            <w:r w:rsidR="00BA71AA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be </w:t>
            </w:r>
            <w:r w:rsidR="00080C68" w:rsidRPr="00407147">
              <w:rPr>
                <w:rFonts w:ascii="Times New Roman" w:hAnsi="Times New Roman" w:cs="Times New Roman"/>
                <w:sz w:val="21"/>
                <w:szCs w:val="21"/>
              </w:rPr>
              <w:t>provided by a visiting nurse</w:t>
            </w:r>
            <w:r w:rsidR="00BA71AA" w:rsidRPr="0040714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4027A8" w:rsidRPr="00407147" w:rsidRDefault="004027A8" w:rsidP="00DC2E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110B" w:rsidRPr="00407147" w:rsidRDefault="0044110B" w:rsidP="0044110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 </w:t>
            </w:r>
            <w:r w:rsidR="009C5BBA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visiting 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nurse’s services </w:t>
            </w:r>
            <w:proofErr w:type="gramStart"/>
            <w:r w:rsidR="00080C68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are 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billed</w:t>
            </w:r>
            <w:proofErr w:type="gramEnd"/>
            <w:r w:rsidR="00080C68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through the individual’s medical insurance; however, 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an employed or contracted agency nurse’s services </w:t>
            </w:r>
            <w:r w:rsidR="00080C68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cannot be 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billed at the </w:t>
            </w:r>
            <w:r w:rsidR="009C5BBA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exact 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same time</w:t>
            </w:r>
            <w:r w:rsidR="009C5BBA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of day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:rsidR="00345ED9" w:rsidRPr="00407147" w:rsidRDefault="00345ED9" w:rsidP="00DC2E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110B" w:rsidRPr="00407147" w:rsidRDefault="0044110B" w:rsidP="00DC2E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C735D" w:rsidRPr="00407147" w:rsidRDefault="00BC735D" w:rsidP="00BC735D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A DDS Coordination of Care Agreement is required when a VNA is involved.  A VNA is not intended for medication administration.</w:t>
            </w:r>
          </w:p>
          <w:p w:rsidR="00BC735D" w:rsidRPr="00407147" w:rsidRDefault="00BC735D" w:rsidP="00BC735D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Post-hospitalization VNA services may be available with a physician’s order.</w:t>
            </w:r>
          </w:p>
          <w:p w:rsidR="00BC735D" w:rsidRPr="00407147" w:rsidRDefault="00BC735D" w:rsidP="00BC735D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Hospice services are available.</w:t>
            </w:r>
          </w:p>
          <w:p w:rsidR="002F68EC" w:rsidRPr="00407147" w:rsidRDefault="00BC735D" w:rsidP="00BA71AA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VNA is a service, benefit, or entitlement funded through insurance.</w:t>
            </w:r>
          </w:p>
        </w:tc>
        <w:tc>
          <w:tcPr>
            <w:tcW w:w="3870" w:type="dxa"/>
          </w:tcPr>
          <w:p w:rsidR="008651E4" w:rsidRPr="00407147" w:rsidRDefault="000C0F5F" w:rsidP="00DC2E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Visiting Nurse Agency (</w:t>
            </w:r>
            <w:r w:rsidR="008844A4"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VNA</w:t>
            </w:r>
            <w:r w:rsidRPr="00407147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  <w:r w:rsidR="008844A4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16256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8651E4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Primary Care Provider (</w:t>
            </w:r>
            <w:r w:rsidR="008651E4" w:rsidRPr="00407147">
              <w:rPr>
                <w:rFonts w:ascii="Times New Roman" w:hAnsi="Times New Roman" w:cs="Times New Roman"/>
                <w:sz w:val="21"/>
                <w:szCs w:val="21"/>
              </w:rPr>
              <w:t>PCP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8651E4" w:rsidRPr="00407147">
              <w:rPr>
                <w:rFonts w:ascii="Times New Roman" w:hAnsi="Times New Roman" w:cs="Times New Roman"/>
                <w:sz w:val="21"/>
                <w:szCs w:val="21"/>
              </w:rPr>
              <w:t xml:space="preserve"> makes the referral</w:t>
            </w: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AF4156" w:rsidRPr="00407147" w:rsidRDefault="00AF4156" w:rsidP="00DC2E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80C68" w:rsidRPr="00407147" w:rsidRDefault="00080C68" w:rsidP="00080C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Direct skilled nursing services shall be provided by a visiting nurse.</w:t>
            </w:r>
          </w:p>
          <w:p w:rsidR="00345ED9" w:rsidRPr="00407147" w:rsidRDefault="00345ED9" w:rsidP="00DC2E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45ED9" w:rsidRPr="00407147" w:rsidRDefault="00345ED9" w:rsidP="00DC2E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F4156" w:rsidRPr="00407147" w:rsidRDefault="00AF4156" w:rsidP="00DC2E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F4156" w:rsidRPr="00407147" w:rsidRDefault="00AF4156" w:rsidP="00DC2E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110B" w:rsidRPr="00407147" w:rsidRDefault="0044110B" w:rsidP="00DC2E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F4156" w:rsidRPr="00407147" w:rsidRDefault="00AF4156" w:rsidP="00DC2E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4110B" w:rsidRPr="00407147" w:rsidRDefault="0044110B" w:rsidP="00DC2E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C735D" w:rsidRPr="00407147" w:rsidRDefault="00BC735D" w:rsidP="00BC735D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A DDS Coordination of Care Agreement is required when a VNA is involved.  A VNA is not intended for medication administration.</w:t>
            </w:r>
          </w:p>
          <w:p w:rsidR="00BC735D" w:rsidRPr="00407147" w:rsidRDefault="00BC735D" w:rsidP="00BC735D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Post-hospitalization VNA services may be available with a physician’s order.</w:t>
            </w:r>
          </w:p>
          <w:p w:rsidR="00BC735D" w:rsidRPr="00407147" w:rsidRDefault="00BC735D" w:rsidP="00BC735D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Hospice services are available.</w:t>
            </w:r>
          </w:p>
          <w:p w:rsidR="002F68EC" w:rsidRPr="00407147" w:rsidRDefault="00BC735D" w:rsidP="00BC735D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7147">
              <w:rPr>
                <w:rFonts w:ascii="Times New Roman" w:hAnsi="Times New Roman" w:cs="Times New Roman"/>
                <w:sz w:val="21"/>
                <w:szCs w:val="21"/>
              </w:rPr>
              <w:t>VNA is a service, benefit, or entitlement funded through insurance.</w:t>
            </w:r>
          </w:p>
        </w:tc>
        <w:tc>
          <w:tcPr>
            <w:tcW w:w="3690" w:type="dxa"/>
          </w:tcPr>
          <w:p w:rsidR="008844A4" w:rsidRPr="00407147" w:rsidRDefault="000C0F5F">
            <w:pPr>
              <w:rPr>
                <w:rFonts w:ascii="Times New Roman" w:hAnsi="Times New Roman" w:cs="Times New Roman"/>
              </w:rPr>
            </w:pPr>
            <w:r w:rsidRPr="00407147">
              <w:rPr>
                <w:rFonts w:ascii="Times New Roman" w:hAnsi="Times New Roman" w:cs="Times New Roman"/>
                <w:b/>
              </w:rPr>
              <w:t>Visiting Nurse Agency (</w:t>
            </w:r>
            <w:r w:rsidR="00216256" w:rsidRPr="00407147">
              <w:rPr>
                <w:rFonts w:ascii="Times New Roman" w:hAnsi="Times New Roman" w:cs="Times New Roman"/>
                <w:b/>
              </w:rPr>
              <w:t>VNA</w:t>
            </w:r>
            <w:r w:rsidRPr="00407147">
              <w:rPr>
                <w:rFonts w:ascii="Times New Roman" w:hAnsi="Times New Roman" w:cs="Times New Roman"/>
                <w:b/>
              </w:rPr>
              <w:t>)</w:t>
            </w:r>
            <w:r w:rsidRPr="00407147">
              <w:rPr>
                <w:rFonts w:ascii="Times New Roman" w:hAnsi="Times New Roman" w:cs="Times New Roman"/>
              </w:rPr>
              <w:t xml:space="preserve"> </w:t>
            </w:r>
            <w:r w:rsidR="00216256" w:rsidRPr="00407147">
              <w:rPr>
                <w:rFonts w:ascii="Times New Roman" w:hAnsi="Times New Roman" w:cs="Times New Roman"/>
              </w:rPr>
              <w:t xml:space="preserve">- </w:t>
            </w:r>
            <w:r w:rsidR="008651E4" w:rsidRPr="00407147">
              <w:rPr>
                <w:rFonts w:ascii="Times New Roman" w:hAnsi="Times New Roman" w:cs="Times New Roman"/>
              </w:rPr>
              <w:t xml:space="preserve">The </w:t>
            </w:r>
            <w:r w:rsidRPr="00407147">
              <w:rPr>
                <w:rFonts w:ascii="Times New Roman" w:hAnsi="Times New Roman" w:cs="Times New Roman"/>
              </w:rPr>
              <w:t>Primary Care Provider (</w:t>
            </w:r>
            <w:r w:rsidR="008651E4" w:rsidRPr="00407147">
              <w:rPr>
                <w:rFonts w:ascii="Times New Roman" w:hAnsi="Times New Roman" w:cs="Times New Roman"/>
              </w:rPr>
              <w:t>PCP</w:t>
            </w:r>
            <w:r w:rsidRPr="00407147">
              <w:rPr>
                <w:rFonts w:ascii="Times New Roman" w:hAnsi="Times New Roman" w:cs="Times New Roman"/>
              </w:rPr>
              <w:t>)</w:t>
            </w:r>
            <w:r w:rsidR="008651E4" w:rsidRPr="00407147">
              <w:rPr>
                <w:rFonts w:ascii="Times New Roman" w:hAnsi="Times New Roman" w:cs="Times New Roman"/>
              </w:rPr>
              <w:t xml:space="preserve"> makes the referral</w:t>
            </w:r>
            <w:r w:rsidR="00CC66FF" w:rsidRPr="00407147">
              <w:rPr>
                <w:rFonts w:ascii="Times New Roman" w:hAnsi="Times New Roman" w:cs="Times New Roman"/>
              </w:rPr>
              <w:t>.</w:t>
            </w:r>
          </w:p>
          <w:p w:rsidR="002F68EC" w:rsidRPr="00407147" w:rsidRDefault="002F68EC">
            <w:pPr>
              <w:rPr>
                <w:rFonts w:ascii="Times New Roman" w:hAnsi="Times New Roman" w:cs="Times New Roman"/>
              </w:rPr>
            </w:pPr>
          </w:p>
          <w:p w:rsidR="002F68EC" w:rsidRPr="00407147" w:rsidRDefault="002F68EC">
            <w:pPr>
              <w:rPr>
                <w:rFonts w:ascii="Times New Roman" w:hAnsi="Times New Roman" w:cs="Times New Roman"/>
              </w:rPr>
            </w:pPr>
          </w:p>
          <w:p w:rsidR="007E0BD7" w:rsidRPr="00407147" w:rsidRDefault="007E0BD7" w:rsidP="00DC2E02">
            <w:pPr>
              <w:rPr>
                <w:rFonts w:ascii="Times New Roman" w:hAnsi="Times New Roman" w:cs="Times New Roman"/>
              </w:rPr>
            </w:pPr>
          </w:p>
          <w:p w:rsidR="00345ED9" w:rsidRPr="00407147" w:rsidRDefault="00345ED9" w:rsidP="00DC2E02">
            <w:pPr>
              <w:rPr>
                <w:rFonts w:ascii="Times New Roman" w:hAnsi="Times New Roman" w:cs="Times New Roman"/>
              </w:rPr>
            </w:pPr>
          </w:p>
          <w:p w:rsidR="00345ED9" w:rsidRPr="00407147" w:rsidRDefault="00345ED9" w:rsidP="00DC2E02">
            <w:pPr>
              <w:rPr>
                <w:rFonts w:ascii="Times New Roman" w:hAnsi="Times New Roman" w:cs="Times New Roman"/>
              </w:rPr>
            </w:pPr>
          </w:p>
          <w:p w:rsidR="00345ED9" w:rsidRPr="00407147" w:rsidRDefault="00345ED9" w:rsidP="00DC2E02">
            <w:pPr>
              <w:rPr>
                <w:rFonts w:ascii="Times New Roman" w:hAnsi="Times New Roman" w:cs="Times New Roman"/>
              </w:rPr>
            </w:pPr>
          </w:p>
          <w:p w:rsidR="00345ED9" w:rsidRPr="00407147" w:rsidRDefault="00345ED9" w:rsidP="00DC2E02">
            <w:pPr>
              <w:rPr>
                <w:rFonts w:ascii="Times New Roman" w:hAnsi="Times New Roman" w:cs="Times New Roman"/>
              </w:rPr>
            </w:pPr>
          </w:p>
          <w:p w:rsidR="0044110B" w:rsidRPr="00407147" w:rsidRDefault="0044110B" w:rsidP="00DC2E02">
            <w:pPr>
              <w:rPr>
                <w:rFonts w:ascii="Times New Roman" w:hAnsi="Times New Roman" w:cs="Times New Roman"/>
              </w:rPr>
            </w:pPr>
          </w:p>
          <w:p w:rsidR="00C974FC" w:rsidRPr="00407147" w:rsidRDefault="00C974FC" w:rsidP="00DC2E02">
            <w:pPr>
              <w:rPr>
                <w:rFonts w:ascii="Times New Roman" w:hAnsi="Times New Roman" w:cs="Times New Roman"/>
              </w:rPr>
            </w:pPr>
          </w:p>
          <w:p w:rsidR="00C974FC" w:rsidRPr="00407147" w:rsidRDefault="00C974FC" w:rsidP="00DC2E02">
            <w:pPr>
              <w:rPr>
                <w:rFonts w:ascii="Times New Roman" w:hAnsi="Times New Roman" w:cs="Times New Roman"/>
              </w:rPr>
            </w:pPr>
          </w:p>
          <w:p w:rsidR="00BC735D" w:rsidRPr="00407147" w:rsidRDefault="00BC735D" w:rsidP="00BC735D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407147">
              <w:rPr>
                <w:rFonts w:ascii="Times New Roman" w:hAnsi="Times New Roman" w:cs="Times New Roman"/>
              </w:rPr>
              <w:t>Post-hospitalization VNA services may be available with a physician’s order.</w:t>
            </w:r>
          </w:p>
          <w:p w:rsidR="00BC735D" w:rsidRPr="00407147" w:rsidRDefault="00BC735D" w:rsidP="00BC735D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407147">
              <w:rPr>
                <w:rFonts w:ascii="Times New Roman" w:hAnsi="Times New Roman" w:cs="Times New Roman"/>
              </w:rPr>
              <w:t>Hospice services are available.</w:t>
            </w:r>
          </w:p>
          <w:p w:rsidR="008844A4" w:rsidRPr="00407147" w:rsidRDefault="00BC735D" w:rsidP="00BC735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07147">
              <w:rPr>
                <w:rFonts w:ascii="Times New Roman" w:hAnsi="Times New Roman" w:cs="Times New Roman"/>
              </w:rPr>
              <w:t>VNA is a service, benefit, or entitlement funded through insurance.</w:t>
            </w:r>
          </w:p>
        </w:tc>
      </w:tr>
    </w:tbl>
    <w:p w:rsidR="00886096" w:rsidRPr="000A2B9A" w:rsidRDefault="000A2B9A" w:rsidP="001F78A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  <w:szCs w:val="18"/>
        </w:rPr>
        <w:t>Implementation Date     10/1/2016</w:t>
      </w:r>
    </w:p>
    <w:sectPr w:rsidR="00886096" w:rsidRPr="000A2B9A" w:rsidSect="004071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160" w:h="12240" w:orient="landscape" w:code="5"/>
      <w:pgMar w:top="288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37" w:rsidRDefault="00480837" w:rsidP="00547066">
      <w:pPr>
        <w:spacing w:after="0" w:line="240" w:lineRule="auto"/>
      </w:pPr>
      <w:r>
        <w:separator/>
      </w:r>
    </w:p>
  </w:endnote>
  <w:endnote w:type="continuationSeparator" w:id="0">
    <w:p w:rsidR="00480837" w:rsidRDefault="00480837" w:rsidP="0054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2C0" w:rsidRDefault="00D652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2C0" w:rsidRDefault="00D652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2C0" w:rsidRDefault="00D652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37" w:rsidRDefault="00480837" w:rsidP="00547066">
      <w:pPr>
        <w:spacing w:after="0" w:line="240" w:lineRule="auto"/>
      </w:pPr>
      <w:r>
        <w:separator/>
      </w:r>
    </w:p>
  </w:footnote>
  <w:footnote w:type="continuationSeparator" w:id="0">
    <w:p w:rsidR="00480837" w:rsidRDefault="00480837" w:rsidP="0054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2C0" w:rsidRDefault="00D652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6E" w:rsidRDefault="00CF56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2C0" w:rsidRDefault="00D652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39FD"/>
      </v:shape>
    </w:pict>
  </w:numPicBullet>
  <w:abstractNum w:abstractNumId="0">
    <w:nsid w:val="08612E87"/>
    <w:multiLevelType w:val="hybridMultilevel"/>
    <w:tmpl w:val="65F61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F2"/>
    <w:multiLevelType w:val="hybridMultilevel"/>
    <w:tmpl w:val="3AC64A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05DD8"/>
    <w:multiLevelType w:val="hybridMultilevel"/>
    <w:tmpl w:val="F21C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C80E8C"/>
    <w:multiLevelType w:val="hybridMultilevel"/>
    <w:tmpl w:val="F21C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421661"/>
    <w:multiLevelType w:val="hybridMultilevel"/>
    <w:tmpl w:val="B270FB58"/>
    <w:lvl w:ilvl="0" w:tplc="DFA204F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F20E0"/>
    <w:multiLevelType w:val="hybridMultilevel"/>
    <w:tmpl w:val="D910F61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E32F47"/>
    <w:multiLevelType w:val="hybridMultilevel"/>
    <w:tmpl w:val="F21C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557CBC"/>
    <w:multiLevelType w:val="hybridMultilevel"/>
    <w:tmpl w:val="666809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64F15"/>
    <w:multiLevelType w:val="hybridMultilevel"/>
    <w:tmpl w:val="F21C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9C6EE8"/>
    <w:multiLevelType w:val="hybridMultilevel"/>
    <w:tmpl w:val="340654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402D1"/>
    <w:multiLevelType w:val="hybridMultilevel"/>
    <w:tmpl w:val="F21C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4D3243"/>
    <w:multiLevelType w:val="hybridMultilevel"/>
    <w:tmpl w:val="77BCEE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11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90"/>
    <w:rsid w:val="00020406"/>
    <w:rsid w:val="00080C68"/>
    <w:rsid w:val="00090092"/>
    <w:rsid w:val="000959DB"/>
    <w:rsid w:val="000A2B9A"/>
    <w:rsid w:val="000C0F5F"/>
    <w:rsid w:val="0010739C"/>
    <w:rsid w:val="00137D8B"/>
    <w:rsid w:val="00191FAC"/>
    <w:rsid w:val="001C1029"/>
    <w:rsid w:val="001D3191"/>
    <w:rsid w:val="001E5850"/>
    <w:rsid w:val="001F3712"/>
    <w:rsid w:val="001F6ABA"/>
    <w:rsid w:val="001F78A7"/>
    <w:rsid w:val="00216256"/>
    <w:rsid w:val="002328CF"/>
    <w:rsid w:val="00252E79"/>
    <w:rsid w:val="00273534"/>
    <w:rsid w:val="002744B4"/>
    <w:rsid w:val="002744BA"/>
    <w:rsid w:val="0029448A"/>
    <w:rsid w:val="002C3C66"/>
    <w:rsid w:val="002D2D89"/>
    <w:rsid w:val="002F68EC"/>
    <w:rsid w:val="002F75D7"/>
    <w:rsid w:val="00345ED9"/>
    <w:rsid w:val="0039124D"/>
    <w:rsid w:val="003B2B24"/>
    <w:rsid w:val="003E555E"/>
    <w:rsid w:val="004027A8"/>
    <w:rsid w:val="00403EDA"/>
    <w:rsid w:val="00407147"/>
    <w:rsid w:val="0040785D"/>
    <w:rsid w:val="004131D9"/>
    <w:rsid w:val="00413D0B"/>
    <w:rsid w:val="0044110B"/>
    <w:rsid w:val="00451DCD"/>
    <w:rsid w:val="00470EC1"/>
    <w:rsid w:val="00480837"/>
    <w:rsid w:val="00493CA7"/>
    <w:rsid w:val="004D7367"/>
    <w:rsid w:val="0050193B"/>
    <w:rsid w:val="005333AC"/>
    <w:rsid w:val="00547066"/>
    <w:rsid w:val="00561F81"/>
    <w:rsid w:val="005A298D"/>
    <w:rsid w:val="005C2A3F"/>
    <w:rsid w:val="005C6CBC"/>
    <w:rsid w:val="005D69B9"/>
    <w:rsid w:val="005F2CB6"/>
    <w:rsid w:val="006175EF"/>
    <w:rsid w:val="00621793"/>
    <w:rsid w:val="00622030"/>
    <w:rsid w:val="006425EB"/>
    <w:rsid w:val="00643D48"/>
    <w:rsid w:val="00646723"/>
    <w:rsid w:val="00646D1F"/>
    <w:rsid w:val="00690A13"/>
    <w:rsid w:val="006B7CBA"/>
    <w:rsid w:val="006D386F"/>
    <w:rsid w:val="006E56E5"/>
    <w:rsid w:val="006F0071"/>
    <w:rsid w:val="006F2551"/>
    <w:rsid w:val="006F6A41"/>
    <w:rsid w:val="00710E83"/>
    <w:rsid w:val="00717623"/>
    <w:rsid w:val="00775CCE"/>
    <w:rsid w:val="007B2B7F"/>
    <w:rsid w:val="007E0BD7"/>
    <w:rsid w:val="008029C3"/>
    <w:rsid w:val="00815F0C"/>
    <w:rsid w:val="0086133A"/>
    <w:rsid w:val="00861462"/>
    <w:rsid w:val="008651E4"/>
    <w:rsid w:val="008844A4"/>
    <w:rsid w:val="00886096"/>
    <w:rsid w:val="008908D7"/>
    <w:rsid w:val="0089151A"/>
    <w:rsid w:val="008A54BB"/>
    <w:rsid w:val="008F101B"/>
    <w:rsid w:val="008F6A1C"/>
    <w:rsid w:val="00915A10"/>
    <w:rsid w:val="009604D5"/>
    <w:rsid w:val="009704FD"/>
    <w:rsid w:val="009A31C1"/>
    <w:rsid w:val="009C5BBA"/>
    <w:rsid w:val="009D1351"/>
    <w:rsid w:val="009D7ADA"/>
    <w:rsid w:val="009F2440"/>
    <w:rsid w:val="009F75CB"/>
    <w:rsid w:val="00A02D63"/>
    <w:rsid w:val="00A12313"/>
    <w:rsid w:val="00A62441"/>
    <w:rsid w:val="00A775AD"/>
    <w:rsid w:val="00A8432B"/>
    <w:rsid w:val="00AE5EF8"/>
    <w:rsid w:val="00AF3CB4"/>
    <w:rsid w:val="00AF4156"/>
    <w:rsid w:val="00AF7093"/>
    <w:rsid w:val="00B6312E"/>
    <w:rsid w:val="00B7051C"/>
    <w:rsid w:val="00BA71AA"/>
    <w:rsid w:val="00BC0564"/>
    <w:rsid w:val="00BC735D"/>
    <w:rsid w:val="00BD296A"/>
    <w:rsid w:val="00BE52F9"/>
    <w:rsid w:val="00C320F7"/>
    <w:rsid w:val="00C37FD2"/>
    <w:rsid w:val="00C960F1"/>
    <w:rsid w:val="00C974FC"/>
    <w:rsid w:val="00CB6688"/>
    <w:rsid w:val="00CC66FF"/>
    <w:rsid w:val="00CF566E"/>
    <w:rsid w:val="00D26AA8"/>
    <w:rsid w:val="00D64DD5"/>
    <w:rsid w:val="00D652C0"/>
    <w:rsid w:val="00D7223C"/>
    <w:rsid w:val="00D72359"/>
    <w:rsid w:val="00D73813"/>
    <w:rsid w:val="00DB4690"/>
    <w:rsid w:val="00DC2E02"/>
    <w:rsid w:val="00DD7ABA"/>
    <w:rsid w:val="00E53745"/>
    <w:rsid w:val="00E925D7"/>
    <w:rsid w:val="00EA4E3E"/>
    <w:rsid w:val="00ED69C5"/>
    <w:rsid w:val="00EE3D60"/>
    <w:rsid w:val="00EF0119"/>
    <w:rsid w:val="00F46499"/>
    <w:rsid w:val="00F4719A"/>
    <w:rsid w:val="00F54857"/>
    <w:rsid w:val="00F566B8"/>
    <w:rsid w:val="00F94AB6"/>
    <w:rsid w:val="00FA534B"/>
    <w:rsid w:val="00FC04B5"/>
    <w:rsid w:val="00FC0F3B"/>
    <w:rsid w:val="00FD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A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066"/>
  </w:style>
  <w:style w:type="paragraph" w:styleId="Footer">
    <w:name w:val="footer"/>
    <w:basedOn w:val="Normal"/>
    <w:link w:val="FooterChar"/>
    <w:uiPriority w:val="99"/>
    <w:unhideWhenUsed/>
    <w:rsid w:val="00547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A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066"/>
  </w:style>
  <w:style w:type="paragraph" w:styleId="Footer">
    <w:name w:val="footer"/>
    <w:basedOn w:val="Normal"/>
    <w:link w:val="FooterChar"/>
    <w:uiPriority w:val="99"/>
    <w:unhideWhenUsed/>
    <w:rsid w:val="00547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272F1-6B6D-4D38-A8C7-ADD3B6DB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5121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2017-03-03T19:41:00Z</dcterms:created>
  <dcterms:modified xsi:type="dcterms:W3CDTF">2017-03-03T19:41:00Z</dcterms:modified>
</cp:coreProperties>
</file>