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3142" w:rsidRPr="00AC4DB5" w:rsidRDefault="00173142" w:rsidP="00CA014A">
      <w:pPr>
        <w:pStyle w:val="Title"/>
        <w:ind w:left="-360" w:right="-720"/>
        <w:rPr>
          <w:b w:val="0"/>
          <w:bCs w:val="0"/>
        </w:rPr>
      </w:pPr>
      <w:r w:rsidRPr="00AC4DB5">
        <w:rPr>
          <w:u w:val="none"/>
        </w:rPr>
        <w:t>OSTEOPOROSIS</w:t>
      </w:r>
      <w:r w:rsidR="007561F9" w:rsidRPr="00AC4DB5">
        <w:rPr>
          <w:u w:val="none"/>
        </w:rPr>
        <w:t xml:space="preserve"> </w:t>
      </w:r>
      <w:r w:rsidR="00734981" w:rsidRPr="00AC4DB5">
        <w:rPr>
          <w:u w:val="none"/>
        </w:rPr>
        <w:t>INFORMATION</w:t>
      </w:r>
      <w:r w:rsidR="007561F9" w:rsidRPr="00AC4DB5">
        <w:rPr>
          <w:u w:val="none"/>
        </w:rPr>
        <w:t xml:space="preserve"> SHEET</w:t>
      </w:r>
    </w:p>
    <w:p w:rsidR="00A2688D" w:rsidRPr="00D03863" w:rsidRDefault="00A2688D" w:rsidP="00CA014A">
      <w:pPr>
        <w:ind w:left="-360" w:right="-720"/>
        <w:jc w:val="center"/>
        <w:rPr>
          <w:b/>
          <w:bCs/>
          <w:sz w:val="16"/>
          <w:szCs w:val="16"/>
          <w:u w:val="single"/>
        </w:rPr>
      </w:pPr>
    </w:p>
    <w:p w:rsidR="001615EE" w:rsidRPr="00AC4DB5" w:rsidRDefault="00BB19FD" w:rsidP="00063DE9">
      <w:pPr>
        <w:ind w:left="-360" w:right="-720"/>
      </w:pPr>
      <w:r w:rsidRPr="00AC4DB5">
        <w:t>According to the National Osteoporosis Foundation (n.d.), osteoporosis is a bone disease that occurs when the body loses too much bone, makes too little bone, or both. As a result, bones become weak and may break from a fall or, in serious cases, from sneezing or minor bumps.</w:t>
      </w:r>
    </w:p>
    <w:p w:rsidR="001615EE" w:rsidRPr="00D03863" w:rsidRDefault="001615EE" w:rsidP="00063DE9">
      <w:pPr>
        <w:ind w:left="-360" w:right="-720"/>
        <w:rPr>
          <w:sz w:val="16"/>
          <w:szCs w:val="16"/>
        </w:rPr>
      </w:pPr>
    </w:p>
    <w:p w:rsidR="00BB19FD" w:rsidRPr="00AC4DB5" w:rsidRDefault="00BB19FD" w:rsidP="00063DE9">
      <w:pPr>
        <w:ind w:left="-360" w:right="-720"/>
      </w:pPr>
      <w:r w:rsidRPr="00AC4DB5">
        <w:rPr>
          <w:b/>
        </w:rPr>
        <w:t xml:space="preserve">Osteoporosis </w:t>
      </w:r>
      <w:r w:rsidRPr="00AC4DB5">
        <w:t>means “porous bone</w:t>
      </w:r>
      <w:r w:rsidR="00E87FA8" w:rsidRPr="00AC4DB5">
        <w:t>”</w:t>
      </w:r>
      <w:r w:rsidRPr="00AC4DB5">
        <w:t>. Viewed under a microscope, healthy bone looks like a honeycomb. When osteoporosis occurs, the holes and spaces in the honeycomb are much larger than in healthy bone. Osteoporotic bones have lost density or mass and contain abnormal tissue structure. As bones become less dense, they weaken and are more likely to break.</w:t>
      </w:r>
      <w:r w:rsidR="001615EE" w:rsidRPr="00AC4DB5">
        <w:t xml:space="preserve">  </w:t>
      </w:r>
      <w:r w:rsidRPr="00AC4DB5">
        <w:t>If you’re 50 or older and have broken a bone, ask your doctor or healthcare provider about a bone density test (National Osteoporosis Foundation, n.d.).</w:t>
      </w:r>
    </w:p>
    <w:p w:rsidR="001615EE" w:rsidRPr="00D03863" w:rsidRDefault="001615EE" w:rsidP="00063DE9">
      <w:pPr>
        <w:ind w:left="-360" w:right="-720"/>
        <w:rPr>
          <w:b/>
          <w:bCs/>
          <w:sz w:val="16"/>
          <w:szCs w:val="16"/>
        </w:rPr>
      </w:pPr>
    </w:p>
    <w:p w:rsidR="00567279" w:rsidRPr="00AC4DB5" w:rsidRDefault="00567279" w:rsidP="00063DE9">
      <w:pPr>
        <w:ind w:left="-360" w:right="-720"/>
        <w:jc w:val="both"/>
      </w:pPr>
      <w:r w:rsidRPr="00AC4DB5">
        <w:t>When a person has osteoporosis, fracture is more likely</w:t>
      </w:r>
      <w:r w:rsidR="00AD28C9" w:rsidRPr="00AC4DB5">
        <w:t xml:space="preserve"> to occur</w:t>
      </w:r>
      <w:r w:rsidRPr="00AC4DB5">
        <w:t xml:space="preserve"> in the spine, hip or forearm. People with osteoporosis</w:t>
      </w:r>
      <w:r w:rsidR="00556B7E" w:rsidRPr="00AC4DB5">
        <w:t xml:space="preserve"> </w:t>
      </w:r>
      <w:r w:rsidRPr="00AC4DB5">
        <w:t xml:space="preserve">can break a bone from a minor fall, and when </w:t>
      </w:r>
      <w:r w:rsidR="00AD28C9" w:rsidRPr="00AC4DB5">
        <w:t xml:space="preserve">osteoporosis is </w:t>
      </w:r>
      <w:r w:rsidRPr="00AC4DB5">
        <w:t>severe</w:t>
      </w:r>
      <w:r w:rsidR="00BB19FD" w:rsidRPr="00AC4DB5">
        <w:t>,</w:t>
      </w:r>
      <w:r w:rsidR="00AD28C9" w:rsidRPr="00AC4DB5">
        <w:t xml:space="preserve"> a fracture can occur when</w:t>
      </w:r>
      <w:r w:rsidRPr="00AC4DB5">
        <w:t xml:space="preserve"> sneezing or even turning over in bed. </w:t>
      </w:r>
      <w:r w:rsidR="005B58BC" w:rsidRPr="00AC4DB5">
        <w:t xml:space="preserve">Hip fractures are associated with significant morbidity, mortality and loss of independence.  </w:t>
      </w:r>
      <w:r w:rsidR="00AD28C9" w:rsidRPr="00AC4DB5">
        <w:t xml:space="preserve">It is </w:t>
      </w:r>
      <w:r w:rsidR="0003452C" w:rsidRPr="00AC4DB5">
        <w:t>important to remember that f</w:t>
      </w:r>
      <w:r w:rsidR="00F573D9" w:rsidRPr="00AC4DB5">
        <w:t>racture prevention is critical</w:t>
      </w:r>
      <w:r w:rsidR="002710C6" w:rsidRPr="00AC4DB5">
        <w:t xml:space="preserve"> </w:t>
      </w:r>
      <w:r w:rsidR="00AD28C9" w:rsidRPr="00AC4DB5">
        <w:t>when caring for individuals who are at risk for fractures</w:t>
      </w:r>
      <w:r w:rsidR="00506957" w:rsidRPr="00AC4DB5">
        <w:t>.</w:t>
      </w:r>
    </w:p>
    <w:p w:rsidR="00567279" w:rsidRPr="00D03863" w:rsidRDefault="00567279" w:rsidP="00063DE9">
      <w:pPr>
        <w:ind w:left="-360" w:right="-720"/>
        <w:rPr>
          <w:b/>
          <w:bCs/>
          <w:sz w:val="16"/>
          <w:szCs w:val="16"/>
        </w:rPr>
      </w:pPr>
    </w:p>
    <w:p w:rsidR="00B17437" w:rsidRPr="00AC4DB5" w:rsidRDefault="00B17437" w:rsidP="00063DE9">
      <w:pPr>
        <w:ind w:left="-360" w:right="-720"/>
      </w:pPr>
      <w:r w:rsidRPr="00AC4DB5">
        <w:rPr>
          <w:b/>
          <w:bCs/>
        </w:rPr>
        <w:t>Osteopenia</w:t>
      </w:r>
      <w:r w:rsidRPr="00AC4DB5">
        <w:t xml:space="preserve"> </w:t>
      </w:r>
      <w:r w:rsidR="00567279" w:rsidRPr="00AC4DB5">
        <w:t xml:space="preserve">is </w:t>
      </w:r>
      <w:r w:rsidR="004C5CE5" w:rsidRPr="00AC4DB5">
        <w:t>a condition in which the person loses bone mass and as a result their bones weaken.  This occurs when bones become brittle due to a loss of calcium.  Total bone mass peaks around age 35.  A diagnosis of osteopenia is based on bone density testing results.  P</w:t>
      </w:r>
      <w:r w:rsidRPr="00AC4DB5">
        <w:t xml:space="preserve">eople with </w:t>
      </w:r>
      <w:r w:rsidR="00770AAE" w:rsidRPr="00AC4DB5">
        <w:t>o</w:t>
      </w:r>
      <w:r w:rsidRPr="00AC4DB5">
        <w:t xml:space="preserve">steopenia have a greater chance of </w:t>
      </w:r>
      <w:r w:rsidR="00567279" w:rsidRPr="00AC4DB5">
        <w:t xml:space="preserve">continuing with bone loss </w:t>
      </w:r>
      <w:r w:rsidR="00F573D9" w:rsidRPr="00AC4DB5">
        <w:t>that progresses to</w:t>
      </w:r>
      <w:r w:rsidR="00567279" w:rsidRPr="00AC4DB5">
        <w:t xml:space="preserve"> </w:t>
      </w:r>
      <w:r w:rsidRPr="00AC4DB5">
        <w:t>osteoporosis</w:t>
      </w:r>
      <w:r w:rsidR="00770AAE" w:rsidRPr="00AC4DB5">
        <w:t>.</w:t>
      </w:r>
    </w:p>
    <w:p w:rsidR="00AD28C9" w:rsidRPr="00D03863" w:rsidRDefault="00AD28C9" w:rsidP="00063DE9">
      <w:pPr>
        <w:pStyle w:val="Heading1"/>
        <w:ind w:left="-360" w:right="-720"/>
        <w:rPr>
          <w:b w:val="0"/>
          <w:sz w:val="16"/>
          <w:szCs w:val="16"/>
          <w:u w:val="none"/>
        </w:rPr>
      </w:pPr>
    </w:p>
    <w:p w:rsidR="00AD28C9" w:rsidRPr="00AC4DB5" w:rsidRDefault="00AD28C9" w:rsidP="00063DE9">
      <w:pPr>
        <w:pStyle w:val="Heading1"/>
        <w:ind w:left="-360" w:right="-720"/>
        <w:rPr>
          <w:u w:val="none"/>
        </w:rPr>
      </w:pPr>
      <w:r w:rsidRPr="00AC4DB5">
        <w:rPr>
          <w:u w:val="none"/>
        </w:rPr>
        <w:t>BONE DENSITY TESTING</w:t>
      </w:r>
    </w:p>
    <w:p w:rsidR="00AD28C9" w:rsidRPr="00AC4DB5" w:rsidRDefault="00AD28C9" w:rsidP="00063DE9">
      <w:pPr>
        <w:ind w:left="-360" w:right="-720"/>
      </w:pPr>
      <w:r w:rsidRPr="00AC4DB5">
        <w:t>The gold standard for testing for osteopenia or osteoporosis is the DEXA scan (</w:t>
      </w:r>
      <w:r w:rsidRPr="00AC4DB5">
        <w:rPr>
          <w:b/>
          <w:bCs/>
        </w:rPr>
        <w:t>D</w:t>
      </w:r>
      <w:r w:rsidRPr="00AC4DB5">
        <w:t xml:space="preserve">ual </w:t>
      </w:r>
      <w:r w:rsidRPr="00AC4DB5">
        <w:rPr>
          <w:b/>
          <w:bCs/>
        </w:rPr>
        <w:t>E</w:t>
      </w:r>
      <w:r w:rsidRPr="00AC4DB5">
        <w:t xml:space="preserve">nergy </w:t>
      </w:r>
      <w:r w:rsidRPr="00AC4DB5">
        <w:rPr>
          <w:b/>
          <w:bCs/>
        </w:rPr>
        <w:t>X</w:t>
      </w:r>
      <w:r w:rsidRPr="00AC4DB5">
        <w:t xml:space="preserve">-ray </w:t>
      </w:r>
      <w:r w:rsidRPr="00AC4DB5">
        <w:rPr>
          <w:b/>
          <w:bCs/>
        </w:rPr>
        <w:t>A</w:t>
      </w:r>
      <w:r w:rsidRPr="00AC4DB5">
        <w:t>bsorptiometry). It is painless and uses X-rays to measure how much calcium and other bone minerals are packed into the bone. Usually the spine, hip and femur are</w:t>
      </w:r>
      <w:r w:rsidR="004C5CE5" w:rsidRPr="00AC4DB5">
        <w:t xml:space="preserve"> the bones which are measured during a DEXA scan</w:t>
      </w:r>
      <w:r w:rsidRPr="00AC4DB5">
        <w:t xml:space="preserve">. </w:t>
      </w:r>
      <w:r w:rsidR="004C5CE5" w:rsidRPr="00AC4DB5">
        <w:t xml:space="preserve"> T</w:t>
      </w:r>
      <w:r w:rsidRPr="00AC4DB5">
        <w:t>he forearm</w:t>
      </w:r>
      <w:r w:rsidR="004C5CE5" w:rsidRPr="00AC4DB5">
        <w:t xml:space="preserve"> may also be measured</w:t>
      </w:r>
      <w:r w:rsidRPr="00AC4DB5">
        <w:t xml:space="preserve"> if the individual has hardware</w:t>
      </w:r>
      <w:r w:rsidR="004C5CE5" w:rsidRPr="00AC4DB5">
        <w:t xml:space="preserve"> (i.e., medical implants)</w:t>
      </w:r>
      <w:r w:rsidRPr="00AC4DB5">
        <w:t xml:space="preserve"> in the other sites listed. Those bones cannot be scanned because the </w:t>
      </w:r>
      <w:r w:rsidR="004C5CE5" w:rsidRPr="00AC4DB5">
        <w:t xml:space="preserve">implanted device invalidates the </w:t>
      </w:r>
      <w:r w:rsidRPr="00AC4DB5">
        <w:t>score.</w:t>
      </w:r>
      <w:r w:rsidR="00CA014A">
        <w:t xml:space="preserve"> </w:t>
      </w:r>
      <w:r w:rsidR="004C5CE5" w:rsidRPr="00AC4DB5">
        <w:t>A T-score is utilized to diagnose osteopenia and osteoporosis.</w:t>
      </w:r>
    </w:p>
    <w:p w:rsidR="004C5CE5" w:rsidRPr="00D03863" w:rsidRDefault="004C5CE5" w:rsidP="00063DE9">
      <w:pPr>
        <w:ind w:left="-360" w:right="-720"/>
        <w:rPr>
          <w:sz w:val="16"/>
          <w:szCs w:val="16"/>
        </w:rPr>
      </w:pPr>
    </w:p>
    <w:p w:rsidR="0051264E" w:rsidRPr="00AC4DB5" w:rsidRDefault="00AD28C9" w:rsidP="00063DE9">
      <w:pPr>
        <w:ind w:left="-360" w:right="-720"/>
        <w:rPr>
          <w:b/>
          <w:bCs/>
        </w:rPr>
      </w:pPr>
      <w:r w:rsidRPr="00AC4DB5">
        <w:rPr>
          <w:b/>
          <w:bCs/>
        </w:rPr>
        <w:t>WHAT DOES A T-SCORE TELL YOU?</w:t>
      </w:r>
    </w:p>
    <w:p w:rsidR="00AD28C9" w:rsidRPr="00AC4DB5" w:rsidRDefault="004C5CE5" w:rsidP="00063DE9">
      <w:pPr>
        <w:ind w:left="-360" w:right="-720"/>
      </w:pPr>
      <w:r w:rsidRPr="00AC4DB5">
        <w:t xml:space="preserve">A normal T-score </w:t>
      </w:r>
      <w:r w:rsidR="001F2751" w:rsidRPr="00AC4DB5">
        <w:t xml:space="preserve">on a DEXA scan is above -1.0.  </w:t>
      </w:r>
      <w:r w:rsidR="00AD28C9" w:rsidRPr="00AC4DB5">
        <w:t>Generally, the larger the number (more positive), the denser the bones. As the numbers are more negative, the more brittle the bones. Using a traffic light analogy, each category below is assigned a color to the classifications designated by the World Health Organization:</w:t>
      </w:r>
    </w:p>
    <w:p w:rsidR="0051264E" w:rsidRPr="00D03863" w:rsidRDefault="0051264E" w:rsidP="00063DE9">
      <w:pPr>
        <w:ind w:left="-360" w:right="-720"/>
        <w:rPr>
          <w:sz w:val="16"/>
          <w:szCs w:val="16"/>
        </w:rPr>
      </w:pPr>
    </w:p>
    <w:p w:rsidR="00AD28C9" w:rsidRPr="00AC4DB5" w:rsidRDefault="00AD28C9" w:rsidP="00063DE9">
      <w:pPr>
        <w:ind w:right="-720" w:firstLine="720"/>
        <w:rPr>
          <w:b/>
          <w:bCs/>
        </w:rPr>
      </w:pPr>
      <w:r w:rsidRPr="00AC4DB5">
        <w:rPr>
          <w:b/>
          <w:bCs/>
          <w:u w:val="single"/>
        </w:rPr>
        <w:t>Color</w:t>
      </w:r>
      <w:r w:rsidRPr="00AC4DB5">
        <w:rPr>
          <w:b/>
          <w:bCs/>
        </w:rPr>
        <w:tab/>
      </w:r>
      <w:r w:rsidRPr="00AC4DB5">
        <w:rPr>
          <w:b/>
          <w:bCs/>
        </w:rPr>
        <w:tab/>
      </w:r>
      <w:r w:rsidRPr="00AC4DB5">
        <w:rPr>
          <w:b/>
          <w:bCs/>
        </w:rPr>
        <w:tab/>
      </w:r>
      <w:r w:rsidRPr="00AC4DB5">
        <w:rPr>
          <w:b/>
          <w:bCs/>
          <w:u w:val="single"/>
        </w:rPr>
        <w:t>T-Score</w:t>
      </w:r>
      <w:r w:rsidRPr="00AC4DB5">
        <w:rPr>
          <w:b/>
          <w:bCs/>
        </w:rPr>
        <w:t xml:space="preserve"> </w:t>
      </w:r>
      <w:r w:rsidRPr="00AC4DB5">
        <w:rPr>
          <w:b/>
          <w:bCs/>
        </w:rPr>
        <w:tab/>
      </w:r>
      <w:r w:rsidRPr="00AC4DB5">
        <w:rPr>
          <w:b/>
          <w:bCs/>
        </w:rPr>
        <w:tab/>
      </w:r>
      <w:r w:rsidRPr="00AC4DB5">
        <w:rPr>
          <w:b/>
          <w:bCs/>
          <w:u w:val="single"/>
        </w:rPr>
        <w:t>What it means</w:t>
      </w:r>
      <w:r w:rsidRPr="00AC4DB5">
        <w:rPr>
          <w:b/>
          <w:bCs/>
        </w:rPr>
        <w:tab/>
      </w:r>
      <w:r w:rsidRPr="00AC4DB5">
        <w:rPr>
          <w:b/>
          <w:bCs/>
        </w:rPr>
        <w:tab/>
      </w:r>
      <w:r w:rsidRPr="00AC4DB5">
        <w:rPr>
          <w:b/>
          <w:bCs/>
        </w:rPr>
        <w:tab/>
      </w:r>
      <w:r w:rsidRPr="00AC4DB5">
        <w:rPr>
          <w:b/>
          <w:bCs/>
        </w:rPr>
        <w:tab/>
      </w:r>
    </w:p>
    <w:p w:rsidR="00AD28C9" w:rsidRPr="00AC4DB5" w:rsidRDefault="00AD28C9" w:rsidP="00063DE9">
      <w:pPr>
        <w:numPr>
          <w:ilvl w:val="0"/>
          <w:numId w:val="8"/>
        </w:numPr>
        <w:ind w:left="0" w:right="-720"/>
      </w:pPr>
      <w:r w:rsidRPr="00AC4DB5">
        <w:t>Green</w:t>
      </w:r>
      <w:r w:rsidRPr="00AC4DB5">
        <w:tab/>
        <w:t>(GOOD)</w:t>
      </w:r>
      <w:r w:rsidRPr="00AC4DB5">
        <w:tab/>
      </w:r>
      <w:r w:rsidR="00063DE9">
        <w:tab/>
      </w:r>
      <w:r w:rsidRPr="00AC4DB5">
        <w:t>-1.0 and greater (+)</w:t>
      </w:r>
      <w:r w:rsidRPr="00AC4DB5">
        <w:tab/>
        <w:t>Bone density considered normal</w:t>
      </w:r>
    </w:p>
    <w:p w:rsidR="00AD28C9" w:rsidRPr="00AC4DB5" w:rsidRDefault="00AD28C9" w:rsidP="00063DE9">
      <w:pPr>
        <w:numPr>
          <w:ilvl w:val="0"/>
          <w:numId w:val="8"/>
        </w:numPr>
        <w:ind w:left="0" w:right="-720"/>
      </w:pPr>
      <w:r w:rsidRPr="00AC4DB5">
        <w:t>Yellow</w:t>
      </w:r>
      <w:r w:rsidRPr="00AC4DB5">
        <w:tab/>
        <w:t>(CAUTION)</w:t>
      </w:r>
      <w:r w:rsidRPr="00AC4DB5">
        <w:tab/>
      </w:r>
      <w:r w:rsidR="00063DE9">
        <w:tab/>
      </w:r>
      <w:r w:rsidRPr="00AC4DB5">
        <w:t>-1 to -2.5</w:t>
      </w:r>
      <w:r w:rsidRPr="00AC4DB5">
        <w:tab/>
      </w:r>
      <w:r w:rsidRPr="00AC4DB5">
        <w:tab/>
        <w:t xml:space="preserve">Osteopenia – some bone loss (which </w:t>
      </w:r>
    </w:p>
    <w:p w:rsidR="00AD28C9" w:rsidRPr="00AC4DB5" w:rsidRDefault="00AD28C9" w:rsidP="00063DE9">
      <w:pPr>
        <w:pStyle w:val="ListParagraph"/>
        <w:ind w:left="4320" w:right="-720" w:firstLine="720"/>
      </w:pPr>
      <w:r w:rsidRPr="00AC4DB5">
        <w:t>may later lead to osteoporosis)</w:t>
      </w:r>
    </w:p>
    <w:p w:rsidR="001F2751" w:rsidRPr="00AC4DB5" w:rsidRDefault="00AD28C9" w:rsidP="00063DE9">
      <w:pPr>
        <w:numPr>
          <w:ilvl w:val="0"/>
          <w:numId w:val="8"/>
        </w:numPr>
        <w:ind w:left="0" w:right="-720"/>
        <w:jc w:val="both"/>
      </w:pPr>
      <w:r w:rsidRPr="00AC4DB5">
        <w:t>Red (STOP- TREAT)</w:t>
      </w:r>
      <w:r w:rsidRPr="00AC4DB5">
        <w:tab/>
      </w:r>
      <w:r w:rsidR="00063DE9">
        <w:tab/>
      </w:r>
      <w:r w:rsidRPr="00AC4DB5">
        <w:t>-2.5 and lower</w:t>
      </w:r>
      <w:r w:rsidRPr="00AC4DB5">
        <w:tab/>
        <w:t>(-)</w:t>
      </w:r>
      <w:r w:rsidRPr="00AC4DB5">
        <w:tab/>
        <w:t>Osteoporosis – fracture likely</w:t>
      </w:r>
    </w:p>
    <w:p w:rsidR="00770AAE" w:rsidRPr="00AC4DB5" w:rsidRDefault="00770AAE" w:rsidP="00063DE9">
      <w:pPr>
        <w:ind w:right="-720"/>
        <w:jc w:val="both"/>
        <w:rPr>
          <w:b/>
          <w:bCs/>
        </w:rPr>
      </w:pPr>
    </w:p>
    <w:p w:rsidR="00882FF4" w:rsidRPr="00AC4DB5" w:rsidRDefault="00567D8B" w:rsidP="00063DE9">
      <w:pPr>
        <w:ind w:left="-360" w:right="-720"/>
        <w:rPr>
          <w:b/>
          <w:bCs/>
        </w:rPr>
      </w:pPr>
      <w:r w:rsidRPr="00AC4DB5">
        <w:rPr>
          <w:b/>
          <w:bCs/>
        </w:rPr>
        <w:t xml:space="preserve">OSTEOPOROSIS </w:t>
      </w:r>
      <w:r w:rsidR="00FD4797" w:rsidRPr="00AC4DB5">
        <w:rPr>
          <w:b/>
          <w:bCs/>
        </w:rPr>
        <w:t xml:space="preserve">RISK FACTORS </w:t>
      </w:r>
    </w:p>
    <w:p w:rsidR="00C84934" w:rsidRPr="00AC4DB5" w:rsidRDefault="00C84934" w:rsidP="00063DE9">
      <w:pPr>
        <w:ind w:left="-360" w:right="-720"/>
        <w:jc w:val="both"/>
        <w:rPr>
          <w:bCs/>
        </w:rPr>
      </w:pPr>
      <w:r w:rsidRPr="00AC4DB5">
        <w:rPr>
          <w:b/>
          <w:bCs/>
        </w:rPr>
        <w:t>Age</w:t>
      </w:r>
      <w:r w:rsidRPr="00AC4DB5">
        <w:rPr>
          <w:bCs/>
        </w:rPr>
        <w:t xml:space="preserve"> (over 50)</w:t>
      </w:r>
    </w:p>
    <w:p w:rsidR="00C84934" w:rsidRPr="00AC4DB5" w:rsidRDefault="00C84934" w:rsidP="00063DE9">
      <w:pPr>
        <w:ind w:left="-360" w:right="-720"/>
        <w:jc w:val="both"/>
        <w:rPr>
          <w:bCs/>
        </w:rPr>
      </w:pPr>
      <w:r w:rsidRPr="00AC4DB5">
        <w:rPr>
          <w:b/>
          <w:bCs/>
        </w:rPr>
        <w:t>Gender</w:t>
      </w:r>
      <w:r w:rsidRPr="00AC4DB5">
        <w:rPr>
          <w:bCs/>
        </w:rPr>
        <w:t xml:space="preserve"> (females at higher risk)</w:t>
      </w:r>
    </w:p>
    <w:p w:rsidR="00C84934" w:rsidRPr="00AC4DB5" w:rsidRDefault="00C84934" w:rsidP="00063DE9">
      <w:pPr>
        <w:ind w:left="-360" w:right="-720"/>
        <w:jc w:val="both"/>
        <w:rPr>
          <w:b/>
          <w:bCs/>
        </w:rPr>
      </w:pPr>
      <w:r w:rsidRPr="00AC4DB5">
        <w:rPr>
          <w:b/>
          <w:bCs/>
        </w:rPr>
        <w:t>Family history</w:t>
      </w:r>
    </w:p>
    <w:p w:rsidR="00C84934" w:rsidRPr="00AC4DB5" w:rsidRDefault="00C84934" w:rsidP="00063DE9">
      <w:pPr>
        <w:ind w:left="-360" w:right="-720"/>
        <w:jc w:val="both"/>
        <w:rPr>
          <w:bCs/>
        </w:rPr>
      </w:pPr>
      <w:r w:rsidRPr="00AC4DB5">
        <w:rPr>
          <w:b/>
          <w:bCs/>
        </w:rPr>
        <w:lastRenderedPageBreak/>
        <w:t>Autoimmune disorders</w:t>
      </w:r>
      <w:r w:rsidRPr="00AC4DB5">
        <w:rPr>
          <w:bCs/>
        </w:rPr>
        <w:t xml:space="preserve"> (rheumatoid arthritis - RA, lupus, multiple sclerosis, ankylosing spondylitis)</w:t>
      </w:r>
    </w:p>
    <w:p w:rsidR="00C84934" w:rsidRPr="00AC4DB5" w:rsidRDefault="00C84934" w:rsidP="00063DE9">
      <w:pPr>
        <w:ind w:left="-360" w:right="-720"/>
        <w:jc w:val="both"/>
        <w:rPr>
          <w:bCs/>
        </w:rPr>
      </w:pPr>
      <w:r w:rsidRPr="00AC4DB5">
        <w:rPr>
          <w:b/>
          <w:bCs/>
        </w:rPr>
        <w:t>Digestive and Gastrointestinal disorders</w:t>
      </w:r>
      <w:r w:rsidRPr="00AC4DB5">
        <w:rPr>
          <w:bCs/>
        </w:rPr>
        <w:t xml:space="preserve"> (celiac disease, inflammatory bowel disease – IBD, weight loss surgery)</w:t>
      </w:r>
    </w:p>
    <w:p w:rsidR="00C84934" w:rsidRPr="00AC4DB5" w:rsidRDefault="00C84934" w:rsidP="00063DE9">
      <w:pPr>
        <w:ind w:left="-360" w:right="-720"/>
        <w:jc w:val="both"/>
        <w:rPr>
          <w:bCs/>
        </w:rPr>
      </w:pPr>
      <w:r w:rsidRPr="00AC4DB5">
        <w:rPr>
          <w:b/>
          <w:bCs/>
        </w:rPr>
        <w:t>Medical Procedures</w:t>
      </w:r>
      <w:r w:rsidRPr="00AC4DB5">
        <w:rPr>
          <w:bCs/>
        </w:rPr>
        <w:t xml:space="preserve"> (gastrectomy, gastrointestinal bypass)</w:t>
      </w:r>
    </w:p>
    <w:p w:rsidR="00C84934" w:rsidRPr="00AC4DB5" w:rsidRDefault="00C84934" w:rsidP="00063DE9">
      <w:pPr>
        <w:ind w:left="-360" w:right="-720"/>
        <w:jc w:val="both"/>
        <w:rPr>
          <w:bCs/>
        </w:rPr>
      </w:pPr>
      <w:r w:rsidRPr="00AC4DB5">
        <w:rPr>
          <w:b/>
          <w:bCs/>
        </w:rPr>
        <w:t>Hematologic/Blood disorders</w:t>
      </w:r>
      <w:r w:rsidRPr="00AC4DB5">
        <w:rPr>
          <w:bCs/>
        </w:rPr>
        <w:t xml:space="preserve"> (leukemia and lymphoma, multiple myeloma, sickle cell disease)</w:t>
      </w:r>
    </w:p>
    <w:p w:rsidR="00C84934" w:rsidRPr="00AC4DB5" w:rsidRDefault="00C84934" w:rsidP="00063DE9">
      <w:pPr>
        <w:ind w:left="-360" w:right="-720"/>
        <w:jc w:val="both"/>
        <w:rPr>
          <w:bCs/>
        </w:rPr>
      </w:pPr>
      <w:r w:rsidRPr="00AC4DB5">
        <w:rPr>
          <w:b/>
          <w:bCs/>
        </w:rPr>
        <w:t>Neurological/Nervous System disorders</w:t>
      </w:r>
      <w:r w:rsidRPr="00AC4DB5">
        <w:rPr>
          <w:bCs/>
        </w:rPr>
        <w:t xml:space="preserve"> (stroke, Parkinson’s disease, multiple sclerosis – MS, spinal cord injuries)</w:t>
      </w:r>
    </w:p>
    <w:p w:rsidR="00C84934" w:rsidRPr="00AC4DB5" w:rsidRDefault="00C84934" w:rsidP="00063DE9">
      <w:pPr>
        <w:ind w:left="-360" w:right="-720"/>
        <w:jc w:val="both"/>
        <w:rPr>
          <w:bCs/>
        </w:rPr>
      </w:pPr>
      <w:r w:rsidRPr="00AC4DB5">
        <w:rPr>
          <w:b/>
          <w:bCs/>
        </w:rPr>
        <w:t>Cancers</w:t>
      </w:r>
      <w:r w:rsidRPr="00AC4DB5">
        <w:rPr>
          <w:bCs/>
        </w:rPr>
        <w:t xml:space="preserve"> (breast and prostate cancer)</w:t>
      </w:r>
    </w:p>
    <w:p w:rsidR="00C84934" w:rsidRPr="00AC4DB5" w:rsidRDefault="00C84934" w:rsidP="00063DE9">
      <w:pPr>
        <w:ind w:left="-360" w:right="-720"/>
        <w:jc w:val="both"/>
        <w:rPr>
          <w:bCs/>
        </w:rPr>
      </w:pPr>
      <w:r w:rsidRPr="00063DE9">
        <w:rPr>
          <w:b/>
          <w:bCs/>
        </w:rPr>
        <w:t>Blood and Bone Marrow disorders</w:t>
      </w:r>
      <w:r w:rsidRPr="00AC4DB5">
        <w:rPr>
          <w:bCs/>
        </w:rPr>
        <w:t xml:space="preserve"> (Thalassemia)</w:t>
      </w:r>
    </w:p>
    <w:p w:rsidR="00C84934" w:rsidRPr="00AC4DB5" w:rsidRDefault="00C84934" w:rsidP="00063DE9">
      <w:pPr>
        <w:ind w:left="-360" w:right="-720"/>
        <w:jc w:val="both"/>
        <w:rPr>
          <w:bCs/>
        </w:rPr>
      </w:pPr>
      <w:r w:rsidRPr="00063DE9">
        <w:rPr>
          <w:b/>
          <w:bCs/>
        </w:rPr>
        <w:t>Endocrine/Hormonal disorders</w:t>
      </w:r>
      <w:r w:rsidRPr="00AC4DB5">
        <w:rPr>
          <w:bCs/>
        </w:rPr>
        <w:t xml:space="preserve"> (diabetes, hyperparathyroidism, hyperthyroidism, Cushing’s syndrome, irregular menstrual cycles, </w:t>
      </w:r>
      <w:r w:rsidR="007D4D72" w:rsidRPr="00AC4DB5">
        <w:rPr>
          <w:bCs/>
        </w:rPr>
        <w:t>premature menopause, low levels of testosterone and estrogen in men)</w:t>
      </w:r>
    </w:p>
    <w:p w:rsidR="007D4D72" w:rsidRPr="00AC4DB5" w:rsidRDefault="007D4D72" w:rsidP="00063DE9">
      <w:pPr>
        <w:ind w:left="-360" w:right="-720"/>
        <w:jc w:val="both"/>
        <w:rPr>
          <w:bCs/>
        </w:rPr>
      </w:pPr>
      <w:r w:rsidRPr="00063DE9">
        <w:rPr>
          <w:b/>
          <w:bCs/>
        </w:rPr>
        <w:t>Mental Illness</w:t>
      </w:r>
      <w:r w:rsidRPr="00AC4DB5">
        <w:rPr>
          <w:bCs/>
        </w:rPr>
        <w:t xml:space="preserve"> (depression, eating disorders)</w:t>
      </w:r>
    </w:p>
    <w:p w:rsidR="002024B0" w:rsidRPr="00AC4DB5" w:rsidRDefault="007D4D72" w:rsidP="00063DE9">
      <w:pPr>
        <w:ind w:left="-360" w:right="-720"/>
        <w:jc w:val="both"/>
        <w:rPr>
          <w:b/>
          <w:bCs/>
        </w:rPr>
      </w:pPr>
      <w:r w:rsidRPr="00063DE9">
        <w:rPr>
          <w:b/>
          <w:bCs/>
        </w:rPr>
        <w:t>Other diseases and conditions</w:t>
      </w:r>
      <w:r w:rsidRPr="00AC4DB5">
        <w:rPr>
          <w:bCs/>
        </w:rPr>
        <w:t xml:space="preserve"> (AIDS/HIV, chronic obstructive pulmonary (COPD), emphysema, female athlete triad - includes loss of menstrual periods, eating </w:t>
      </w:r>
      <w:r w:rsidR="002024B0" w:rsidRPr="00AC4DB5">
        <w:rPr>
          <w:bCs/>
        </w:rPr>
        <w:t>disorders</w:t>
      </w:r>
      <w:r w:rsidRPr="00AC4DB5">
        <w:rPr>
          <w:bCs/>
        </w:rPr>
        <w:t xml:space="preserve">, and excessive exercise, chronic kidney disease, liver disease - including biliary cirrhosis, organ transplants, polio and post-polio syndrome, scoliosis, weight loss, history of fractures, immobility) </w:t>
      </w:r>
    </w:p>
    <w:p w:rsidR="00E9750B" w:rsidRPr="00E9750B" w:rsidRDefault="00E9750B" w:rsidP="00063DE9">
      <w:pPr>
        <w:ind w:left="-360" w:right="-720"/>
        <w:jc w:val="both"/>
        <w:rPr>
          <w:b/>
          <w:bCs/>
          <w:sz w:val="16"/>
          <w:szCs w:val="16"/>
        </w:rPr>
      </w:pPr>
    </w:p>
    <w:p w:rsidR="00FD4797" w:rsidRPr="00AC4DB5" w:rsidRDefault="00FD4797" w:rsidP="00063DE9">
      <w:pPr>
        <w:ind w:left="-360" w:right="-720"/>
        <w:jc w:val="both"/>
        <w:rPr>
          <w:b/>
          <w:bCs/>
        </w:rPr>
      </w:pPr>
      <w:r w:rsidRPr="00AC4DB5">
        <w:rPr>
          <w:b/>
          <w:bCs/>
        </w:rPr>
        <w:t>Medications:</w:t>
      </w:r>
    </w:p>
    <w:p w:rsidR="00FD4797" w:rsidRPr="00AC4DB5" w:rsidRDefault="00FD4797" w:rsidP="00063DE9">
      <w:pPr>
        <w:numPr>
          <w:ilvl w:val="0"/>
          <w:numId w:val="4"/>
        </w:numPr>
        <w:ind w:left="0" w:right="-720"/>
        <w:jc w:val="both"/>
      </w:pPr>
      <w:r w:rsidRPr="00AC4DB5">
        <w:t>Anti-seizure meds (</w:t>
      </w:r>
      <w:r w:rsidR="002269D1" w:rsidRPr="00AC4DB5">
        <w:t xml:space="preserve">only some, such as </w:t>
      </w:r>
      <w:r w:rsidRPr="00AC4DB5">
        <w:t>Dilantin</w:t>
      </w:r>
      <w:r w:rsidR="002269D1" w:rsidRPr="00AC4DB5">
        <w:t xml:space="preserve"> [phenytoin] and Solfoton [</w:t>
      </w:r>
      <w:r w:rsidR="002024B0" w:rsidRPr="00AC4DB5">
        <w:t>phenobarbital</w:t>
      </w:r>
      <w:r w:rsidR="002269D1" w:rsidRPr="00AC4DB5">
        <w:t>]</w:t>
      </w:r>
      <w:r w:rsidRPr="00AC4DB5">
        <w:t>)</w:t>
      </w:r>
    </w:p>
    <w:p w:rsidR="00FD4797" w:rsidRPr="00AC4DB5" w:rsidRDefault="00FD4797" w:rsidP="00063DE9">
      <w:pPr>
        <w:numPr>
          <w:ilvl w:val="0"/>
          <w:numId w:val="4"/>
        </w:numPr>
        <w:ind w:left="0" w:right="-720"/>
        <w:jc w:val="both"/>
      </w:pPr>
      <w:r w:rsidRPr="00AC4DB5">
        <w:t>Steroid</w:t>
      </w:r>
      <w:r w:rsidR="0025021B" w:rsidRPr="00AC4DB5">
        <w:t>s</w:t>
      </w:r>
      <w:r w:rsidRPr="00AC4DB5">
        <w:t>/Corticosteroids (</w:t>
      </w:r>
      <w:bookmarkStart w:id="0" w:name="_Hlk76978889"/>
      <w:r w:rsidRPr="00AC4DB5">
        <w:t>e</w:t>
      </w:r>
      <w:r w:rsidR="00CA014A">
        <w:t>.g.,</w:t>
      </w:r>
      <w:r w:rsidRPr="00AC4DB5">
        <w:t xml:space="preserve"> </w:t>
      </w:r>
      <w:bookmarkEnd w:id="0"/>
      <w:r w:rsidRPr="00AC4DB5">
        <w:t xml:space="preserve">Prednisone, </w:t>
      </w:r>
      <w:r w:rsidR="0025021B" w:rsidRPr="00AC4DB5">
        <w:t>Nasonex, Flonase</w:t>
      </w:r>
      <w:r w:rsidRPr="00AC4DB5">
        <w:t>)</w:t>
      </w:r>
    </w:p>
    <w:p w:rsidR="00FD4797" w:rsidRPr="00AC4DB5" w:rsidRDefault="00FD4797" w:rsidP="00063DE9">
      <w:pPr>
        <w:numPr>
          <w:ilvl w:val="0"/>
          <w:numId w:val="4"/>
        </w:numPr>
        <w:ind w:left="0" w:right="-720"/>
        <w:jc w:val="both"/>
      </w:pPr>
      <w:r w:rsidRPr="00AC4DB5">
        <w:t>Psychotropic meds (</w:t>
      </w:r>
      <w:r w:rsidR="00CA014A" w:rsidRPr="00AC4DB5">
        <w:t>e</w:t>
      </w:r>
      <w:r w:rsidR="00CA014A">
        <w:t>.g.,</w:t>
      </w:r>
      <w:r w:rsidR="00CA014A" w:rsidRPr="00AC4DB5">
        <w:t xml:space="preserve"> </w:t>
      </w:r>
      <w:r w:rsidRPr="00AC4DB5">
        <w:t>Haldol, Seroquel)</w:t>
      </w:r>
    </w:p>
    <w:p w:rsidR="00FD4797" w:rsidRPr="00AC4DB5" w:rsidRDefault="00FD4797" w:rsidP="00063DE9">
      <w:pPr>
        <w:numPr>
          <w:ilvl w:val="0"/>
          <w:numId w:val="4"/>
        </w:numPr>
        <w:ind w:left="0" w:right="-720"/>
        <w:jc w:val="both"/>
        <w:rPr>
          <w:b/>
          <w:bCs/>
        </w:rPr>
      </w:pPr>
      <w:r w:rsidRPr="00AC4DB5">
        <w:t>Gastric meds (</w:t>
      </w:r>
      <w:r w:rsidR="00CA014A" w:rsidRPr="00AC4DB5">
        <w:t>e</w:t>
      </w:r>
      <w:r w:rsidR="00CA014A">
        <w:t>.g.,</w:t>
      </w:r>
      <w:r w:rsidR="00CA014A" w:rsidRPr="00AC4DB5">
        <w:t xml:space="preserve"> </w:t>
      </w:r>
      <w:r w:rsidR="006C7604" w:rsidRPr="00AC4DB5">
        <w:t xml:space="preserve">Nexium, Prevacid, </w:t>
      </w:r>
      <w:r w:rsidRPr="00AC4DB5">
        <w:t>Prilosec</w:t>
      </w:r>
      <w:r w:rsidR="006C7604" w:rsidRPr="00AC4DB5">
        <w:rPr>
          <w:b/>
          <w:bCs/>
        </w:rPr>
        <w:t>)</w:t>
      </w:r>
    </w:p>
    <w:p w:rsidR="002269D1" w:rsidRPr="00AC4DB5" w:rsidRDefault="002269D1" w:rsidP="00063DE9">
      <w:pPr>
        <w:numPr>
          <w:ilvl w:val="0"/>
          <w:numId w:val="4"/>
        </w:numPr>
        <w:ind w:left="0" w:right="-720"/>
        <w:jc w:val="both"/>
        <w:rPr>
          <w:bCs/>
        </w:rPr>
      </w:pPr>
      <w:r w:rsidRPr="00AC4DB5">
        <w:rPr>
          <w:bCs/>
        </w:rPr>
        <w:t>Aluminum containing antacids</w:t>
      </w:r>
    </w:p>
    <w:p w:rsidR="002269D1" w:rsidRPr="00AC4DB5" w:rsidRDefault="002269D1" w:rsidP="00063DE9">
      <w:pPr>
        <w:numPr>
          <w:ilvl w:val="0"/>
          <w:numId w:val="4"/>
        </w:numPr>
        <w:spacing w:before="100" w:beforeAutospacing="1" w:after="100" w:afterAutospacing="1"/>
        <w:ind w:left="0" w:right="-720"/>
      </w:pPr>
      <w:r w:rsidRPr="00AC4DB5">
        <w:t xml:space="preserve">Aromatase inhibitors </w:t>
      </w:r>
      <w:r w:rsidR="002F234D">
        <w:t>(e.g.,</w:t>
      </w:r>
      <w:r w:rsidRPr="00AC4DB5">
        <w:t xml:space="preserve"> Arimidex, Aromasin</w:t>
      </w:r>
      <w:r w:rsidR="002F234D">
        <w:t>,</w:t>
      </w:r>
      <w:r w:rsidRPr="00AC4DB5">
        <w:t xml:space="preserve"> Femara</w:t>
      </w:r>
      <w:r w:rsidR="002F234D">
        <w:t>)</w:t>
      </w:r>
    </w:p>
    <w:p w:rsidR="002269D1" w:rsidRPr="00AC4DB5" w:rsidRDefault="002269D1" w:rsidP="00063DE9">
      <w:pPr>
        <w:numPr>
          <w:ilvl w:val="0"/>
          <w:numId w:val="4"/>
        </w:numPr>
        <w:spacing w:before="100" w:beforeAutospacing="1" w:after="100" w:afterAutospacing="1"/>
        <w:ind w:left="0" w:right="-720"/>
      </w:pPr>
      <w:r w:rsidRPr="00AC4DB5">
        <w:t>Cancer chemotherapeutic drugs</w:t>
      </w:r>
    </w:p>
    <w:p w:rsidR="002269D1" w:rsidRPr="00AC4DB5" w:rsidRDefault="002269D1" w:rsidP="00063DE9">
      <w:pPr>
        <w:numPr>
          <w:ilvl w:val="0"/>
          <w:numId w:val="4"/>
        </w:numPr>
        <w:spacing w:before="100" w:beforeAutospacing="1" w:after="100" w:afterAutospacing="1"/>
        <w:ind w:left="0" w:right="-720"/>
      </w:pPr>
      <w:r w:rsidRPr="00AC4DB5">
        <w:t>Cyclosporine A and FK506 (Tacrolimus)</w:t>
      </w:r>
    </w:p>
    <w:p w:rsidR="002269D1" w:rsidRPr="00AC4DB5" w:rsidRDefault="002269D1" w:rsidP="00063DE9">
      <w:pPr>
        <w:numPr>
          <w:ilvl w:val="0"/>
          <w:numId w:val="4"/>
        </w:numPr>
        <w:spacing w:before="100" w:beforeAutospacing="1" w:after="100" w:afterAutospacing="1"/>
        <w:ind w:left="0" w:right="-720"/>
      </w:pPr>
      <w:r w:rsidRPr="00AC4DB5">
        <w:t xml:space="preserve">Gonadotropin releasing hormone (GnRH) </w:t>
      </w:r>
      <w:r w:rsidR="002F234D">
        <w:t>(e.g.,</w:t>
      </w:r>
      <w:r w:rsidRPr="00AC4DB5">
        <w:t xml:space="preserve"> Lupron</w:t>
      </w:r>
      <w:r w:rsidR="002F234D">
        <w:t>,</w:t>
      </w:r>
      <w:r w:rsidRPr="00AC4DB5">
        <w:t xml:space="preserve"> Zoladex</w:t>
      </w:r>
      <w:r w:rsidR="002F234D">
        <w:t>)</w:t>
      </w:r>
    </w:p>
    <w:p w:rsidR="002269D1" w:rsidRPr="00AC4DB5" w:rsidRDefault="002269D1" w:rsidP="00063DE9">
      <w:pPr>
        <w:numPr>
          <w:ilvl w:val="0"/>
          <w:numId w:val="4"/>
        </w:numPr>
        <w:spacing w:before="100" w:beforeAutospacing="1" w:after="100" w:afterAutospacing="1"/>
        <w:ind w:left="0" w:right="-720"/>
      </w:pPr>
      <w:r w:rsidRPr="00AC4DB5">
        <w:t>Heparin</w:t>
      </w:r>
    </w:p>
    <w:p w:rsidR="002269D1" w:rsidRPr="00AC4DB5" w:rsidRDefault="002269D1" w:rsidP="00063DE9">
      <w:pPr>
        <w:numPr>
          <w:ilvl w:val="0"/>
          <w:numId w:val="4"/>
        </w:numPr>
        <w:spacing w:before="100" w:beforeAutospacing="1" w:after="100" w:afterAutospacing="1"/>
        <w:ind w:left="0" w:right="-720"/>
      </w:pPr>
      <w:r w:rsidRPr="00AC4DB5">
        <w:t>Lithium</w:t>
      </w:r>
    </w:p>
    <w:p w:rsidR="002269D1" w:rsidRPr="00AC4DB5" w:rsidRDefault="002269D1" w:rsidP="00063DE9">
      <w:pPr>
        <w:numPr>
          <w:ilvl w:val="0"/>
          <w:numId w:val="4"/>
        </w:numPr>
        <w:spacing w:before="100" w:beforeAutospacing="1" w:after="100" w:afterAutospacing="1"/>
        <w:ind w:left="0" w:right="-720"/>
      </w:pPr>
      <w:r w:rsidRPr="00AC4DB5">
        <w:t>Medroxyprogesterone acetate for contraception (Depo-Provera)</w:t>
      </w:r>
    </w:p>
    <w:p w:rsidR="002269D1" w:rsidRPr="00AC4DB5" w:rsidRDefault="002269D1" w:rsidP="00063DE9">
      <w:pPr>
        <w:numPr>
          <w:ilvl w:val="0"/>
          <w:numId w:val="4"/>
        </w:numPr>
        <w:spacing w:before="100" w:beforeAutospacing="1" w:after="100" w:afterAutospacing="1"/>
        <w:ind w:left="0" w:right="-720"/>
      </w:pPr>
      <w:r w:rsidRPr="00AC4DB5">
        <w:t>Methotrexate</w:t>
      </w:r>
    </w:p>
    <w:p w:rsidR="002269D1" w:rsidRPr="00AC4DB5" w:rsidRDefault="002269D1" w:rsidP="00063DE9">
      <w:pPr>
        <w:numPr>
          <w:ilvl w:val="0"/>
          <w:numId w:val="4"/>
        </w:numPr>
        <w:spacing w:before="100" w:beforeAutospacing="1" w:after="100" w:afterAutospacing="1"/>
        <w:ind w:left="0" w:right="-720"/>
      </w:pPr>
      <w:r w:rsidRPr="00AC4DB5">
        <w:t>Proton pump inhibitors (PPIs) such as Nexium, Prevacid and Prilosec</w:t>
      </w:r>
    </w:p>
    <w:p w:rsidR="002269D1" w:rsidRPr="00AC4DB5" w:rsidRDefault="002269D1" w:rsidP="00063DE9">
      <w:pPr>
        <w:numPr>
          <w:ilvl w:val="0"/>
          <w:numId w:val="4"/>
        </w:numPr>
        <w:spacing w:before="100" w:beforeAutospacing="1" w:after="100" w:afterAutospacing="1"/>
        <w:ind w:left="0" w:right="-720"/>
      </w:pPr>
      <w:r w:rsidRPr="00AC4DB5">
        <w:t xml:space="preserve">Selective serotonin reuptake inhibitors (SSRIs) </w:t>
      </w:r>
      <w:r w:rsidR="002F234D">
        <w:t xml:space="preserve">(e.g., </w:t>
      </w:r>
      <w:r w:rsidRPr="00AC4DB5">
        <w:t>Lexapro, Prozac</w:t>
      </w:r>
      <w:r w:rsidR="002F234D">
        <w:t>,</w:t>
      </w:r>
      <w:r w:rsidRPr="00AC4DB5">
        <w:t xml:space="preserve"> Zoloft</w:t>
      </w:r>
      <w:r w:rsidR="002F234D">
        <w:t>)</w:t>
      </w:r>
    </w:p>
    <w:p w:rsidR="002269D1" w:rsidRPr="00AC4DB5" w:rsidRDefault="002269D1" w:rsidP="00063DE9">
      <w:pPr>
        <w:numPr>
          <w:ilvl w:val="0"/>
          <w:numId w:val="4"/>
        </w:numPr>
        <w:spacing w:before="100" w:beforeAutospacing="1" w:after="100" w:afterAutospacing="1"/>
        <w:ind w:left="0" w:right="-720"/>
      </w:pPr>
      <w:r w:rsidRPr="00AC4DB5">
        <w:t xml:space="preserve">Steroids (glucocorticoids) </w:t>
      </w:r>
      <w:r w:rsidR="002F234D">
        <w:t xml:space="preserve">(e.g., </w:t>
      </w:r>
      <w:r w:rsidRPr="00AC4DB5">
        <w:t>cortisone</w:t>
      </w:r>
      <w:r w:rsidR="002F234D">
        <w:t>,</w:t>
      </w:r>
      <w:r w:rsidRPr="00AC4DB5">
        <w:t xml:space="preserve"> prednisone</w:t>
      </w:r>
      <w:r w:rsidR="002F234D">
        <w:t>)</w:t>
      </w:r>
    </w:p>
    <w:p w:rsidR="002269D1" w:rsidRPr="00AC4DB5" w:rsidRDefault="002269D1" w:rsidP="00063DE9">
      <w:pPr>
        <w:numPr>
          <w:ilvl w:val="0"/>
          <w:numId w:val="4"/>
        </w:numPr>
        <w:spacing w:before="100" w:beforeAutospacing="1" w:after="100" w:afterAutospacing="1"/>
        <w:ind w:left="0" w:right="-720"/>
      </w:pPr>
      <w:r w:rsidRPr="00AC4DB5">
        <w:t>Tamoxifen (premenopausal use)</w:t>
      </w:r>
    </w:p>
    <w:p w:rsidR="002269D1" w:rsidRPr="00AC4DB5" w:rsidRDefault="002269D1" w:rsidP="00063DE9">
      <w:pPr>
        <w:numPr>
          <w:ilvl w:val="0"/>
          <w:numId w:val="4"/>
        </w:numPr>
        <w:spacing w:before="100" w:beforeAutospacing="1" w:after="100" w:afterAutospacing="1"/>
        <w:ind w:left="0" w:right="-720"/>
      </w:pPr>
      <w:r w:rsidRPr="00AC4DB5">
        <w:t xml:space="preserve">Thiazolidinediones </w:t>
      </w:r>
      <w:r w:rsidR="002F234D">
        <w:t xml:space="preserve">(e.g., </w:t>
      </w:r>
      <w:r w:rsidRPr="00AC4DB5">
        <w:t>Actos</w:t>
      </w:r>
      <w:r w:rsidR="002F234D">
        <w:t>,</w:t>
      </w:r>
      <w:r w:rsidRPr="00AC4DB5">
        <w:t xml:space="preserve"> Avandia</w:t>
      </w:r>
      <w:r w:rsidR="002F234D">
        <w:t>)</w:t>
      </w:r>
    </w:p>
    <w:p w:rsidR="005B58BC" w:rsidRPr="00AC4DB5" w:rsidRDefault="002269D1" w:rsidP="00063DE9">
      <w:pPr>
        <w:numPr>
          <w:ilvl w:val="0"/>
          <w:numId w:val="4"/>
        </w:numPr>
        <w:spacing w:before="100" w:beforeAutospacing="1" w:after="100" w:afterAutospacing="1"/>
        <w:ind w:left="0" w:right="-720"/>
        <w:jc w:val="both"/>
      </w:pPr>
      <w:r w:rsidRPr="00AC4DB5">
        <w:t>Thyroid hormones in excess</w:t>
      </w:r>
    </w:p>
    <w:p w:rsidR="00A2688D" w:rsidRDefault="001F2751" w:rsidP="00063DE9">
      <w:pPr>
        <w:spacing w:before="100" w:beforeAutospacing="1"/>
        <w:ind w:left="-360" w:right="-720"/>
        <w:jc w:val="both"/>
        <w:rPr>
          <w:rStyle w:val="hgkelc"/>
        </w:rPr>
      </w:pPr>
      <w:r w:rsidRPr="00AC4DB5">
        <w:rPr>
          <w:rStyle w:val="hgkelc"/>
        </w:rPr>
        <w:t>The U.S. Preventive Services Task Force (</w:t>
      </w:r>
      <w:r w:rsidRPr="00AC4DB5">
        <w:rPr>
          <w:rStyle w:val="hgkelc"/>
          <w:bCs/>
        </w:rPr>
        <w:t>USPSTF</w:t>
      </w:r>
      <w:r w:rsidRPr="00AC4DB5">
        <w:rPr>
          <w:rStyle w:val="hgkelc"/>
        </w:rPr>
        <w:t xml:space="preserve">) </w:t>
      </w:r>
      <w:r w:rsidRPr="00AC4DB5">
        <w:rPr>
          <w:rStyle w:val="hgkelc"/>
          <w:bCs/>
        </w:rPr>
        <w:t>recommends screening</w:t>
      </w:r>
      <w:r w:rsidRPr="00AC4DB5">
        <w:rPr>
          <w:rStyle w:val="hgkelc"/>
        </w:rPr>
        <w:t xml:space="preserve"> for </w:t>
      </w:r>
      <w:r w:rsidRPr="00AC4DB5">
        <w:rPr>
          <w:rStyle w:val="hgkelc"/>
          <w:bCs/>
        </w:rPr>
        <w:t>osteoporosis</w:t>
      </w:r>
      <w:r w:rsidRPr="00AC4DB5">
        <w:rPr>
          <w:rStyle w:val="hgkelc"/>
        </w:rPr>
        <w:t xml:space="preserve"> in women age 65 years and older, and in women younger than age 65 years who have been through menopause and are at increased risk for </w:t>
      </w:r>
      <w:r w:rsidRPr="00AC4DB5">
        <w:rPr>
          <w:rStyle w:val="hgkelc"/>
          <w:bCs/>
        </w:rPr>
        <w:t>osteoporosis</w:t>
      </w:r>
      <w:r w:rsidRPr="00AC4DB5">
        <w:rPr>
          <w:rStyle w:val="hgkelc"/>
        </w:rPr>
        <w:t>. This recommendation applies to adults without a history of low-trauma fractures, conditions that</w:t>
      </w:r>
      <w:r w:rsidR="007A3D3B" w:rsidRPr="00AC4DB5">
        <w:rPr>
          <w:rStyle w:val="hgkelc"/>
        </w:rPr>
        <w:t xml:space="preserve"> </w:t>
      </w:r>
      <w:r w:rsidRPr="00AC4DB5">
        <w:rPr>
          <w:rStyle w:val="hgkelc"/>
        </w:rPr>
        <w:t>cause secondary osteoporosis (i.e., metabolic bone disease or untreated hyperthyroidism), and other conditions which may cause secondary osteoporosis</w:t>
      </w:r>
      <w:r w:rsidR="00E50CCA" w:rsidRPr="00AC4DB5">
        <w:rPr>
          <w:rStyle w:val="hgkelc"/>
        </w:rPr>
        <w:t xml:space="preserve"> (US Preventive Services Task Force [USPSTF], 2018)</w:t>
      </w:r>
      <w:r w:rsidRPr="00AC4DB5">
        <w:rPr>
          <w:rStyle w:val="hgkelc"/>
        </w:rPr>
        <w:t xml:space="preserve">. </w:t>
      </w:r>
    </w:p>
    <w:p w:rsidR="00D03863" w:rsidRDefault="00D03863" w:rsidP="00063DE9">
      <w:pPr>
        <w:ind w:left="-360" w:right="-720"/>
        <w:jc w:val="both"/>
        <w:rPr>
          <w:bCs/>
          <w:sz w:val="16"/>
          <w:szCs w:val="16"/>
        </w:rPr>
      </w:pPr>
    </w:p>
    <w:p w:rsidR="00E9750B" w:rsidRDefault="00E9750B" w:rsidP="00063DE9">
      <w:pPr>
        <w:ind w:left="-360" w:right="-720"/>
        <w:jc w:val="both"/>
        <w:rPr>
          <w:bCs/>
          <w:sz w:val="16"/>
          <w:szCs w:val="16"/>
        </w:rPr>
      </w:pPr>
    </w:p>
    <w:p w:rsidR="00E9750B" w:rsidRDefault="00E9750B" w:rsidP="00063DE9">
      <w:pPr>
        <w:ind w:left="-360" w:right="-720"/>
        <w:jc w:val="both"/>
        <w:rPr>
          <w:bCs/>
          <w:sz w:val="16"/>
          <w:szCs w:val="16"/>
        </w:rPr>
      </w:pPr>
    </w:p>
    <w:p w:rsidR="00E9750B" w:rsidRPr="00D03863" w:rsidRDefault="00E9750B" w:rsidP="00063DE9">
      <w:pPr>
        <w:ind w:left="-360" w:right="-720"/>
        <w:jc w:val="both"/>
        <w:rPr>
          <w:bCs/>
          <w:sz w:val="16"/>
          <w:szCs w:val="16"/>
        </w:rPr>
      </w:pPr>
    </w:p>
    <w:p w:rsidR="00BA7753" w:rsidRPr="00AC4DB5" w:rsidRDefault="007561F9" w:rsidP="00063DE9">
      <w:pPr>
        <w:ind w:left="-360" w:right="-720"/>
        <w:jc w:val="both"/>
        <w:rPr>
          <w:b/>
          <w:bCs/>
        </w:rPr>
      </w:pPr>
      <w:r w:rsidRPr="00AC4DB5">
        <w:rPr>
          <w:b/>
          <w:bCs/>
        </w:rPr>
        <w:t>TREATMENT</w:t>
      </w:r>
    </w:p>
    <w:p w:rsidR="005B58BC" w:rsidRPr="00AC4DB5" w:rsidRDefault="002269D1" w:rsidP="00063DE9">
      <w:pPr>
        <w:ind w:left="-360" w:right="-720"/>
        <w:jc w:val="both"/>
      </w:pPr>
      <w:r w:rsidRPr="00AC4DB5">
        <w:t>Treatment may be recommended based on osteoporosis diagnostic criteria and symptoms.  Treatment may include</w:t>
      </w:r>
      <w:r w:rsidR="00E32322" w:rsidRPr="00AC4DB5">
        <w:t xml:space="preserve"> the following medications</w:t>
      </w:r>
      <w:r w:rsidRPr="00AC4DB5">
        <w:t xml:space="preserve">: </w:t>
      </w:r>
    </w:p>
    <w:p w:rsidR="005B58BC" w:rsidRPr="00D03863" w:rsidRDefault="005B58BC" w:rsidP="00063DE9">
      <w:pPr>
        <w:ind w:left="-360" w:right="-720"/>
        <w:jc w:val="both"/>
        <w:rPr>
          <w:sz w:val="16"/>
          <w:szCs w:val="16"/>
        </w:rPr>
      </w:pPr>
    </w:p>
    <w:p w:rsidR="0051264E" w:rsidRPr="00AC4DB5" w:rsidRDefault="00E32322" w:rsidP="00063DE9">
      <w:pPr>
        <w:ind w:left="-360" w:right="-720"/>
        <w:jc w:val="both"/>
      </w:pPr>
      <w:r w:rsidRPr="00AC4DB5">
        <w:rPr>
          <w:rStyle w:val="Strong"/>
        </w:rPr>
        <w:t>Osteoporosis drugs (bisphosphonates)</w:t>
      </w:r>
      <w:r w:rsidR="00C030CE">
        <w:rPr>
          <w:rStyle w:val="Strong"/>
        </w:rPr>
        <w:t xml:space="preserve"> </w:t>
      </w:r>
      <w:r w:rsidRPr="00AC4DB5">
        <w:t xml:space="preserve">Some bisphosphonates are taken by mouth, while others are given by injection. </w:t>
      </w:r>
      <w:r w:rsidR="00F0255B" w:rsidRPr="00AC4DB5">
        <w:t>Bisphosphonates include:</w:t>
      </w:r>
    </w:p>
    <w:p w:rsidR="0051264E" w:rsidRPr="00AC4DB5" w:rsidRDefault="00E32322" w:rsidP="00CA014A">
      <w:pPr>
        <w:numPr>
          <w:ilvl w:val="0"/>
          <w:numId w:val="10"/>
        </w:numPr>
        <w:tabs>
          <w:tab w:val="clear" w:pos="720"/>
        </w:tabs>
        <w:ind w:left="0" w:right="-720"/>
        <w:jc w:val="both"/>
      </w:pPr>
      <w:r w:rsidRPr="00AC4DB5">
        <w:t>Alendronate (Fosamax)</w:t>
      </w:r>
      <w:r w:rsidR="00F0255B" w:rsidRPr="00AC4DB5">
        <w:t xml:space="preserve"> – oral </w:t>
      </w:r>
    </w:p>
    <w:p w:rsidR="00E32322" w:rsidRPr="00AC4DB5" w:rsidRDefault="00E32322" w:rsidP="00CA014A">
      <w:pPr>
        <w:numPr>
          <w:ilvl w:val="0"/>
          <w:numId w:val="10"/>
        </w:numPr>
        <w:tabs>
          <w:tab w:val="clear" w:pos="720"/>
        </w:tabs>
        <w:ind w:left="0" w:right="-720"/>
        <w:jc w:val="both"/>
      </w:pPr>
      <w:r w:rsidRPr="00AC4DB5">
        <w:t>Ibandronate (Boniva)</w:t>
      </w:r>
    </w:p>
    <w:p w:rsidR="00F0255B" w:rsidRPr="00AC4DB5" w:rsidRDefault="00E32322" w:rsidP="00CA014A">
      <w:pPr>
        <w:pStyle w:val="p1"/>
        <w:numPr>
          <w:ilvl w:val="0"/>
          <w:numId w:val="10"/>
        </w:numPr>
        <w:tabs>
          <w:tab w:val="clear" w:pos="720"/>
        </w:tabs>
        <w:ind w:left="0" w:right="-720"/>
      </w:pPr>
      <w:r w:rsidRPr="00AC4DB5">
        <w:t>Risedronate (Actonel)</w:t>
      </w:r>
    </w:p>
    <w:p w:rsidR="00F0255B" w:rsidRPr="00AC4DB5" w:rsidRDefault="00F0255B" w:rsidP="00CA014A">
      <w:pPr>
        <w:pStyle w:val="p1"/>
        <w:numPr>
          <w:ilvl w:val="0"/>
          <w:numId w:val="10"/>
        </w:numPr>
        <w:tabs>
          <w:tab w:val="clear" w:pos="720"/>
        </w:tabs>
        <w:ind w:left="0" w:right="-720"/>
        <w:rPr>
          <w:rStyle w:val="Strong"/>
          <w:b w:val="0"/>
          <w:bCs w:val="0"/>
        </w:rPr>
      </w:pPr>
      <w:r w:rsidRPr="00AC4DB5">
        <w:rPr>
          <w:rStyle w:val="Strong"/>
          <w:b w:val="0"/>
        </w:rPr>
        <w:t>Reclast (z</w:t>
      </w:r>
      <w:r w:rsidR="00E32322" w:rsidRPr="00AC4DB5">
        <w:rPr>
          <w:rStyle w:val="Strong"/>
          <w:b w:val="0"/>
        </w:rPr>
        <w:t>oledronic acid</w:t>
      </w:r>
      <w:r w:rsidRPr="00AC4DB5">
        <w:rPr>
          <w:rStyle w:val="Strong"/>
          <w:b w:val="0"/>
        </w:rPr>
        <w:t>)</w:t>
      </w:r>
      <w:r w:rsidR="00E32322" w:rsidRPr="00AC4DB5">
        <w:rPr>
          <w:rStyle w:val="Strong"/>
          <w:b w:val="0"/>
        </w:rPr>
        <w:t xml:space="preserve"> </w:t>
      </w:r>
      <w:r w:rsidRPr="00AC4DB5">
        <w:rPr>
          <w:rStyle w:val="apple-converted-space"/>
          <w:bCs/>
        </w:rPr>
        <w:t>- intravenous</w:t>
      </w:r>
    </w:p>
    <w:p w:rsidR="00E32322" w:rsidRPr="00AC4DB5" w:rsidRDefault="00F0255B" w:rsidP="00CA014A">
      <w:pPr>
        <w:pStyle w:val="p1"/>
        <w:numPr>
          <w:ilvl w:val="0"/>
          <w:numId w:val="10"/>
        </w:numPr>
        <w:tabs>
          <w:tab w:val="clear" w:pos="720"/>
        </w:tabs>
        <w:ind w:left="0" w:right="-720"/>
      </w:pPr>
      <w:r w:rsidRPr="00AC4DB5">
        <w:rPr>
          <w:rStyle w:val="Strong"/>
          <w:b w:val="0"/>
        </w:rPr>
        <w:t>Aredia (</w:t>
      </w:r>
      <w:r w:rsidR="00E32322" w:rsidRPr="00AC4DB5">
        <w:rPr>
          <w:rStyle w:val="Strong"/>
          <w:b w:val="0"/>
        </w:rPr>
        <w:t>pamidronate</w:t>
      </w:r>
      <w:r w:rsidRPr="00AC4DB5">
        <w:rPr>
          <w:rStyle w:val="Strong"/>
          <w:b w:val="0"/>
        </w:rPr>
        <w:t xml:space="preserve">) </w:t>
      </w:r>
      <w:r w:rsidRPr="00AC4DB5">
        <w:t xml:space="preserve">- </w:t>
      </w:r>
      <w:r w:rsidR="00E32322" w:rsidRPr="00AC4DB5">
        <w:t xml:space="preserve">intravenous </w:t>
      </w:r>
    </w:p>
    <w:p w:rsidR="00F0255B" w:rsidRPr="00AC4DB5" w:rsidRDefault="00F0255B" w:rsidP="00CA014A">
      <w:pPr>
        <w:numPr>
          <w:ilvl w:val="0"/>
          <w:numId w:val="10"/>
        </w:numPr>
        <w:tabs>
          <w:tab w:val="clear" w:pos="720"/>
        </w:tabs>
        <w:ind w:left="0" w:right="-720"/>
        <w:jc w:val="both"/>
        <w:rPr>
          <w:lang w:val="en"/>
        </w:rPr>
      </w:pPr>
      <w:r w:rsidRPr="00AC4DB5">
        <w:rPr>
          <w:lang w:val="en"/>
        </w:rPr>
        <w:t>Prolia (denosumab) – subcutaneous injection</w:t>
      </w:r>
    </w:p>
    <w:p w:rsidR="00CF0D96" w:rsidRPr="00AC4DB5" w:rsidRDefault="00F0255B" w:rsidP="00CA014A">
      <w:pPr>
        <w:pStyle w:val="p1"/>
        <w:numPr>
          <w:ilvl w:val="0"/>
          <w:numId w:val="10"/>
        </w:numPr>
        <w:tabs>
          <w:tab w:val="clear" w:pos="720"/>
        </w:tabs>
        <w:ind w:left="0" w:right="-720"/>
      </w:pPr>
      <w:r w:rsidRPr="00AC4DB5">
        <w:rPr>
          <w:lang w:val="en"/>
        </w:rPr>
        <w:t xml:space="preserve">Forteo </w:t>
      </w:r>
      <w:r w:rsidR="00CF0D96" w:rsidRPr="00AC4DB5">
        <w:rPr>
          <w:lang w:val="en"/>
        </w:rPr>
        <w:t>(teriparatide rDNA origin) – intravenous or intramuscular injection</w:t>
      </w:r>
    </w:p>
    <w:p w:rsidR="00F0255B" w:rsidRPr="00AC4DB5" w:rsidRDefault="00F0255B" w:rsidP="00CA014A">
      <w:pPr>
        <w:pStyle w:val="p1"/>
        <w:numPr>
          <w:ilvl w:val="0"/>
          <w:numId w:val="10"/>
        </w:numPr>
        <w:tabs>
          <w:tab w:val="clear" w:pos="720"/>
        </w:tabs>
        <w:ind w:left="0" w:right="-720"/>
      </w:pPr>
      <w:r w:rsidRPr="00AC4DB5">
        <w:t xml:space="preserve">Bonsity (teriparatide) </w:t>
      </w:r>
      <w:r w:rsidRPr="00AC4DB5">
        <w:rPr>
          <w:lang w:val="en"/>
        </w:rPr>
        <w:t xml:space="preserve">– subcutaneous injection </w:t>
      </w:r>
    </w:p>
    <w:p w:rsidR="00506957" w:rsidRPr="00AC4DB5" w:rsidRDefault="00E32322" w:rsidP="00063DE9">
      <w:pPr>
        <w:pStyle w:val="p1"/>
        <w:spacing w:before="0" w:beforeAutospacing="0" w:after="0" w:afterAutospacing="0"/>
        <w:ind w:left="-360" w:right="-720"/>
      </w:pPr>
      <w:r w:rsidRPr="00AC4DB5">
        <w:t>People who cannot tolerate bisphosphonates may be prescribed calcitonin (Miacalcin), a naturally occurring hormone involved in calcium regulation and bone metabolism. Calcitonin is a drug that administered by injection or nasal spray.</w:t>
      </w:r>
    </w:p>
    <w:p w:rsidR="0051264E" w:rsidRPr="00E9750B" w:rsidRDefault="0051264E" w:rsidP="00063DE9">
      <w:pPr>
        <w:pStyle w:val="p1"/>
        <w:spacing w:before="0" w:beforeAutospacing="0" w:after="0" w:afterAutospacing="0"/>
        <w:ind w:left="-360" w:right="-720"/>
        <w:rPr>
          <w:sz w:val="16"/>
          <w:szCs w:val="16"/>
        </w:rPr>
      </w:pPr>
    </w:p>
    <w:p w:rsidR="00506957" w:rsidRPr="00AC4DB5" w:rsidRDefault="00E32322" w:rsidP="00063DE9">
      <w:pPr>
        <w:pStyle w:val="p1"/>
        <w:spacing w:before="0" w:beforeAutospacing="0" w:after="0" w:afterAutospacing="0"/>
        <w:ind w:left="-360" w:right="-720"/>
      </w:pPr>
      <w:r w:rsidRPr="00AC4DB5">
        <w:t>In rare cases, surgery might be required to:</w:t>
      </w:r>
    </w:p>
    <w:p w:rsidR="00E9750B" w:rsidRDefault="00E32322" w:rsidP="00CA014A">
      <w:pPr>
        <w:pStyle w:val="p1"/>
        <w:numPr>
          <w:ilvl w:val="0"/>
          <w:numId w:val="15"/>
        </w:numPr>
        <w:tabs>
          <w:tab w:val="clear" w:pos="720"/>
        </w:tabs>
        <w:spacing w:before="0" w:beforeAutospacing="0" w:after="0" w:afterAutospacing="0"/>
        <w:ind w:left="0" w:right="-720"/>
      </w:pPr>
      <w:r w:rsidRPr="00AC4DB5">
        <w:t>Help fractures heal</w:t>
      </w:r>
    </w:p>
    <w:p w:rsidR="00E32322" w:rsidRPr="00AC4DB5" w:rsidRDefault="00E32322" w:rsidP="00CA014A">
      <w:pPr>
        <w:pStyle w:val="p1"/>
        <w:numPr>
          <w:ilvl w:val="0"/>
          <w:numId w:val="15"/>
        </w:numPr>
        <w:tabs>
          <w:tab w:val="clear" w:pos="720"/>
        </w:tabs>
        <w:spacing w:before="0" w:beforeAutospacing="0" w:after="0" w:afterAutospacing="0"/>
        <w:ind w:left="0" w:right="-720"/>
      </w:pPr>
      <w:r w:rsidRPr="00AC4DB5">
        <w:t>Replace joints damaged by severe arthritis</w:t>
      </w:r>
    </w:p>
    <w:p w:rsidR="00E32322" w:rsidRPr="00AC4DB5" w:rsidRDefault="00E32322" w:rsidP="00CA014A">
      <w:pPr>
        <w:pStyle w:val="p1"/>
        <w:numPr>
          <w:ilvl w:val="0"/>
          <w:numId w:val="15"/>
        </w:numPr>
        <w:tabs>
          <w:tab w:val="clear" w:pos="720"/>
        </w:tabs>
        <w:ind w:left="0" w:right="-720"/>
      </w:pPr>
      <w:r w:rsidRPr="00AC4DB5">
        <w:t>Realign deformed bones</w:t>
      </w:r>
    </w:p>
    <w:p w:rsidR="007A47E0" w:rsidRPr="00AC4DB5" w:rsidRDefault="00E32322" w:rsidP="00CA014A">
      <w:pPr>
        <w:pStyle w:val="p1"/>
        <w:numPr>
          <w:ilvl w:val="0"/>
          <w:numId w:val="15"/>
        </w:numPr>
        <w:tabs>
          <w:tab w:val="clear" w:pos="720"/>
        </w:tabs>
        <w:ind w:left="0" w:right="-720"/>
        <w:jc w:val="both"/>
      </w:pPr>
      <w:r w:rsidRPr="00AC4DB5">
        <w:t>Reduce pressure on nerves</w:t>
      </w:r>
    </w:p>
    <w:p w:rsidR="00506957" w:rsidRPr="00AC4DB5" w:rsidRDefault="00506957" w:rsidP="00063DE9">
      <w:pPr>
        <w:pStyle w:val="Title"/>
        <w:ind w:left="-360" w:right="-720"/>
        <w:jc w:val="left"/>
        <w:rPr>
          <w:u w:val="none"/>
        </w:rPr>
      </w:pPr>
      <w:bookmarkStart w:id="1" w:name="_Hlk62484364"/>
      <w:r w:rsidRPr="00AC4DB5">
        <w:rPr>
          <w:u w:val="none"/>
        </w:rPr>
        <w:t xml:space="preserve">TIPS ON </w:t>
      </w:r>
      <w:r w:rsidR="00445010">
        <w:rPr>
          <w:u w:val="none"/>
        </w:rPr>
        <w:t>WORKING WITH</w:t>
      </w:r>
      <w:bookmarkStart w:id="2" w:name="_GoBack"/>
      <w:bookmarkEnd w:id="2"/>
      <w:r w:rsidRPr="00AC4DB5">
        <w:rPr>
          <w:u w:val="none"/>
        </w:rPr>
        <w:t xml:space="preserve"> INDIVIDUALS WITH OSTEOPOROSIS</w:t>
      </w:r>
    </w:p>
    <w:p w:rsidR="00506957" w:rsidRPr="00AC4DB5" w:rsidRDefault="00506957" w:rsidP="00063DE9">
      <w:pPr>
        <w:pStyle w:val="BodyText"/>
        <w:ind w:left="-360" w:right="-720"/>
      </w:pPr>
      <w:r w:rsidRPr="00AC4DB5">
        <w:t>Individuals who are non-ambulatory and wheelchair bound are much more likely to develop osteopenia or osteoporosis than those who are ambulatory. Osteoporosis increases the individual’s risk of sustaining a fracture. Being aware of this risk and practicing preventative measures to decrease the incidence of fractures is beneficial to the individuals supported by DDS.</w:t>
      </w:r>
    </w:p>
    <w:p w:rsidR="00506957" w:rsidRPr="00AC4DB5" w:rsidRDefault="00506957" w:rsidP="00063DE9">
      <w:pPr>
        <w:pStyle w:val="BodyText"/>
        <w:ind w:left="-360" w:right="-720"/>
        <w:rPr>
          <w:sz w:val="16"/>
          <w:szCs w:val="16"/>
        </w:rPr>
      </w:pPr>
    </w:p>
    <w:p w:rsidR="00506957" w:rsidRPr="00AC4DB5" w:rsidRDefault="00506957" w:rsidP="00063DE9">
      <w:pPr>
        <w:pStyle w:val="Heading1"/>
        <w:ind w:left="-360" w:right="-720"/>
        <w:rPr>
          <w:sz w:val="16"/>
          <w:szCs w:val="16"/>
        </w:rPr>
      </w:pPr>
      <w:r w:rsidRPr="00AC4DB5">
        <w:rPr>
          <w:u w:val="none"/>
        </w:rPr>
        <w:t>POINTS TO REMEMBER</w:t>
      </w:r>
    </w:p>
    <w:p w:rsidR="00506957" w:rsidRPr="00E9750B" w:rsidRDefault="00506957" w:rsidP="00CA014A">
      <w:pPr>
        <w:numPr>
          <w:ilvl w:val="0"/>
          <w:numId w:val="12"/>
        </w:numPr>
        <w:ind w:left="0" w:right="-720"/>
        <w:jc w:val="both"/>
      </w:pPr>
      <w:r w:rsidRPr="00E9750B">
        <w:t xml:space="preserve">During transfers, dressing and repositioning use gentle touch and maneuvers to avoid injury.  Individuals who have fragile bones may be predisposed to fractures. </w:t>
      </w:r>
    </w:p>
    <w:p w:rsidR="0051264E" w:rsidRPr="00063DE9" w:rsidRDefault="0051264E" w:rsidP="00CA014A">
      <w:pPr>
        <w:ind w:right="-720"/>
        <w:jc w:val="both"/>
        <w:rPr>
          <w:sz w:val="16"/>
          <w:szCs w:val="16"/>
        </w:rPr>
      </w:pPr>
    </w:p>
    <w:p w:rsidR="00506957" w:rsidRPr="00E9750B" w:rsidRDefault="00506957" w:rsidP="00CA014A">
      <w:pPr>
        <w:numPr>
          <w:ilvl w:val="0"/>
          <w:numId w:val="12"/>
        </w:numPr>
        <w:ind w:left="0" w:right="-720"/>
        <w:jc w:val="both"/>
      </w:pPr>
      <w:r w:rsidRPr="00E9750B">
        <w:t>For persons who are prescribed a motorized lift (i.e., Hoyer Lift), it should be utilized for all transfers unless otherwise specified.</w:t>
      </w:r>
    </w:p>
    <w:p w:rsidR="00506957" w:rsidRPr="00063DE9" w:rsidRDefault="00506957" w:rsidP="00CA014A">
      <w:pPr>
        <w:ind w:right="-720"/>
        <w:jc w:val="both"/>
        <w:rPr>
          <w:sz w:val="16"/>
          <w:szCs w:val="16"/>
        </w:rPr>
      </w:pPr>
    </w:p>
    <w:p w:rsidR="00506957" w:rsidRPr="00E9750B" w:rsidRDefault="00506957" w:rsidP="00CA014A">
      <w:pPr>
        <w:numPr>
          <w:ilvl w:val="0"/>
          <w:numId w:val="12"/>
        </w:numPr>
        <w:ind w:left="0" w:right="-720"/>
        <w:jc w:val="both"/>
      </w:pPr>
      <w:r w:rsidRPr="00E9750B">
        <w:t>When a motorized lift is not prescribed, in order to safely complete a two-person lift the two-staff must synchronize the lift with each other, this ensures a safe lift for individuals and staff.</w:t>
      </w:r>
    </w:p>
    <w:p w:rsidR="00506957" w:rsidRPr="00063DE9" w:rsidRDefault="00506957" w:rsidP="00CA014A">
      <w:pPr>
        <w:ind w:right="-720"/>
        <w:jc w:val="both"/>
        <w:rPr>
          <w:sz w:val="16"/>
          <w:szCs w:val="16"/>
        </w:rPr>
      </w:pPr>
    </w:p>
    <w:p w:rsidR="00506957" w:rsidRPr="00E9750B" w:rsidRDefault="00506957" w:rsidP="00CA014A">
      <w:pPr>
        <w:numPr>
          <w:ilvl w:val="0"/>
          <w:numId w:val="12"/>
        </w:numPr>
        <w:ind w:left="0" w:right="-720"/>
        <w:jc w:val="both"/>
      </w:pPr>
      <w:r w:rsidRPr="00E9750B">
        <w:t>Gently place the individual on a bed or chair.</w:t>
      </w:r>
    </w:p>
    <w:p w:rsidR="00506957" w:rsidRPr="00063DE9" w:rsidRDefault="00506957" w:rsidP="00CA014A">
      <w:pPr>
        <w:ind w:right="-720"/>
        <w:jc w:val="both"/>
        <w:rPr>
          <w:sz w:val="16"/>
          <w:szCs w:val="16"/>
        </w:rPr>
      </w:pPr>
    </w:p>
    <w:p w:rsidR="00506957" w:rsidRPr="00E9750B" w:rsidRDefault="00506957" w:rsidP="00CA014A">
      <w:pPr>
        <w:numPr>
          <w:ilvl w:val="0"/>
          <w:numId w:val="12"/>
        </w:numPr>
        <w:ind w:left="0" w:right="-720"/>
        <w:jc w:val="both"/>
      </w:pPr>
      <w:r w:rsidRPr="00E9750B">
        <w:t>When transporting individuals in wheelchair through doorways, always check their arms and legs to make sure that they are safely positioned to prevent injury. It is better to reverse the wheelchair/Comfy chair through the doorway for added safety.</w:t>
      </w:r>
    </w:p>
    <w:p w:rsidR="00506957" w:rsidRPr="00063DE9" w:rsidRDefault="00506957" w:rsidP="00CA014A">
      <w:pPr>
        <w:ind w:right="-720"/>
        <w:jc w:val="both"/>
        <w:rPr>
          <w:sz w:val="16"/>
          <w:szCs w:val="16"/>
        </w:rPr>
      </w:pPr>
    </w:p>
    <w:p w:rsidR="00506957" w:rsidRPr="00E9750B" w:rsidRDefault="00506957" w:rsidP="00CA014A">
      <w:pPr>
        <w:numPr>
          <w:ilvl w:val="0"/>
          <w:numId w:val="12"/>
        </w:numPr>
        <w:ind w:left="0" w:right="-720"/>
        <w:jc w:val="both"/>
      </w:pPr>
      <w:r w:rsidRPr="00E9750B">
        <w:lastRenderedPageBreak/>
        <w:t xml:space="preserve">An individual’s feet should always be placed on footrests when the wheelchair is in motion. If the person self-propels the wheelchair with his or her feet, always check to make sure that the lower legs are not dragging under the chair. </w:t>
      </w:r>
    </w:p>
    <w:p w:rsidR="00506957" w:rsidRPr="00063DE9" w:rsidRDefault="00506957" w:rsidP="00CA014A">
      <w:pPr>
        <w:ind w:right="-720"/>
        <w:jc w:val="both"/>
        <w:rPr>
          <w:sz w:val="16"/>
          <w:szCs w:val="16"/>
        </w:rPr>
      </w:pPr>
    </w:p>
    <w:p w:rsidR="00506957" w:rsidRPr="00E9750B" w:rsidRDefault="00506957" w:rsidP="00CA014A">
      <w:pPr>
        <w:numPr>
          <w:ilvl w:val="0"/>
          <w:numId w:val="12"/>
        </w:numPr>
        <w:ind w:left="0" w:right="-720"/>
        <w:jc w:val="both"/>
      </w:pPr>
      <w:r w:rsidRPr="00E9750B">
        <w:t>Do not pull individuals by their arms or legs when repositioning or dressing. Use safe supportive techniques. Whenever possible, two staff should be used to reposition heavier individuals.</w:t>
      </w:r>
    </w:p>
    <w:p w:rsidR="00506957" w:rsidRPr="00063DE9" w:rsidRDefault="00506957" w:rsidP="00CA014A">
      <w:pPr>
        <w:ind w:right="-720"/>
        <w:jc w:val="both"/>
        <w:rPr>
          <w:sz w:val="16"/>
          <w:szCs w:val="16"/>
        </w:rPr>
      </w:pPr>
    </w:p>
    <w:p w:rsidR="00506957" w:rsidRPr="00E9750B" w:rsidRDefault="00506957" w:rsidP="00CA014A">
      <w:pPr>
        <w:numPr>
          <w:ilvl w:val="0"/>
          <w:numId w:val="12"/>
        </w:numPr>
        <w:ind w:left="0" w:right="-720"/>
        <w:jc w:val="both"/>
      </w:pPr>
      <w:r w:rsidRPr="00E9750B">
        <w:t>When completing range of motion exercises, move the limbs only within the existing range. Do not force a movement.  Due care must also be taken when putting on and taking off shoes and splinting devices.</w:t>
      </w:r>
    </w:p>
    <w:p w:rsidR="00506957" w:rsidRPr="00063DE9" w:rsidRDefault="00506957" w:rsidP="00CA014A">
      <w:pPr>
        <w:ind w:right="-720"/>
        <w:jc w:val="both"/>
        <w:rPr>
          <w:sz w:val="16"/>
          <w:szCs w:val="16"/>
        </w:rPr>
      </w:pPr>
    </w:p>
    <w:p w:rsidR="00506957" w:rsidRPr="00E9750B" w:rsidRDefault="00506957" w:rsidP="00CA014A">
      <w:pPr>
        <w:numPr>
          <w:ilvl w:val="0"/>
          <w:numId w:val="12"/>
        </w:numPr>
        <w:ind w:left="0" w:right="-720"/>
        <w:jc w:val="both"/>
      </w:pPr>
      <w:r w:rsidRPr="00E9750B">
        <w:t>When completing mechanical transfers, make sure that the individual’s arms and legs are protected from injury.</w:t>
      </w:r>
    </w:p>
    <w:p w:rsidR="00506957" w:rsidRPr="00063DE9" w:rsidRDefault="00506957" w:rsidP="00CA014A">
      <w:pPr>
        <w:pStyle w:val="ListParagraph"/>
        <w:ind w:left="0" w:right="-720"/>
        <w:rPr>
          <w:sz w:val="16"/>
          <w:szCs w:val="16"/>
        </w:rPr>
      </w:pPr>
    </w:p>
    <w:p w:rsidR="00506957" w:rsidRPr="00E9750B" w:rsidRDefault="00506957" w:rsidP="00CA014A">
      <w:pPr>
        <w:numPr>
          <w:ilvl w:val="0"/>
          <w:numId w:val="12"/>
        </w:numPr>
        <w:ind w:left="0" w:right="-720"/>
        <w:jc w:val="both"/>
      </w:pPr>
      <w:r w:rsidRPr="00E9750B">
        <w:t xml:space="preserve"> Residential home staff are the first line of prevention in making sure that the home is safe. Notify the supervisor/charge person of any areas inside of the home, outside perimeter, or vehicle which may increase the risk for falls; or may cause trauma to the feet, such as uneven floors, rugs, or uneven thresholds leading into or out of rooms.</w:t>
      </w:r>
    </w:p>
    <w:p w:rsidR="0051264E" w:rsidRPr="00063DE9" w:rsidRDefault="0051264E" w:rsidP="00063DE9">
      <w:pPr>
        <w:pStyle w:val="ListParagraph"/>
        <w:ind w:left="-360" w:right="-720"/>
        <w:rPr>
          <w:sz w:val="16"/>
          <w:szCs w:val="16"/>
        </w:rPr>
      </w:pPr>
    </w:p>
    <w:bookmarkEnd w:id="1"/>
    <w:p w:rsidR="005B58BC" w:rsidRDefault="00734981" w:rsidP="00063DE9">
      <w:pPr>
        <w:ind w:left="-360" w:right="-720"/>
      </w:pPr>
      <w:r w:rsidRPr="00734981">
        <w:rPr>
          <w:b/>
        </w:rPr>
        <w:t>REFERENCES</w:t>
      </w:r>
    </w:p>
    <w:p w:rsidR="005B58BC" w:rsidRDefault="00E87FA8" w:rsidP="00063DE9">
      <w:pPr>
        <w:ind w:left="-360" w:right="-720"/>
      </w:pPr>
      <w:r w:rsidRPr="00CA014A">
        <w:rPr>
          <w:b/>
        </w:rPr>
        <w:t>National Center for Biotechnology Information</w:t>
      </w:r>
      <w:r>
        <w:t xml:space="preserve"> </w:t>
      </w:r>
      <w:hyperlink r:id="rId8" w:history="1">
        <w:r w:rsidR="005B58BC" w:rsidRPr="0053188A">
          <w:rPr>
            <w:rStyle w:val="Hyperlink"/>
          </w:rPr>
          <w:t>https://www.ncbi.nlm.nih.gov/pmc/articles/PMC3597289/</w:t>
        </w:r>
      </w:hyperlink>
    </w:p>
    <w:p w:rsidR="005B58BC" w:rsidRPr="00063DE9" w:rsidRDefault="005B58BC" w:rsidP="00063DE9">
      <w:pPr>
        <w:ind w:left="-360" w:right="-720"/>
        <w:rPr>
          <w:sz w:val="16"/>
          <w:szCs w:val="16"/>
        </w:rPr>
      </w:pPr>
    </w:p>
    <w:p w:rsidR="002024B0" w:rsidRPr="00CA014A" w:rsidRDefault="002024B0" w:rsidP="00063DE9">
      <w:pPr>
        <w:ind w:left="-360" w:right="-720"/>
        <w:rPr>
          <w:b/>
        </w:rPr>
      </w:pPr>
      <w:r w:rsidRPr="00CA014A">
        <w:rPr>
          <w:b/>
        </w:rPr>
        <w:t>MAYO Clinic</w:t>
      </w:r>
    </w:p>
    <w:p w:rsidR="002024B0" w:rsidRDefault="001E76E6" w:rsidP="00063DE9">
      <w:pPr>
        <w:ind w:left="-360" w:right="-720"/>
      </w:pPr>
      <w:hyperlink r:id="rId9" w:history="1">
        <w:r w:rsidR="002024B0" w:rsidRPr="001615EE">
          <w:rPr>
            <w:rStyle w:val="Hyperlink"/>
          </w:rPr>
          <w:t>https://www.mayoclinic.org/diseases-conditions/osteoporosis/symptoms-causes/syc-20351968</w:t>
        </w:r>
      </w:hyperlink>
    </w:p>
    <w:p w:rsidR="00734981" w:rsidRPr="00063DE9" w:rsidRDefault="00734981" w:rsidP="00063DE9">
      <w:pPr>
        <w:ind w:left="-360" w:right="-720"/>
        <w:rPr>
          <w:sz w:val="16"/>
          <w:szCs w:val="16"/>
        </w:rPr>
      </w:pPr>
    </w:p>
    <w:p w:rsidR="00734981" w:rsidRPr="00CA014A" w:rsidRDefault="00734981" w:rsidP="00063DE9">
      <w:pPr>
        <w:ind w:left="-360" w:right="-720"/>
        <w:rPr>
          <w:b/>
        </w:rPr>
      </w:pPr>
      <w:r w:rsidRPr="00CA014A">
        <w:rPr>
          <w:b/>
        </w:rPr>
        <w:t>World Health Organization</w:t>
      </w:r>
    </w:p>
    <w:p w:rsidR="002024B0" w:rsidRDefault="001E76E6" w:rsidP="00063DE9">
      <w:pPr>
        <w:ind w:left="-360" w:right="-720"/>
      </w:pPr>
      <w:hyperlink r:id="rId10" w:history="1">
        <w:r w:rsidR="00734981" w:rsidRPr="0053188A">
          <w:rPr>
            <w:rStyle w:val="Hyperlink"/>
          </w:rPr>
          <w:t>https://www.who.int/chp/topics/Osteoporosis.pdf</w:t>
        </w:r>
      </w:hyperlink>
    </w:p>
    <w:p w:rsidR="00734981" w:rsidRPr="00063DE9" w:rsidRDefault="00734981" w:rsidP="00063DE9">
      <w:pPr>
        <w:ind w:left="-360" w:right="-720"/>
        <w:rPr>
          <w:sz w:val="16"/>
          <w:szCs w:val="16"/>
        </w:rPr>
      </w:pPr>
    </w:p>
    <w:p w:rsidR="00E87FA8" w:rsidRPr="00CA014A" w:rsidRDefault="002024B0" w:rsidP="00063DE9">
      <w:pPr>
        <w:ind w:left="-360" w:right="-720"/>
        <w:rPr>
          <w:b/>
        </w:rPr>
      </w:pPr>
      <w:r w:rsidRPr="00CA014A">
        <w:rPr>
          <w:b/>
        </w:rPr>
        <w:t xml:space="preserve">National Osteoporosis Foundation. (n.d.). </w:t>
      </w:r>
    </w:p>
    <w:p w:rsidR="002024B0" w:rsidRPr="001615EE" w:rsidRDefault="001E76E6" w:rsidP="00063DE9">
      <w:pPr>
        <w:ind w:left="-360" w:right="-720"/>
      </w:pPr>
      <w:hyperlink r:id="rId11" w:history="1">
        <w:r w:rsidR="00E87FA8" w:rsidRPr="0053188A">
          <w:rPr>
            <w:rStyle w:val="Hyperlink"/>
          </w:rPr>
          <w:t>https://www.nof.org/patients/what-is-osteoporosis/</w:t>
        </w:r>
      </w:hyperlink>
    </w:p>
    <w:p w:rsidR="005B58BC" w:rsidRPr="00063DE9" w:rsidRDefault="005B58BC" w:rsidP="00063DE9">
      <w:pPr>
        <w:ind w:left="-360" w:right="-720"/>
        <w:rPr>
          <w:sz w:val="16"/>
          <w:szCs w:val="16"/>
        </w:rPr>
      </w:pPr>
    </w:p>
    <w:p w:rsidR="002024B0" w:rsidRPr="00CA014A" w:rsidRDefault="002024B0" w:rsidP="00063DE9">
      <w:pPr>
        <w:ind w:left="-360" w:right="-720"/>
        <w:rPr>
          <w:b/>
        </w:rPr>
      </w:pPr>
      <w:r w:rsidRPr="00CA014A">
        <w:rPr>
          <w:b/>
        </w:rPr>
        <w:t>NIH Osteoporosis and Related Bone Disease National Resource Center</w:t>
      </w:r>
    </w:p>
    <w:p w:rsidR="002024B0" w:rsidRDefault="001E76E6" w:rsidP="00063DE9">
      <w:pPr>
        <w:ind w:left="-360" w:right="-720"/>
      </w:pPr>
      <w:hyperlink r:id="rId12" w:history="1">
        <w:r w:rsidR="002024B0" w:rsidRPr="001615EE">
          <w:rPr>
            <w:rStyle w:val="Hyperlink"/>
          </w:rPr>
          <w:t>https://www.bones.nih.gov/health-info/bone/osteoporosis/overview</w:t>
        </w:r>
      </w:hyperlink>
    </w:p>
    <w:p w:rsidR="002024B0" w:rsidRPr="00063DE9" w:rsidRDefault="002024B0" w:rsidP="00063DE9">
      <w:pPr>
        <w:ind w:left="-360" w:right="-720"/>
        <w:rPr>
          <w:sz w:val="16"/>
          <w:szCs w:val="16"/>
        </w:rPr>
      </w:pPr>
    </w:p>
    <w:p w:rsidR="001F2751" w:rsidRDefault="001F2751" w:rsidP="00063DE9">
      <w:pPr>
        <w:ind w:left="-360" w:right="-720"/>
      </w:pPr>
      <w:r w:rsidRPr="00CA014A">
        <w:rPr>
          <w:b/>
        </w:rPr>
        <w:t xml:space="preserve">US Preventive Services Task Force </w:t>
      </w:r>
      <w:r w:rsidR="00CA014A">
        <w:rPr>
          <w:b/>
        </w:rPr>
        <w:t>(</w:t>
      </w:r>
      <w:r w:rsidRPr="00CA014A">
        <w:rPr>
          <w:b/>
        </w:rPr>
        <w:t>USPSTF</w:t>
      </w:r>
      <w:r w:rsidR="00CA014A">
        <w:rPr>
          <w:b/>
        </w:rPr>
        <w:t>)</w:t>
      </w:r>
      <w:r w:rsidR="00E50CCA" w:rsidRPr="001615EE">
        <w:t xml:space="preserve"> </w:t>
      </w:r>
      <w:hyperlink r:id="rId13" w:history="1">
        <w:r w:rsidR="002024B0" w:rsidRPr="001615EE">
          <w:rPr>
            <w:rStyle w:val="Hyperlink"/>
          </w:rPr>
          <w:t>https://www.uspreventiveservicestaskforce.org/uspstf/document/RecommendationStatementFinal/osteoporosis-screening</w:t>
        </w:r>
      </w:hyperlink>
    </w:p>
    <w:p w:rsidR="005B58BC" w:rsidRPr="00063DE9" w:rsidRDefault="005B58BC" w:rsidP="00063DE9">
      <w:pPr>
        <w:ind w:left="-360" w:right="-720"/>
        <w:rPr>
          <w:sz w:val="16"/>
          <w:szCs w:val="16"/>
        </w:rPr>
      </w:pPr>
    </w:p>
    <w:p w:rsidR="005B58BC" w:rsidRPr="001615EE" w:rsidRDefault="005B58BC" w:rsidP="00063DE9">
      <w:pPr>
        <w:ind w:left="-360" w:right="-720"/>
        <w:jc w:val="both"/>
      </w:pPr>
      <w:r w:rsidRPr="00CA014A">
        <w:rPr>
          <w:b/>
        </w:rPr>
        <w:t>RXList Bonsity</w:t>
      </w:r>
      <w:r w:rsidRPr="001615EE">
        <w:t xml:space="preserve"> </w:t>
      </w:r>
      <w:hyperlink r:id="rId14" w:history="1">
        <w:r w:rsidRPr="001615EE">
          <w:rPr>
            <w:rStyle w:val="Hyperlink"/>
          </w:rPr>
          <w:t>https://www.rxlist.com/bonsity-drug.htm</w:t>
        </w:r>
      </w:hyperlink>
    </w:p>
    <w:p w:rsidR="005B58BC" w:rsidRPr="001615EE" w:rsidRDefault="001E76E6" w:rsidP="00063DE9">
      <w:pPr>
        <w:ind w:left="-360" w:right="-720"/>
        <w:jc w:val="both"/>
      </w:pPr>
      <w:hyperlink r:id="rId15" w:history="1">
        <w:r w:rsidR="005B58BC" w:rsidRPr="001615EE">
          <w:rPr>
            <w:rStyle w:val="Hyperlink"/>
          </w:rPr>
          <w:t>https://www.accessdata.fda.gov/drugsatfda_docs/label/2019/211939s000lbl.pdf</w:t>
        </w:r>
      </w:hyperlink>
    </w:p>
    <w:p w:rsidR="005B58BC" w:rsidRPr="00063DE9" w:rsidRDefault="005B58BC" w:rsidP="00063DE9">
      <w:pPr>
        <w:ind w:left="-360" w:right="-720"/>
        <w:jc w:val="both"/>
        <w:rPr>
          <w:sz w:val="16"/>
          <w:szCs w:val="16"/>
        </w:rPr>
      </w:pPr>
    </w:p>
    <w:p w:rsidR="005B58BC" w:rsidRPr="001615EE" w:rsidRDefault="005B58BC" w:rsidP="00063DE9">
      <w:pPr>
        <w:ind w:left="-360" w:right="-720"/>
        <w:jc w:val="both"/>
      </w:pPr>
      <w:r w:rsidRPr="002F234D">
        <w:rPr>
          <w:b/>
        </w:rPr>
        <w:t xml:space="preserve">RxList Forteo </w:t>
      </w:r>
      <w:hyperlink r:id="rId16" w:history="1">
        <w:r w:rsidRPr="001615EE">
          <w:rPr>
            <w:rStyle w:val="Hyperlink"/>
          </w:rPr>
          <w:t>https://www.rxlist.com/forteo-drug.htm</w:t>
        </w:r>
      </w:hyperlink>
      <w:r w:rsidRPr="001615EE">
        <w:t xml:space="preserve"> </w:t>
      </w:r>
    </w:p>
    <w:p w:rsidR="005B58BC" w:rsidRPr="001615EE" w:rsidRDefault="001E76E6" w:rsidP="00063DE9">
      <w:pPr>
        <w:ind w:left="-360" w:right="-720"/>
        <w:jc w:val="both"/>
        <w:rPr>
          <w:highlight w:val="yellow"/>
        </w:rPr>
      </w:pPr>
      <w:hyperlink r:id="rId17" w:history="1">
        <w:r w:rsidR="005B58BC" w:rsidRPr="001615EE">
          <w:rPr>
            <w:rStyle w:val="Hyperlink"/>
          </w:rPr>
          <w:t>https://www.rxlist.com/bonsity_vs_forteo/drugs-condition.htm</w:t>
        </w:r>
      </w:hyperlink>
    </w:p>
    <w:sectPr w:rsidR="005B58BC" w:rsidRPr="001615EE">
      <w:headerReference w:type="default" r:id="rId18"/>
      <w:footerReference w:type="default" r:id="rId1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69E4" w:rsidRDefault="000E69E4" w:rsidP="007561F9">
      <w:r>
        <w:separator/>
      </w:r>
    </w:p>
  </w:endnote>
  <w:endnote w:type="continuationSeparator" w:id="0">
    <w:p w:rsidR="000E69E4" w:rsidRDefault="000E69E4" w:rsidP="00756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0854" w:rsidRDefault="00D80854" w:rsidP="00E9750B">
    <w:pPr>
      <w:pStyle w:val="Footer"/>
      <w:jc w:val="both"/>
    </w:pPr>
    <w:r>
      <w:t xml:space="preserve"> </w:t>
    </w:r>
    <w:bookmarkStart w:id="3" w:name="_Hlk62485347"/>
    <w:r w:rsidR="00E9750B" w:rsidRPr="00E9750B">
      <w:rPr>
        <w:sz w:val="20"/>
        <w:szCs w:val="20"/>
      </w:rPr>
      <w:t xml:space="preserve">DDS Health Standard 21-1 </w:t>
    </w:r>
    <w:bookmarkEnd w:id="3"/>
    <w:r w:rsidR="00E9750B" w:rsidRPr="00E9750B">
      <w:rPr>
        <w:sz w:val="20"/>
        <w:szCs w:val="20"/>
      </w:rPr>
      <w:t>Attachment A</w:t>
    </w:r>
    <w:r w:rsidR="00E9750B">
      <w:rPr>
        <w:sz w:val="20"/>
        <w:szCs w:val="20"/>
      </w:rPr>
      <w:tab/>
    </w:r>
    <w:r w:rsidR="00E9750B">
      <w:rPr>
        <w:sz w:val="20"/>
        <w:szCs w:val="20"/>
      </w:rPr>
      <w:tab/>
    </w:r>
    <w:r>
      <w:t xml:space="preserve"> 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69E4" w:rsidRDefault="000E69E4" w:rsidP="007561F9">
      <w:r>
        <w:separator/>
      </w:r>
    </w:p>
  </w:footnote>
  <w:footnote w:type="continuationSeparator" w:id="0">
    <w:p w:rsidR="000E69E4" w:rsidRDefault="000E69E4" w:rsidP="007561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61F9" w:rsidRPr="004F1DF6" w:rsidRDefault="00AF74A7" w:rsidP="004F1DF6">
    <w:pPr>
      <w:ind w:right="-720"/>
      <w:jc w:val="center"/>
      <w:rPr>
        <w:b/>
      </w:rPr>
    </w:pPr>
    <w:r w:rsidRPr="004F1DF6">
      <w:rPr>
        <w:b/>
      </w:rPr>
      <w:t>STATE OF CONNECTICUT</w:t>
    </w:r>
  </w:p>
  <w:p w:rsidR="007561F9" w:rsidRPr="004F1DF6" w:rsidRDefault="00AF74A7" w:rsidP="004F1DF6">
    <w:pPr>
      <w:ind w:right="-720"/>
      <w:jc w:val="center"/>
      <w:rPr>
        <w:b/>
      </w:rPr>
    </w:pPr>
    <w:r w:rsidRPr="004F1DF6">
      <w:rPr>
        <w:b/>
        <w:bCs/>
      </w:rPr>
      <w:t>DEPARTMENT OF DEVELOPMENTAL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45D89"/>
    <w:multiLevelType w:val="hybridMultilevel"/>
    <w:tmpl w:val="174283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42230B6"/>
    <w:multiLevelType w:val="multilevel"/>
    <w:tmpl w:val="CC985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8557BC"/>
    <w:multiLevelType w:val="multilevel"/>
    <w:tmpl w:val="0AEC5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550D78"/>
    <w:multiLevelType w:val="hybridMultilevel"/>
    <w:tmpl w:val="44F4D1E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CC04A1"/>
    <w:multiLevelType w:val="multilevel"/>
    <w:tmpl w:val="99CCB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9F0B94"/>
    <w:multiLevelType w:val="hybridMultilevel"/>
    <w:tmpl w:val="ADC28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A35669"/>
    <w:multiLevelType w:val="hybridMultilevel"/>
    <w:tmpl w:val="B0122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5E09CD"/>
    <w:multiLevelType w:val="hybridMultilevel"/>
    <w:tmpl w:val="63EA9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AE0EB4"/>
    <w:multiLevelType w:val="hybridMultilevel"/>
    <w:tmpl w:val="84623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C5146B"/>
    <w:multiLevelType w:val="multilevel"/>
    <w:tmpl w:val="E1E48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4F586C"/>
    <w:multiLevelType w:val="hybridMultilevel"/>
    <w:tmpl w:val="18501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736AB6"/>
    <w:multiLevelType w:val="multilevel"/>
    <w:tmpl w:val="3C7826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3C7A45"/>
    <w:multiLevelType w:val="hybridMultilevel"/>
    <w:tmpl w:val="0F243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D77746"/>
    <w:multiLevelType w:val="hybridMultilevel"/>
    <w:tmpl w:val="1E920CD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6FB422A5"/>
    <w:multiLevelType w:val="hybridMultilevel"/>
    <w:tmpl w:val="72D6F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0"/>
  </w:num>
  <w:num w:numId="4">
    <w:abstractNumId w:val="14"/>
  </w:num>
  <w:num w:numId="5">
    <w:abstractNumId w:val="8"/>
  </w:num>
  <w:num w:numId="6">
    <w:abstractNumId w:val="12"/>
  </w:num>
  <w:num w:numId="7">
    <w:abstractNumId w:val="6"/>
  </w:num>
  <w:num w:numId="8">
    <w:abstractNumId w:val="3"/>
  </w:num>
  <w:num w:numId="9">
    <w:abstractNumId w:val="2"/>
  </w:num>
  <w:num w:numId="10">
    <w:abstractNumId w:val="1"/>
  </w:num>
  <w:num w:numId="11">
    <w:abstractNumId w:val="9"/>
  </w:num>
  <w:num w:numId="12">
    <w:abstractNumId w:val="13"/>
  </w:num>
  <w:num w:numId="13">
    <w:abstractNumId w:val="5"/>
  </w:num>
  <w:num w:numId="14">
    <w:abstractNumId w:val="7"/>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32B"/>
    <w:rsid w:val="00003184"/>
    <w:rsid w:val="0000434A"/>
    <w:rsid w:val="0002498F"/>
    <w:rsid w:val="000340F4"/>
    <w:rsid w:val="0003452C"/>
    <w:rsid w:val="00054FBA"/>
    <w:rsid w:val="00063DE9"/>
    <w:rsid w:val="00093F5D"/>
    <w:rsid w:val="000B163E"/>
    <w:rsid w:val="000E0C42"/>
    <w:rsid w:val="000E69E4"/>
    <w:rsid w:val="000F7D64"/>
    <w:rsid w:val="00112E8C"/>
    <w:rsid w:val="0012472D"/>
    <w:rsid w:val="001615EE"/>
    <w:rsid w:val="00173142"/>
    <w:rsid w:val="001E76E6"/>
    <w:rsid w:val="001F2751"/>
    <w:rsid w:val="0020092F"/>
    <w:rsid w:val="002024B0"/>
    <w:rsid w:val="002269D1"/>
    <w:rsid w:val="0025021B"/>
    <w:rsid w:val="00263037"/>
    <w:rsid w:val="002710C6"/>
    <w:rsid w:val="00271616"/>
    <w:rsid w:val="002F234D"/>
    <w:rsid w:val="003067C2"/>
    <w:rsid w:val="00327219"/>
    <w:rsid w:val="003A0677"/>
    <w:rsid w:val="003D3943"/>
    <w:rsid w:val="00410385"/>
    <w:rsid w:val="00423789"/>
    <w:rsid w:val="0043002D"/>
    <w:rsid w:val="00445010"/>
    <w:rsid w:val="00465574"/>
    <w:rsid w:val="00482319"/>
    <w:rsid w:val="004877BC"/>
    <w:rsid w:val="004879D4"/>
    <w:rsid w:val="004C5CE5"/>
    <w:rsid w:val="004E0FEC"/>
    <w:rsid w:val="004F1DF6"/>
    <w:rsid w:val="00506957"/>
    <w:rsid w:val="0051264E"/>
    <w:rsid w:val="0051527B"/>
    <w:rsid w:val="005344C4"/>
    <w:rsid w:val="00556B7E"/>
    <w:rsid w:val="00564CCA"/>
    <w:rsid w:val="00567279"/>
    <w:rsid w:val="00567D8B"/>
    <w:rsid w:val="00575FED"/>
    <w:rsid w:val="005823FD"/>
    <w:rsid w:val="005B58BC"/>
    <w:rsid w:val="005E4268"/>
    <w:rsid w:val="00614D99"/>
    <w:rsid w:val="00642ADB"/>
    <w:rsid w:val="00685B6C"/>
    <w:rsid w:val="006C7604"/>
    <w:rsid w:val="006D4FFC"/>
    <w:rsid w:val="006E2664"/>
    <w:rsid w:val="007020CB"/>
    <w:rsid w:val="00711949"/>
    <w:rsid w:val="007133A7"/>
    <w:rsid w:val="00715449"/>
    <w:rsid w:val="007159FF"/>
    <w:rsid w:val="00734981"/>
    <w:rsid w:val="007561F9"/>
    <w:rsid w:val="00770AAE"/>
    <w:rsid w:val="007A3D3B"/>
    <w:rsid w:val="007A47E0"/>
    <w:rsid w:val="007B554A"/>
    <w:rsid w:val="007C2672"/>
    <w:rsid w:val="007D4D72"/>
    <w:rsid w:val="00816EF5"/>
    <w:rsid w:val="008262B5"/>
    <w:rsid w:val="00882FF4"/>
    <w:rsid w:val="00894FE4"/>
    <w:rsid w:val="008D7C0F"/>
    <w:rsid w:val="009A2C2E"/>
    <w:rsid w:val="009A52B9"/>
    <w:rsid w:val="00A2688D"/>
    <w:rsid w:val="00A72EA3"/>
    <w:rsid w:val="00A86C67"/>
    <w:rsid w:val="00AC4DB5"/>
    <w:rsid w:val="00AD28C9"/>
    <w:rsid w:val="00AF74A7"/>
    <w:rsid w:val="00B150F6"/>
    <w:rsid w:val="00B17437"/>
    <w:rsid w:val="00B65374"/>
    <w:rsid w:val="00B85A39"/>
    <w:rsid w:val="00BA7753"/>
    <w:rsid w:val="00BB19FD"/>
    <w:rsid w:val="00BD332B"/>
    <w:rsid w:val="00BD3981"/>
    <w:rsid w:val="00C00342"/>
    <w:rsid w:val="00C030CE"/>
    <w:rsid w:val="00C43FDA"/>
    <w:rsid w:val="00C443A8"/>
    <w:rsid w:val="00C47A11"/>
    <w:rsid w:val="00C5491C"/>
    <w:rsid w:val="00C84934"/>
    <w:rsid w:val="00C84BC3"/>
    <w:rsid w:val="00CA014A"/>
    <w:rsid w:val="00CA7D7C"/>
    <w:rsid w:val="00CC044D"/>
    <w:rsid w:val="00CF0D96"/>
    <w:rsid w:val="00D03863"/>
    <w:rsid w:val="00D30350"/>
    <w:rsid w:val="00D41F58"/>
    <w:rsid w:val="00D45875"/>
    <w:rsid w:val="00D507F2"/>
    <w:rsid w:val="00D53834"/>
    <w:rsid w:val="00D80854"/>
    <w:rsid w:val="00D8550B"/>
    <w:rsid w:val="00DE5237"/>
    <w:rsid w:val="00DE7DC6"/>
    <w:rsid w:val="00E32322"/>
    <w:rsid w:val="00E50CCA"/>
    <w:rsid w:val="00E72F45"/>
    <w:rsid w:val="00E80035"/>
    <w:rsid w:val="00E87FA8"/>
    <w:rsid w:val="00E9750B"/>
    <w:rsid w:val="00EA14B5"/>
    <w:rsid w:val="00EE5552"/>
    <w:rsid w:val="00F0255B"/>
    <w:rsid w:val="00F13068"/>
    <w:rsid w:val="00F45139"/>
    <w:rsid w:val="00F573D9"/>
    <w:rsid w:val="00FD4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0FC999B"/>
  <w15:chartTrackingRefBased/>
  <w15:docId w15:val="{E679A67A-2136-4BE0-9829-04C64FDD5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both"/>
      <w:outlineLvl w:val="0"/>
    </w:pPr>
    <w:rPr>
      <w:b/>
      <w:bCs/>
      <w:u w:val="single"/>
    </w:rPr>
  </w:style>
  <w:style w:type="paragraph" w:styleId="Heading2">
    <w:name w:val="heading 2"/>
    <w:basedOn w:val="Normal"/>
    <w:next w:val="Normal"/>
    <w:link w:val="Heading2Char"/>
    <w:uiPriority w:val="9"/>
    <w:semiHidden/>
    <w:unhideWhenUsed/>
    <w:qFormat/>
    <w:rsid w:val="00C00342"/>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u w:val="single"/>
    </w:rPr>
  </w:style>
  <w:style w:type="paragraph" w:styleId="BodyText">
    <w:name w:val="Body Text"/>
    <w:basedOn w:val="Normal"/>
    <w:semiHidden/>
    <w:pPr>
      <w:jc w:val="both"/>
    </w:pPr>
  </w:style>
  <w:style w:type="paragraph" w:styleId="NormalWeb">
    <w:name w:val="Normal (Web)"/>
    <w:basedOn w:val="Normal"/>
    <w:uiPriority w:val="99"/>
    <w:unhideWhenUsed/>
    <w:rsid w:val="00BD332B"/>
    <w:pPr>
      <w:spacing w:before="100" w:beforeAutospacing="1" w:after="150"/>
    </w:pPr>
  </w:style>
  <w:style w:type="character" w:customStyle="1" w:styleId="Heading2Char">
    <w:name w:val="Heading 2 Char"/>
    <w:link w:val="Heading2"/>
    <w:uiPriority w:val="9"/>
    <w:semiHidden/>
    <w:rsid w:val="00C00342"/>
    <w:rPr>
      <w:rFonts w:ascii="Cambria" w:eastAsia="Times New Roman" w:hAnsi="Cambria" w:cs="Times New Roman"/>
      <w:b/>
      <w:bCs/>
      <w:i/>
      <w:iCs/>
      <w:sz w:val="28"/>
      <w:szCs w:val="28"/>
    </w:rPr>
  </w:style>
  <w:style w:type="paragraph" w:customStyle="1" w:styleId="ta-right">
    <w:name w:val="ta-right"/>
    <w:basedOn w:val="Normal"/>
    <w:rsid w:val="00C00342"/>
    <w:pPr>
      <w:spacing w:before="100" w:beforeAutospacing="1" w:after="100" w:afterAutospacing="1"/>
      <w:jc w:val="right"/>
    </w:pPr>
  </w:style>
  <w:style w:type="character" w:styleId="Emphasis">
    <w:name w:val="Emphasis"/>
    <w:uiPriority w:val="20"/>
    <w:qFormat/>
    <w:rsid w:val="00C00342"/>
    <w:rPr>
      <w:i/>
      <w:iCs/>
    </w:rPr>
  </w:style>
  <w:style w:type="character" w:styleId="Hyperlink">
    <w:name w:val="Hyperlink"/>
    <w:uiPriority w:val="99"/>
    <w:unhideWhenUsed/>
    <w:rsid w:val="00894FE4"/>
    <w:rPr>
      <w:color w:val="0000FF"/>
      <w:u w:val="single"/>
    </w:rPr>
  </w:style>
  <w:style w:type="paragraph" w:customStyle="1" w:styleId="NormalWeb12">
    <w:name w:val="Normal (Web)12"/>
    <w:basedOn w:val="Normal"/>
    <w:rsid w:val="008D7C0F"/>
    <w:pPr>
      <w:spacing w:before="167" w:after="167" w:line="268" w:lineRule="atLeast"/>
    </w:pPr>
    <w:rPr>
      <w:rFonts w:ascii="Arial Unicode MS" w:eastAsia="Arial Unicode MS" w:hAnsi="Arial Unicode MS" w:cs="Arial Unicode MS"/>
      <w:sz w:val="20"/>
      <w:szCs w:val="20"/>
    </w:rPr>
  </w:style>
  <w:style w:type="paragraph" w:styleId="Header">
    <w:name w:val="header"/>
    <w:basedOn w:val="Normal"/>
    <w:link w:val="HeaderChar"/>
    <w:unhideWhenUsed/>
    <w:rsid w:val="007561F9"/>
    <w:pPr>
      <w:tabs>
        <w:tab w:val="center" w:pos="4680"/>
        <w:tab w:val="right" w:pos="9360"/>
      </w:tabs>
    </w:pPr>
  </w:style>
  <w:style w:type="character" w:customStyle="1" w:styleId="HeaderChar">
    <w:name w:val="Header Char"/>
    <w:link w:val="Header"/>
    <w:uiPriority w:val="99"/>
    <w:rsid w:val="007561F9"/>
    <w:rPr>
      <w:sz w:val="24"/>
      <w:szCs w:val="24"/>
    </w:rPr>
  </w:style>
  <w:style w:type="paragraph" w:styleId="Footer">
    <w:name w:val="footer"/>
    <w:basedOn w:val="Normal"/>
    <w:link w:val="FooterChar"/>
    <w:uiPriority w:val="99"/>
    <w:unhideWhenUsed/>
    <w:rsid w:val="007561F9"/>
    <w:pPr>
      <w:tabs>
        <w:tab w:val="center" w:pos="4680"/>
        <w:tab w:val="right" w:pos="9360"/>
      </w:tabs>
    </w:pPr>
  </w:style>
  <w:style w:type="character" w:customStyle="1" w:styleId="FooterChar">
    <w:name w:val="Footer Char"/>
    <w:link w:val="Footer"/>
    <w:uiPriority w:val="99"/>
    <w:rsid w:val="007561F9"/>
    <w:rPr>
      <w:sz w:val="24"/>
      <w:szCs w:val="24"/>
    </w:rPr>
  </w:style>
  <w:style w:type="paragraph" w:styleId="ListParagraph">
    <w:name w:val="List Paragraph"/>
    <w:basedOn w:val="Normal"/>
    <w:uiPriority w:val="34"/>
    <w:qFormat/>
    <w:rsid w:val="00465574"/>
    <w:pPr>
      <w:ind w:left="720"/>
    </w:pPr>
  </w:style>
  <w:style w:type="paragraph" w:styleId="BalloonText">
    <w:name w:val="Balloon Text"/>
    <w:basedOn w:val="Normal"/>
    <w:link w:val="BalloonTextChar"/>
    <w:uiPriority w:val="99"/>
    <w:semiHidden/>
    <w:unhideWhenUsed/>
    <w:rsid w:val="00AD28C9"/>
    <w:rPr>
      <w:rFonts w:ascii="Segoe UI" w:hAnsi="Segoe UI" w:cs="Segoe UI"/>
      <w:sz w:val="18"/>
      <w:szCs w:val="18"/>
    </w:rPr>
  </w:style>
  <w:style w:type="character" w:customStyle="1" w:styleId="BalloonTextChar">
    <w:name w:val="Balloon Text Char"/>
    <w:link w:val="BalloonText"/>
    <w:uiPriority w:val="99"/>
    <w:semiHidden/>
    <w:rsid w:val="00AD28C9"/>
    <w:rPr>
      <w:rFonts w:ascii="Segoe UI" w:hAnsi="Segoe UI" w:cs="Segoe UI"/>
      <w:sz w:val="18"/>
      <w:szCs w:val="18"/>
    </w:rPr>
  </w:style>
  <w:style w:type="character" w:styleId="CommentReference">
    <w:name w:val="annotation reference"/>
    <w:uiPriority w:val="99"/>
    <w:semiHidden/>
    <w:unhideWhenUsed/>
    <w:rsid w:val="00AD28C9"/>
    <w:rPr>
      <w:sz w:val="16"/>
      <w:szCs w:val="16"/>
    </w:rPr>
  </w:style>
  <w:style w:type="paragraph" w:styleId="CommentText">
    <w:name w:val="annotation text"/>
    <w:basedOn w:val="Normal"/>
    <w:link w:val="CommentTextChar"/>
    <w:uiPriority w:val="99"/>
    <w:semiHidden/>
    <w:unhideWhenUsed/>
    <w:rsid w:val="00AD28C9"/>
    <w:rPr>
      <w:sz w:val="20"/>
      <w:szCs w:val="20"/>
    </w:rPr>
  </w:style>
  <w:style w:type="character" w:customStyle="1" w:styleId="CommentTextChar">
    <w:name w:val="Comment Text Char"/>
    <w:basedOn w:val="DefaultParagraphFont"/>
    <w:link w:val="CommentText"/>
    <w:uiPriority w:val="99"/>
    <w:semiHidden/>
    <w:rsid w:val="00AD28C9"/>
  </w:style>
  <w:style w:type="paragraph" w:styleId="CommentSubject">
    <w:name w:val="annotation subject"/>
    <w:basedOn w:val="CommentText"/>
    <w:next w:val="CommentText"/>
    <w:link w:val="CommentSubjectChar"/>
    <w:uiPriority w:val="99"/>
    <w:semiHidden/>
    <w:unhideWhenUsed/>
    <w:rsid w:val="00AD28C9"/>
    <w:rPr>
      <w:b/>
      <w:bCs/>
    </w:rPr>
  </w:style>
  <w:style w:type="character" w:customStyle="1" w:styleId="CommentSubjectChar">
    <w:name w:val="Comment Subject Char"/>
    <w:link w:val="CommentSubject"/>
    <w:uiPriority w:val="99"/>
    <w:semiHidden/>
    <w:rsid w:val="00AD28C9"/>
    <w:rPr>
      <w:b/>
      <w:bCs/>
    </w:rPr>
  </w:style>
  <w:style w:type="character" w:customStyle="1" w:styleId="hgkelc">
    <w:name w:val="hgkelc"/>
    <w:rsid w:val="001F2751"/>
  </w:style>
  <w:style w:type="character" w:styleId="Strong">
    <w:name w:val="Strong"/>
    <w:uiPriority w:val="22"/>
    <w:qFormat/>
    <w:rsid w:val="00E32322"/>
    <w:rPr>
      <w:b/>
      <w:bCs/>
    </w:rPr>
  </w:style>
  <w:style w:type="paragraph" w:customStyle="1" w:styleId="p1">
    <w:name w:val="p1"/>
    <w:basedOn w:val="Normal"/>
    <w:rsid w:val="00E32322"/>
    <w:pPr>
      <w:spacing w:before="100" w:beforeAutospacing="1" w:after="100" w:afterAutospacing="1"/>
    </w:pPr>
  </w:style>
  <w:style w:type="character" w:customStyle="1" w:styleId="apple-converted-space">
    <w:name w:val="apple-converted-space"/>
    <w:rsid w:val="00E32322"/>
  </w:style>
  <w:style w:type="character" w:styleId="UnresolvedMention">
    <w:name w:val="Unresolved Mention"/>
    <w:uiPriority w:val="99"/>
    <w:semiHidden/>
    <w:unhideWhenUsed/>
    <w:rsid w:val="00CF0D96"/>
    <w:rPr>
      <w:color w:val="605E5C"/>
      <w:shd w:val="clear" w:color="auto" w:fill="E1DFDD"/>
    </w:rPr>
  </w:style>
  <w:style w:type="character" w:styleId="FollowedHyperlink">
    <w:name w:val="FollowedHyperlink"/>
    <w:uiPriority w:val="99"/>
    <w:semiHidden/>
    <w:unhideWhenUsed/>
    <w:rsid w:val="00E87FA8"/>
    <w:rPr>
      <w:color w:val="954F72"/>
      <w:u w:val="single"/>
    </w:rPr>
  </w:style>
  <w:style w:type="character" w:customStyle="1" w:styleId="TitleChar">
    <w:name w:val="Title Char"/>
    <w:link w:val="Title"/>
    <w:rsid w:val="00506957"/>
    <w:rPr>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494034">
      <w:bodyDiv w:val="1"/>
      <w:marLeft w:val="0"/>
      <w:marRight w:val="0"/>
      <w:marTop w:val="0"/>
      <w:marBottom w:val="0"/>
      <w:divBdr>
        <w:top w:val="none" w:sz="0" w:space="0" w:color="auto"/>
        <w:left w:val="none" w:sz="0" w:space="0" w:color="auto"/>
        <w:bottom w:val="none" w:sz="0" w:space="0" w:color="auto"/>
        <w:right w:val="none" w:sz="0" w:space="0" w:color="auto"/>
      </w:divBdr>
      <w:divsChild>
        <w:div w:id="1826582560">
          <w:marLeft w:val="0"/>
          <w:marRight w:val="0"/>
          <w:marTop w:val="0"/>
          <w:marBottom w:val="0"/>
          <w:divBdr>
            <w:top w:val="none" w:sz="0" w:space="0" w:color="auto"/>
            <w:left w:val="none" w:sz="0" w:space="0" w:color="auto"/>
            <w:bottom w:val="none" w:sz="0" w:space="0" w:color="auto"/>
            <w:right w:val="none" w:sz="0" w:space="0" w:color="auto"/>
          </w:divBdr>
          <w:divsChild>
            <w:div w:id="2127766977">
              <w:marLeft w:val="0"/>
              <w:marRight w:val="0"/>
              <w:marTop w:val="0"/>
              <w:marBottom w:val="0"/>
              <w:divBdr>
                <w:top w:val="none" w:sz="0" w:space="0" w:color="auto"/>
                <w:left w:val="none" w:sz="0" w:space="0" w:color="auto"/>
                <w:bottom w:val="none" w:sz="0" w:space="0" w:color="auto"/>
                <w:right w:val="none" w:sz="0" w:space="0" w:color="auto"/>
              </w:divBdr>
              <w:divsChild>
                <w:div w:id="108141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932947">
      <w:bodyDiv w:val="1"/>
      <w:marLeft w:val="0"/>
      <w:marRight w:val="0"/>
      <w:marTop w:val="0"/>
      <w:marBottom w:val="0"/>
      <w:divBdr>
        <w:top w:val="none" w:sz="0" w:space="0" w:color="auto"/>
        <w:left w:val="none" w:sz="0" w:space="0" w:color="auto"/>
        <w:bottom w:val="none" w:sz="0" w:space="0" w:color="auto"/>
        <w:right w:val="none" w:sz="0" w:space="0" w:color="auto"/>
      </w:divBdr>
      <w:divsChild>
        <w:div w:id="1845196496">
          <w:marLeft w:val="0"/>
          <w:marRight w:val="0"/>
          <w:marTop w:val="0"/>
          <w:marBottom w:val="0"/>
          <w:divBdr>
            <w:top w:val="none" w:sz="0" w:space="0" w:color="auto"/>
            <w:left w:val="none" w:sz="0" w:space="0" w:color="auto"/>
            <w:bottom w:val="none" w:sz="0" w:space="0" w:color="auto"/>
            <w:right w:val="none" w:sz="0" w:space="0" w:color="auto"/>
          </w:divBdr>
          <w:divsChild>
            <w:div w:id="889848311">
              <w:marLeft w:val="0"/>
              <w:marRight w:val="0"/>
              <w:marTop w:val="0"/>
              <w:marBottom w:val="0"/>
              <w:divBdr>
                <w:top w:val="none" w:sz="0" w:space="0" w:color="auto"/>
                <w:left w:val="none" w:sz="0" w:space="0" w:color="auto"/>
                <w:bottom w:val="none" w:sz="0" w:space="0" w:color="auto"/>
                <w:right w:val="none" w:sz="0" w:space="0" w:color="auto"/>
              </w:divBdr>
              <w:divsChild>
                <w:div w:id="32266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596673">
      <w:bodyDiv w:val="1"/>
      <w:marLeft w:val="0"/>
      <w:marRight w:val="0"/>
      <w:marTop w:val="0"/>
      <w:marBottom w:val="0"/>
      <w:divBdr>
        <w:top w:val="none" w:sz="0" w:space="0" w:color="auto"/>
        <w:left w:val="none" w:sz="0" w:space="0" w:color="auto"/>
        <w:bottom w:val="none" w:sz="0" w:space="0" w:color="auto"/>
        <w:right w:val="none" w:sz="0" w:space="0" w:color="auto"/>
      </w:divBdr>
      <w:divsChild>
        <w:div w:id="82337947">
          <w:marLeft w:val="0"/>
          <w:marRight w:val="0"/>
          <w:marTop w:val="0"/>
          <w:marBottom w:val="0"/>
          <w:divBdr>
            <w:top w:val="none" w:sz="0" w:space="0" w:color="auto"/>
            <w:left w:val="none" w:sz="0" w:space="0" w:color="auto"/>
            <w:bottom w:val="none" w:sz="0" w:space="0" w:color="auto"/>
            <w:right w:val="none" w:sz="0" w:space="0" w:color="auto"/>
          </w:divBdr>
          <w:divsChild>
            <w:div w:id="1755738827">
              <w:marLeft w:val="0"/>
              <w:marRight w:val="0"/>
              <w:marTop w:val="0"/>
              <w:marBottom w:val="0"/>
              <w:divBdr>
                <w:top w:val="none" w:sz="0" w:space="0" w:color="auto"/>
                <w:left w:val="none" w:sz="0" w:space="0" w:color="auto"/>
                <w:bottom w:val="none" w:sz="0" w:space="0" w:color="auto"/>
                <w:right w:val="none" w:sz="0" w:space="0" w:color="auto"/>
              </w:divBdr>
              <w:divsChild>
                <w:div w:id="2014457785">
                  <w:marLeft w:val="0"/>
                  <w:marRight w:val="0"/>
                  <w:marTop w:val="0"/>
                  <w:marBottom w:val="0"/>
                  <w:divBdr>
                    <w:top w:val="none" w:sz="0" w:space="0" w:color="auto"/>
                    <w:left w:val="none" w:sz="0" w:space="0" w:color="auto"/>
                    <w:bottom w:val="none" w:sz="0" w:space="0" w:color="auto"/>
                    <w:right w:val="none" w:sz="0" w:space="0" w:color="auto"/>
                  </w:divBdr>
                  <w:divsChild>
                    <w:div w:id="235626125">
                      <w:marLeft w:val="0"/>
                      <w:marRight w:val="0"/>
                      <w:marTop w:val="0"/>
                      <w:marBottom w:val="0"/>
                      <w:divBdr>
                        <w:top w:val="none" w:sz="0" w:space="0" w:color="auto"/>
                        <w:left w:val="none" w:sz="0" w:space="0" w:color="auto"/>
                        <w:bottom w:val="none" w:sz="0" w:space="0" w:color="auto"/>
                        <w:right w:val="none" w:sz="0" w:space="0" w:color="auto"/>
                      </w:divBdr>
                      <w:divsChild>
                        <w:div w:id="178394504">
                          <w:marLeft w:val="0"/>
                          <w:marRight w:val="0"/>
                          <w:marTop w:val="0"/>
                          <w:marBottom w:val="0"/>
                          <w:divBdr>
                            <w:top w:val="none" w:sz="0" w:space="0" w:color="auto"/>
                            <w:left w:val="none" w:sz="0" w:space="0" w:color="auto"/>
                            <w:bottom w:val="none" w:sz="0" w:space="0" w:color="auto"/>
                            <w:right w:val="none" w:sz="0" w:space="0" w:color="auto"/>
                          </w:divBdr>
                          <w:divsChild>
                            <w:div w:id="562757702">
                              <w:marLeft w:val="0"/>
                              <w:marRight w:val="0"/>
                              <w:marTop w:val="0"/>
                              <w:marBottom w:val="0"/>
                              <w:divBdr>
                                <w:top w:val="none" w:sz="0" w:space="0" w:color="auto"/>
                                <w:left w:val="none" w:sz="0" w:space="0" w:color="auto"/>
                                <w:bottom w:val="none" w:sz="0" w:space="0" w:color="auto"/>
                                <w:right w:val="none" w:sz="0" w:space="0" w:color="auto"/>
                              </w:divBdr>
                              <w:divsChild>
                                <w:div w:id="246891819">
                                  <w:marLeft w:val="0"/>
                                  <w:marRight w:val="0"/>
                                  <w:marTop w:val="0"/>
                                  <w:marBottom w:val="0"/>
                                  <w:divBdr>
                                    <w:top w:val="none" w:sz="0" w:space="0" w:color="auto"/>
                                    <w:left w:val="none" w:sz="0" w:space="0" w:color="auto"/>
                                    <w:bottom w:val="none" w:sz="0" w:space="0" w:color="auto"/>
                                    <w:right w:val="none" w:sz="0" w:space="0" w:color="auto"/>
                                  </w:divBdr>
                                  <w:divsChild>
                                    <w:div w:id="32632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940952">
      <w:bodyDiv w:val="1"/>
      <w:marLeft w:val="0"/>
      <w:marRight w:val="0"/>
      <w:marTop w:val="0"/>
      <w:marBottom w:val="0"/>
      <w:divBdr>
        <w:top w:val="none" w:sz="0" w:space="0" w:color="auto"/>
        <w:left w:val="none" w:sz="0" w:space="0" w:color="auto"/>
        <w:bottom w:val="none" w:sz="0" w:space="0" w:color="auto"/>
        <w:right w:val="none" w:sz="0" w:space="0" w:color="auto"/>
      </w:divBdr>
      <w:divsChild>
        <w:div w:id="1597402454">
          <w:marLeft w:val="0"/>
          <w:marRight w:val="0"/>
          <w:marTop w:val="0"/>
          <w:marBottom w:val="0"/>
          <w:divBdr>
            <w:top w:val="none" w:sz="0" w:space="0" w:color="auto"/>
            <w:left w:val="none" w:sz="0" w:space="0" w:color="auto"/>
            <w:bottom w:val="none" w:sz="0" w:space="0" w:color="auto"/>
            <w:right w:val="none" w:sz="0" w:space="0" w:color="auto"/>
          </w:divBdr>
          <w:divsChild>
            <w:div w:id="1958095560">
              <w:marLeft w:val="0"/>
              <w:marRight w:val="0"/>
              <w:marTop w:val="0"/>
              <w:marBottom w:val="0"/>
              <w:divBdr>
                <w:top w:val="none" w:sz="0" w:space="0" w:color="auto"/>
                <w:left w:val="none" w:sz="0" w:space="0" w:color="auto"/>
                <w:bottom w:val="none" w:sz="0" w:space="0" w:color="auto"/>
                <w:right w:val="none" w:sz="0" w:space="0" w:color="auto"/>
              </w:divBdr>
              <w:divsChild>
                <w:div w:id="49592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537743">
      <w:bodyDiv w:val="1"/>
      <w:marLeft w:val="0"/>
      <w:marRight w:val="0"/>
      <w:marTop w:val="0"/>
      <w:marBottom w:val="0"/>
      <w:divBdr>
        <w:top w:val="none" w:sz="0" w:space="0" w:color="auto"/>
        <w:left w:val="none" w:sz="0" w:space="0" w:color="auto"/>
        <w:bottom w:val="none" w:sz="0" w:space="0" w:color="auto"/>
        <w:right w:val="none" w:sz="0" w:space="0" w:color="auto"/>
      </w:divBdr>
      <w:divsChild>
        <w:div w:id="692994312">
          <w:marLeft w:val="0"/>
          <w:marRight w:val="0"/>
          <w:marTop w:val="0"/>
          <w:marBottom w:val="0"/>
          <w:divBdr>
            <w:top w:val="none" w:sz="0" w:space="0" w:color="auto"/>
            <w:left w:val="none" w:sz="0" w:space="0" w:color="auto"/>
            <w:bottom w:val="none" w:sz="0" w:space="0" w:color="auto"/>
            <w:right w:val="none" w:sz="0" w:space="0" w:color="auto"/>
          </w:divBdr>
          <w:divsChild>
            <w:div w:id="901211935">
              <w:marLeft w:val="-3780"/>
              <w:marRight w:val="0"/>
              <w:marTop w:val="0"/>
              <w:marBottom w:val="0"/>
              <w:divBdr>
                <w:top w:val="none" w:sz="0" w:space="0" w:color="auto"/>
                <w:left w:val="none" w:sz="0" w:space="0" w:color="auto"/>
                <w:bottom w:val="none" w:sz="0" w:space="0" w:color="auto"/>
                <w:right w:val="none" w:sz="0" w:space="0" w:color="auto"/>
              </w:divBdr>
              <w:divsChild>
                <w:div w:id="108372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758462">
      <w:bodyDiv w:val="1"/>
      <w:marLeft w:val="0"/>
      <w:marRight w:val="0"/>
      <w:marTop w:val="0"/>
      <w:marBottom w:val="0"/>
      <w:divBdr>
        <w:top w:val="none" w:sz="0" w:space="0" w:color="auto"/>
        <w:left w:val="none" w:sz="0" w:space="0" w:color="auto"/>
        <w:bottom w:val="none" w:sz="0" w:space="0" w:color="auto"/>
        <w:right w:val="none" w:sz="0" w:space="0" w:color="auto"/>
      </w:divBdr>
      <w:divsChild>
        <w:div w:id="488981434">
          <w:marLeft w:val="0"/>
          <w:marRight w:val="0"/>
          <w:marTop w:val="0"/>
          <w:marBottom w:val="0"/>
          <w:divBdr>
            <w:top w:val="none" w:sz="0" w:space="0" w:color="auto"/>
            <w:left w:val="none" w:sz="0" w:space="0" w:color="auto"/>
            <w:bottom w:val="none" w:sz="0" w:space="0" w:color="auto"/>
            <w:right w:val="none" w:sz="0" w:space="0" w:color="auto"/>
          </w:divBdr>
          <w:divsChild>
            <w:div w:id="1870491269">
              <w:marLeft w:val="0"/>
              <w:marRight w:val="0"/>
              <w:marTop w:val="0"/>
              <w:marBottom w:val="0"/>
              <w:divBdr>
                <w:top w:val="none" w:sz="0" w:space="0" w:color="auto"/>
                <w:left w:val="none" w:sz="0" w:space="0" w:color="auto"/>
                <w:bottom w:val="none" w:sz="0" w:space="0" w:color="auto"/>
                <w:right w:val="none" w:sz="0" w:space="0" w:color="auto"/>
              </w:divBdr>
              <w:divsChild>
                <w:div w:id="1988972222">
                  <w:marLeft w:val="0"/>
                  <w:marRight w:val="0"/>
                  <w:marTop w:val="0"/>
                  <w:marBottom w:val="0"/>
                  <w:divBdr>
                    <w:top w:val="none" w:sz="0" w:space="0" w:color="auto"/>
                    <w:left w:val="none" w:sz="0" w:space="0" w:color="auto"/>
                    <w:bottom w:val="none" w:sz="0" w:space="0" w:color="auto"/>
                    <w:right w:val="none" w:sz="0" w:space="0" w:color="auto"/>
                  </w:divBdr>
                  <w:divsChild>
                    <w:div w:id="1441754149">
                      <w:marLeft w:val="0"/>
                      <w:marRight w:val="0"/>
                      <w:marTop w:val="0"/>
                      <w:marBottom w:val="0"/>
                      <w:divBdr>
                        <w:top w:val="none" w:sz="0" w:space="0" w:color="auto"/>
                        <w:left w:val="none" w:sz="0" w:space="0" w:color="auto"/>
                        <w:bottom w:val="none" w:sz="0" w:space="0" w:color="auto"/>
                        <w:right w:val="none" w:sz="0" w:space="0" w:color="auto"/>
                      </w:divBdr>
                      <w:divsChild>
                        <w:div w:id="913973366">
                          <w:marLeft w:val="0"/>
                          <w:marRight w:val="0"/>
                          <w:marTop w:val="0"/>
                          <w:marBottom w:val="0"/>
                          <w:divBdr>
                            <w:top w:val="none" w:sz="0" w:space="0" w:color="auto"/>
                            <w:left w:val="none" w:sz="0" w:space="0" w:color="auto"/>
                            <w:bottom w:val="none" w:sz="0" w:space="0" w:color="auto"/>
                            <w:right w:val="none" w:sz="0" w:space="0" w:color="auto"/>
                          </w:divBdr>
                          <w:divsChild>
                            <w:div w:id="1676499372">
                              <w:marLeft w:val="0"/>
                              <w:marRight w:val="0"/>
                              <w:marTop w:val="0"/>
                              <w:marBottom w:val="0"/>
                              <w:divBdr>
                                <w:top w:val="none" w:sz="0" w:space="0" w:color="auto"/>
                                <w:left w:val="none" w:sz="0" w:space="0" w:color="auto"/>
                                <w:bottom w:val="none" w:sz="0" w:space="0" w:color="auto"/>
                                <w:right w:val="none" w:sz="0" w:space="0" w:color="auto"/>
                              </w:divBdr>
                              <w:divsChild>
                                <w:div w:id="915021225">
                                  <w:marLeft w:val="0"/>
                                  <w:marRight w:val="0"/>
                                  <w:marTop w:val="0"/>
                                  <w:marBottom w:val="0"/>
                                  <w:divBdr>
                                    <w:top w:val="none" w:sz="0" w:space="0" w:color="auto"/>
                                    <w:left w:val="none" w:sz="0" w:space="0" w:color="auto"/>
                                    <w:bottom w:val="none" w:sz="0" w:space="0" w:color="auto"/>
                                    <w:right w:val="none" w:sz="0" w:space="0" w:color="auto"/>
                                  </w:divBdr>
                                  <w:divsChild>
                                    <w:div w:id="149410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455148">
      <w:bodyDiv w:val="1"/>
      <w:marLeft w:val="0"/>
      <w:marRight w:val="0"/>
      <w:marTop w:val="0"/>
      <w:marBottom w:val="0"/>
      <w:divBdr>
        <w:top w:val="none" w:sz="0" w:space="0" w:color="auto"/>
        <w:left w:val="none" w:sz="0" w:space="0" w:color="auto"/>
        <w:bottom w:val="none" w:sz="0" w:space="0" w:color="auto"/>
        <w:right w:val="none" w:sz="0" w:space="0" w:color="auto"/>
      </w:divBdr>
      <w:divsChild>
        <w:div w:id="478425888">
          <w:marLeft w:val="0"/>
          <w:marRight w:val="0"/>
          <w:marTop w:val="0"/>
          <w:marBottom w:val="0"/>
          <w:divBdr>
            <w:top w:val="none" w:sz="0" w:space="0" w:color="auto"/>
            <w:left w:val="none" w:sz="0" w:space="0" w:color="auto"/>
            <w:bottom w:val="none" w:sz="0" w:space="0" w:color="auto"/>
            <w:right w:val="none" w:sz="0" w:space="0" w:color="auto"/>
          </w:divBdr>
          <w:divsChild>
            <w:div w:id="937907530">
              <w:marLeft w:val="0"/>
              <w:marRight w:val="0"/>
              <w:marTop w:val="0"/>
              <w:marBottom w:val="0"/>
              <w:divBdr>
                <w:top w:val="none" w:sz="0" w:space="0" w:color="auto"/>
                <w:left w:val="none" w:sz="0" w:space="0" w:color="auto"/>
                <w:bottom w:val="none" w:sz="0" w:space="0" w:color="auto"/>
                <w:right w:val="none" w:sz="0" w:space="0" w:color="auto"/>
              </w:divBdr>
              <w:divsChild>
                <w:div w:id="122298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3597289/" TargetMode="External"/><Relationship Id="rId13" Type="http://schemas.openxmlformats.org/officeDocument/2006/relationships/hyperlink" Target="https://www.uspreventiveservicestaskforce.org/uspstf/document/RecommendationStatementFinal/osteoporosis-screening"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bones.nih.gov/health-info/bone/osteoporosis/overview" TargetMode="External"/><Relationship Id="rId17" Type="http://schemas.openxmlformats.org/officeDocument/2006/relationships/hyperlink" Target="https://www.rxlist.com/bonsity_vs_forteo/drugs-condition.htm" TargetMode="External"/><Relationship Id="rId2" Type="http://schemas.openxmlformats.org/officeDocument/2006/relationships/numbering" Target="numbering.xml"/><Relationship Id="rId16" Type="http://schemas.openxmlformats.org/officeDocument/2006/relationships/hyperlink" Target="https://www.rxlist.com/forteo-drug.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f.org/patients/what-is-osteoporosis/" TargetMode="External"/><Relationship Id="rId5" Type="http://schemas.openxmlformats.org/officeDocument/2006/relationships/webSettings" Target="webSettings.xml"/><Relationship Id="rId15" Type="http://schemas.openxmlformats.org/officeDocument/2006/relationships/hyperlink" Target="https://www.accessdata.fda.gov/drugsatfda_docs/label/2019/211939s000lbl.pdf" TargetMode="External"/><Relationship Id="rId10" Type="http://schemas.openxmlformats.org/officeDocument/2006/relationships/hyperlink" Target="https://www.who.int/chp/topics/Osteoporosis.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ayoclinic.org/diseases-conditions/osteoporosis/symptoms-causes/syc-20351968" TargetMode="External"/><Relationship Id="rId14" Type="http://schemas.openxmlformats.org/officeDocument/2006/relationships/hyperlink" Target="https://www.rxlist.com/bonsity-drug.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DFFFC-CE6F-4C77-9FD0-B3BEFFB49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727</TotalTime>
  <Pages>4</Pages>
  <Words>1336</Words>
  <Characters>9254</Characters>
  <Application>Microsoft Office Word</Application>
  <DocSecurity>2</DocSecurity>
  <Lines>77</Lines>
  <Paragraphs>21</Paragraphs>
  <ScaleCrop>false</ScaleCrop>
  <HeadingPairs>
    <vt:vector size="2" baseType="variant">
      <vt:variant>
        <vt:lpstr>Title</vt:lpstr>
      </vt:variant>
      <vt:variant>
        <vt:i4>1</vt:i4>
      </vt:variant>
    </vt:vector>
  </HeadingPairs>
  <TitlesOfParts>
    <vt:vector size="1" baseType="lpstr">
      <vt:lpstr>OSTEOPOROSIS</vt:lpstr>
    </vt:vector>
  </TitlesOfParts>
  <Company>State of Connecticut</Company>
  <LinksUpToDate>false</LinksUpToDate>
  <CharactersWithSpaces>10569</CharactersWithSpaces>
  <SharedDoc>false</SharedDoc>
  <HLinks>
    <vt:vector size="60" baseType="variant">
      <vt:variant>
        <vt:i4>6684715</vt:i4>
      </vt:variant>
      <vt:variant>
        <vt:i4>27</vt:i4>
      </vt:variant>
      <vt:variant>
        <vt:i4>0</vt:i4>
      </vt:variant>
      <vt:variant>
        <vt:i4>5</vt:i4>
      </vt:variant>
      <vt:variant>
        <vt:lpwstr>https://www.rxlist.com/bonsity_vs_forteo/drugs-condition.htm</vt:lpwstr>
      </vt:variant>
      <vt:variant>
        <vt:lpwstr/>
      </vt:variant>
      <vt:variant>
        <vt:i4>7274620</vt:i4>
      </vt:variant>
      <vt:variant>
        <vt:i4>24</vt:i4>
      </vt:variant>
      <vt:variant>
        <vt:i4>0</vt:i4>
      </vt:variant>
      <vt:variant>
        <vt:i4>5</vt:i4>
      </vt:variant>
      <vt:variant>
        <vt:lpwstr>https://www.rxlist.com/forteo-drug.htm</vt:lpwstr>
      </vt:variant>
      <vt:variant>
        <vt:lpwstr/>
      </vt:variant>
      <vt:variant>
        <vt:i4>5046399</vt:i4>
      </vt:variant>
      <vt:variant>
        <vt:i4>21</vt:i4>
      </vt:variant>
      <vt:variant>
        <vt:i4>0</vt:i4>
      </vt:variant>
      <vt:variant>
        <vt:i4>5</vt:i4>
      </vt:variant>
      <vt:variant>
        <vt:lpwstr>https://www.accessdata.fda.gov/drugsatfda_docs/label/2019/211939s000lbl.pdf</vt:lpwstr>
      </vt:variant>
      <vt:variant>
        <vt:lpwstr/>
      </vt:variant>
      <vt:variant>
        <vt:i4>7602299</vt:i4>
      </vt:variant>
      <vt:variant>
        <vt:i4>18</vt:i4>
      </vt:variant>
      <vt:variant>
        <vt:i4>0</vt:i4>
      </vt:variant>
      <vt:variant>
        <vt:i4>5</vt:i4>
      </vt:variant>
      <vt:variant>
        <vt:lpwstr>https://www.rxlist.com/bonsity-drug.htm</vt:lpwstr>
      </vt:variant>
      <vt:variant>
        <vt:lpwstr/>
      </vt:variant>
      <vt:variant>
        <vt:i4>5767263</vt:i4>
      </vt:variant>
      <vt:variant>
        <vt:i4>15</vt:i4>
      </vt:variant>
      <vt:variant>
        <vt:i4>0</vt:i4>
      </vt:variant>
      <vt:variant>
        <vt:i4>5</vt:i4>
      </vt:variant>
      <vt:variant>
        <vt:lpwstr>https://www.uspreventiveservicestaskforce.org/uspstf/document/RecommendationStatementFinal/osteoporosis-screening</vt:lpwstr>
      </vt:variant>
      <vt:variant>
        <vt:lpwstr/>
      </vt:variant>
      <vt:variant>
        <vt:i4>524375</vt:i4>
      </vt:variant>
      <vt:variant>
        <vt:i4>12</vt:i4>
      </vt:variant>
      <vt:variant>
        <vt:i4>0</vt:i4>
      </vt:variant>
      <vt:variant>
        <vt:i4>5</vt:i4>
      </vt:variant>
      <vt:variant>
        <vt:lpwstr>https://www.bones.nih.gov/health-info/bone/osteoporosis/overview</vt:lpwstr>
      </vt:variant>
      <vt:variant>
        <vt:lpwstr/>
      </vt:variant>
      <vt:variant>
        <vt:i4>3866678</vt:i4>
      </vt:variant>
      <vt:variant>
        <vt:i4>9</vt:i4>
      </vt:variant>
      <vt:variant>
        <vt:i4>0</vt:i4>
      </vt:variant>
      <vt:variant>
        <vt:i4>5</vt:i4>
      </vt:variant>
      <vt:variant>
        <vt:lpwstr>https://www.nof.org/patients/what-is-osteoporosis/</vt:lpwstr>
      </vt:variant>
      <vt:variant>
        <vt:lpwstr/>
      </vt:variant>
      <vt:variant>
        <vt:i4>2752634</vt:i4>
      </vt:variant>
      <vt:variant>
        <vt:i4>6</vt:i4>
      </vt:variant>
      <vt:variant>
        <vt:i4>0</vt:i4>
      </vt:variant>
      <vt:variant>
        <vt:i4>5</vt:i4>
      </vt:variant>
      <vt:variant>
        <vt:lpwstr>https://www.who.int/chp/topics/Osteoporosis.pdf</vt:lpwstr>
      </vt:variant>
      <vt:variant>
        <vt:lpwstr/>
      </vt:variant>
      <vt:variant>
        <vt:i4>5832781</vt:i4>
      </vt:variant>
      <vt:variant>
        <vt:i4>3</vt:i4>
      </vt:variant>
      <vt:variant>
        <vt:i4>0</vt:i4>
      </vt:variant>
      <vt:variant>
        <vt:i4>5</vt:i4>
      </vt:variant>
      <vt:variant>
        <vt:lpwstr>https://www.mayoclinic.org/diseases-conditions/osteoporosis/symptoms-causes/syc-20351968</vt:lpwstr>
      </vt:variant>
      <vt:variant>
        <vt:lpwstr/>
      </vt:variant>
      <vt:variant>
        <vt:i4>1376328</vt:i4>
      </vt:variant>
      <vt:variant>
        <vt:i4>0</vt:i4>
      </vt:variant>
      <vt:variant>
        <vt:i4>0</vt:i4>
      </vt:variant>
      <vt:variant>
        <vt:i4>5</vt:i4>
      </vt:variant>
      <vt:variant>
        <vt:lpwstr>https://www.ncbi.nlm.nih.gov/pmc/articles/PMC3597289/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OSTEOPOROSIS</dc:title>
  <dc:subject/>
  <dc:creator>admayr</dc:creator>
  <cp:keywords/>
  <cp:lastModifiedBy>O'Connor, Rod</cp:lastModifiedBy>
  <cp:revision>3</cp:revision>
  <cp:lastPrinted>2020-03-27T15:53:00Z</cp:lastPrinted>
  <dcterms:created xsi:type="dcterms:W3CDTF">2021-08-03T18:16:00Z</dcterms:created>
  <dcterms:modified xsi:type="dcterms:W3CDTF">2021-08-04T10:34:00Z</dcterms:modified>
</cp:coreProperties>
</file>