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4F77E" w14:textId="4A1F96AF" w:rsidR="009329D3" w:rsidRPr="009329D3" w:rsidRDefault="009329D3" w:rsidP="009329D3">
      <w:pPr>
        <w:spacing w:after="0" w:line="240" w:lineRule="auto"/>
        <w:rPr>
          <w:rFonts w:ascii="&amp;quot" w:eastAsia="Times New Roman" w:hAnsi="&amp;quot" w:cs="Times New Roman"/>
          <w:color w:val="201F1E"/>
        </w:rPr>
      </w:pPr>
      <w:r w:rsidRPr="009329D3">
        <w:rPr>
          <w:noProof/>
        </w:rPr>
        <w:drawing>
          <wp:inline distT="0" distB="0" distL="0" distR="0" wp14:anchorId="3F702B4D" wp14:editId="19B8303F">
            <wp:extent cx="1089025" cy="7562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9025" cy="756285"/>
                    </a:xfrm>
                    <a:prstGeom prst="rect">
                      <a:avLst/>
                    </a:prstGeom>
                    <a:noFill/>
                    <a:ln>
                      <a:noFill/>
                    </a:ln>
                  </pic:spPr>
                </pic:pic>
              </a:graphicData>
            </a:graphic>
          </wp:inline>
        </w:drawing>
      </w:r>
    </w:p>
    <w:p w14:paraId="19177E68" w14:textId="77777777" w:rsidR="009329D3" w:rsidRPr="009329D3" w:rsidRDefault="009329D3" w:rsidP="009329D3">
      <w:pPr>
        <w:spacing w:after="0" w:line="240" w:lineRule="auto"/>
        <w:jc w:val="center"/>
        <w:rPr>
          <w:rFonts w:ascii="&amp;quot" w:eastAsia="Times New Roman" w:hAnsi="&amp;quot" w:cs="Times New Roman"/>
          <w:color w:val="201F1E"/>
        </w:rPr>
      </w:pPr>
      <w:r w:rsidRPr="009329D3">
        <w:rPr>
          <w:rFonts w:ascii="&amp;quot" w:eastAsia="Times New Roman" w:hAnsi="&amp;quot" w:cs="Times New Roman"/>
          <w:b/>
          <w:bCs/>
          <w:color w:val="0000FF"/>
          <w:bdr w:val="none" w:sz="0" w:space="0" w:color="auto" w:frame="1"/>
        </w:rPr>
        <w:t>MEMORANDUM</w:t>
      </w:r>
    </w:p>
    <w:p w14:paraId="35592942" w14:textId="77777777" w:rsidR="009329D3" w:rsidRPr="009329D3" w:rsidRDefault="009329D3" w:rsidP="009329D3">
      <w:pPr>
        <w:spacing w:after="0" w:line="240" w:lineRule="auto"/>
        <w:rPr>
          <w:rFonts w:ascii="&amp;quot" w:eastAsia="Times New Roman" w:hAnsi="&amp;quot" w:cs="Times New Roman"/>
          <w:color w:val="201F1E"/>
        </w:rPr>
      </w:pPr>
      <w:r w:rsidRPr="009329D3">
        <w:rPr>
          <w:rFonts w:ascii="&amp;quot" w:eastAsia="Times New Roman" w:hAnsi="&amp;quot" w:cs="Times New Roman"/>
          <w:color w:val="201F1E"/>
        </w:rPr>
        <w:t> </w:t>
      </w:r>
    </w:p>
    <w:tbl>
      <w:tblPr>
        <w:tblpPr w:leftFromText="189" w:rightFromText="189" w:bottomFromText="25" w:vertAnchor="text"/>
        <w:tblW w:w="0" w:type="auto"/>
        <w:tblCellMar>
          <w:left w:w="0" w:type="dxa"/>
          <w:right w:w="0" w:type="dxa"/>
        </w:tblCellMar>
        <w:tblLook w:val="04A0" w:firstRow="1" w:lastRow="0" w:firstColumn="1" w:lastColumn="0" w:noHBand="0" w:noVBand="1"/>
      </w:tblPr>
      <w:tblGrid>
        <w:gridCol w:w="1254"/>
        <w:gridCol w:w="8096"/>
      </w:tblGrid>
      <w:tr w:rsidR="009329D3" w:rsidRPr="009329D3" w14:paraId="18ACCE40" w14:textId="77777777" w:rsidTr="009329D3">
        <w:trPr>
          <w:trHeight w:val="360"/>
        </w:trPr>
        <w:tc>
          <w:tcPr>
            <w:tcW w:w="1254" w:type="dxa"/>
            <w:tcMar>
              <w:top w:w="0" w:type="dxa"/>
              <w:left w:w="108" w:type="dxa"/>
              <w:bottom w:w="0" w:type="dxa"/>
              <w:right w:w="108" w:type="dxa"/>
            </w:tcMar>
            <w:hideMark/>
          </w:tcPr>
          <w:p w14:paraId="38909BC6" w14:textId="77777777" w:rsidR="009329D3" w:rsidRPr="009329D3" w:rsidRDefault="009329D3" w:rsidP="009329D3">
            <w:pPr>
              <w:spacing w:after="0" w:line="252" w:lineRule="auto"/>
              <w:rPr>
                <w:rFonts w:ascii="&amp;quot" w:eastAsia="Times New Roman" w:hAnsi="&amp;quot" w:cs="Times New Roman"/>
                <w:color w:val="201F1E"/>
              </w:rPr>
            </w:pPr>
            <w:r w:rsidRPr="009329D3">
              <w:rPr>
                <w:rFonts w:ascii="&amp;quot" w:eastAsia="Times New Roman" w:hAnsi="&amp;quot" w:cs="Times New Roman"/>
                <w:b/>
                <w:bCs/>
                <w:color w:val="0000FF"/>
                <w:bdr w:val="none" w:sz="0" w:space="0" w:color="auto" w:frame="1"/>
              </w:rPr>
              <w:t>TO:</w:t>
            </w:r>
          </w:p>
        </w:tc>
        <w:tc>
          <w:tcPr>
            <w:tcW w:w="8096" w:type="dxa"/>
            <w:tcMar>
              <w:top w:w="0" w:type="dxa"/>
              <w:left w:w="108" w:type="dxa"/>
              <w:bottom w:w="0" w:type="dxa"/>
              <w:right w:w="108" w:type="dxa"/>
            </w:tcMar>
            <w:hideMark/>
          </w:tcPr>
          <w:p w14:paraId="1EB4C9C2" w14:textId="77777777" w:rsidR="009329D3" w:rsidRPr="009329D3" w:rsidRDefault="009329D3" w:rsidP="009329D3">
            <w:pPr>
              <w:spacing w:after="0" w:line="252" w:lineRule="auto"/>
              <w:rPr>
                <w:rFonts w:ascii="&amp;quot" w:eastAsia="Times New Roman" w:hAnsi="&amp;quot" w:cs="Times New Roman"/>
                <w:color w:val="201F1E"/>
              </w:rPr>
            </w:pPr>
            <w:r w:rsidRPr="009329D3">
              <w:rPr>
                <w:rFonts w:ascii="&amp;quot" w:eastAsia="Times New Roman" w:hAnsi="&amp;quot" w:cs="Times New Roman"/>
                <w:b/>
                <w:bCs/>
                <w:color w:val="0000FF"/>
                <w:bdr w:val="none" w:sz="0" w:space="0" w:color="auto" w:frame="1"/>
              </w:rPr>
              <w:t>All DCF Staff</w:t>
            </w:r>
          </w:p>
        </w:tc>
      </w:tr>
      <w:tr w:rsidR="009329D3" w:rsidRPr="009329D3" w14:paraId="18559B4A" w14:textId="77777777" w:rsidTr="009329D3">
        <w:trPr>
          <w:trHeight w:val="360"/>
        </w:trPr>
        <w:tc>
          <w:tcPr>
            <w:tcW w:w="1254" w:type="dxa"/>
            <w:tcMar>
              <w:top w:w="0" w:type="dxa"/>
              <w:left w:w="108" w:type="dxa"/>
              <w:bottom w:w="0" w:type="dxa"/>
              <w:right w:w="108" w:type="dxa"/>
            </w:tcMar>
            <w:hideMark/>
          </w:tcPr>
          <w:p w14:paraId="38713E9F" w14:textId="77777777" w:rsidR="009329D3" w:rsidRPr="009329D3" w:rsidRDefault="009329D3" w:rsidP="009329D3">
            <w:pPr>
              <w:spacing w:after="0" w:line="252" w:lineRule="auto"/>
              <w:rPr>
                <w:rFonts w:ascii="&amp;quot" w:eastAsia="Times New Roman" w:hAnsi="&amp;quot" w:cs="Times New Roman"/>
                <w:color w:val="201F1E"/>
              </w:rPr>
            </w:pPr>
            <w:r w:rsidRPr="009329D3">
              <w:rPr>
                <w:rFonts w:ascii="&amp;quot" w:eastAsia="Times New Roman" w:hAnsi="&amp;quot" w:cs="Times New Roman"/>
                <w:b/>
                <w:bCs/>
                <w:color w:val="0000FF"/>
                <w:bdr w:val="none" w:sz="0" w:space="0" w:color="auto" w:frame="1"/>
              </w:rPr>
              <w:t>FROM:</w:t>
            </w:r>
          </w:p>
        </w:tc>
        <w:tc>
          <w:tcPr>
            <w:tcW w:w="8096" w:type="dxa"/>
            <w:tcMar>
              <w:top w:w="0" w:type="dxa"/>
              <w:left w:w="108" w:type="dxa"/>
              <w:bottom w:w="0" w:type="dxa"/>
              <w:right w:w="108" w:type="dxa"/>
            </w:tcMar>
            <w:hideMark/>
          </w:tcPr>
          <w:p w14:paraId="6B7C3DA4" w14:textId="77777777" w:rsidR="009329D3" w:rsidRPr="009329D3" w:rsidRDefault="009329D3" w:rsidP="009329D3">
            <w:pPr>
              <w:spacing w:after="0" w:line="252" w:lineRule="auto"/>
              <w:rPr>
                <w:rFonts w:ascii="&amp;quot" w:eastAsia="Times New Roman" w:hAnsi="&amp;quot" w:cs="Times New Roman"/>
                <w:color w:val="201F1E"/>
              </w:rPr>
            </w:pPr>
            <w:r w:rsidRPr="009329D3">
              <w:rPr>
                <w:rFonts w:ascii="&amp;quot" w:eastAsia="Times New Roman" w:hAnsi="&amp;quot" w:cs="Times New Roman"/>
                <w:b/>
                <w:bCs/>
                <w:color w:val="0000FF"/>
                <w:bdr w:val="none" w:sz="0" w:space="0" w:color="auto" w:frame="1"/>
              </w:rPr>
              <w:t xml:space="preserve">Commissioner </w:t>
            </w:r>
            <w:proofErr w:type="spellStart"/>
            <w:r w:rsidRPr="009329D3">
              <w:rPr>
                <w:rFonts w:ascii="&amp;quot" w:eastAsia="Times New Roman" w:hAnsi="&amp;quot" w:cs="Times New Roman"/>
                <w:b/>
                <w:bCs/>
                <w:color w:val="0000FF"/>
                <w:bdr w:val="none" w:sz="0" w:space="0" w:color="auto" w:frame="1"/>
              </w:rPr>
              <w:t>Vannessa</w:t>
            </w:r>
            <w:proofErr w:type="spellEnd"/>
            <w:r w:rsidRPr="009329D3">
              <w:rPr>
                <w:rFonts w:ascii="&amp;quot" w:eastAsia="Times New Roman" w:hAnsi="&amp;quot" w:cs="Times New Roman"/>
                <w:b/>
                <w:bCs/>
                <w:color w:val="0000FF"/>
                <w:bdr w:val="none" w:sz="0" w:space="0" w:color="auto" w:frame="1"/>
              </w:rPr>
              <w:t xml:space="preserve"> </w:t>
            </w:r>
            <w:proofErr w:type="spellStart"/>
            <w:r w:rsidRPr="009329D3">
              <w:rPr>
                <w:rFonts w:ascii="&amp;quot" w:eastAsia="Times New Roman" w:hAnsi="&amp;quot" w:cs="Times New Roman"/>
                <w:b/>
                <w:bCs/>
                <w:color w:val="0000FF"/>
                <w:bdr w:val="none" w:sz="0" w:space="0" w:color="auto" w:frame="1"/>
              </w:rPr>
              <w:t>Dorantes</w:t>
            </w:r>
            <w:proofErr w:type="spellEnd"/>
          </w:p>
        </w:tc>
      </w:tr>
      <w:tr w:rsidR="009329D3" w:rsidRPr="009329D3" w14:paraId="01EE20E0" w14:textId="77777777" w:rsidTr="009329D3">
        <w:trPr>
          <w:trHeight w:val="360"/>
        </w:trPr>
        <w:tc>
          <w:tcPr>
            <w:tcW w:w="1254" w:type="dxa"/>
            <w:tcMar>
              <w:top w:w="0" w:type="dxa"/>
              <w:left w:w="108" w:type="dxa"/>
              <w:bottom w:w="0" w:type="dxa"/>
              <w:right w:w="108" w:type="dxa"/>
            </w:tcMar>
            <w:hideMark/>
          </w:tcPr>
          <w:p w14:paraId="27333023" w14:textId="77777777" w:rsidR="009329D3" w:rsidRPr="009329D3" w:rsidRDefault="009329D3" w:rsidP="009329D3">
            <w:pPr>
              <w:spacing w:after="0" w:line="252" w:lineRule="auto"/>
              <w:rPr>
                <w:rFonts w:ascii="&amp;quot" w:eastAsia="Times New Roman" w:hAnsi="&amp;quot" w:cs="Times New Roman"/>
                <w:color w:val="201F1E"/>
              </w:rPr>
            </w:pPr>
            <w:r w:rsidRPr="009329D3">
              <w:rPr>
                <w:rFonts w:ascii="&amp;quot" w:eastAsia="Times New Roman" w:hAnsi="&amp;quot" w:cs="Times New Roman"/>
                <w:b/>
                <w:bCs/>
                <w:color w:val="0000FF"/>
                <w:bdr w:val="none" w:sz="0" w:space="0" w:color="auto" w:frame="1"/>
              </w:rPr>
              <w:t>DATE:</w:t>
            </w:r>
          </w:p>
        </w:tc>
        <w:tc>
          <w:tcPr>
            <w:tcW w:w="8096" w:type="dxa"/>
            <w:tcMar>
              <w:top w:w="0" w:type="dxa"/>
              <w:left w:w="108" w:type="dxa"/>
              <w:bottom w:w="0" w:type="dxa"/>
              <w:right w:w="108" w:type="dxa"/>
            </w:tcMar>
            <w:hideMark/>
          </w:tcPr>
          <w:p w14:paraId="71CA88C7" w14:textId="77777777" w:rsidR="009329D3" w:rsidRPr="009329D3" w:rsidRDefault="009329D3" w:rsidP="009329D3">
            <w:pPr>
              <w:spacing w:after="0" w:line="252" w:lineRule="auto"/>
              <w:rPr>
                <w:rFonts w:ascii="&amp;quot" w:eastAsia="Times New Roman" w:hAnsi="&amp;quot" w:cs="Times New Roman"/>
                <w:color w:val="201F1E"/>
              </w:rPr>
            </w:pPr>
            <w:r w:rsidRPr="009329D3">
              <w:rPr>
                <w:rFonts w:ascii="&amp;quot" w:eastAsia="Times New Roman" w:hAnsi="&amp;quot" w:cs="Times New Roman"/>
                <w:b/>
                <w:bCs/>
                <w:color w:val="0000FF"/>
                <w:bdr w:val="none" w:sz="0" w:space="0" w:color="auto" w:frame="1"/>
              </w:rPr>
              <w:t>April 26, 2021</w:t>
            </w:r>
          </w:p>
        </w:tc>
      </w:tr>
      <w:tr w:rsidR="009329D3" w:rsidRPr="009329D3" w14:paraId="2E87F3A1" w14:textId="77777777" w:rsidTr="009329D3">
        <w:trPr>
          <w:trHeight w:val="360"/>
        </w:trPr>
        <w:tc>
          <w:tcPr>
            <w:tcW w:w="1254" w:type="dxa"/>
            <w:tcMar>
              <w:top w:w="0" w:type="dxa"/>
              <w:left w:w="108" w:type="dxa"/>
              <w:bottom w:w="0" w:type="dxa"/>
              <w:right w:w="108" w:type="dxa"/>
            </w:tcMar>
            <w:hideMark/>
          </w:tcPr>
          <w:p w14:paraId="276FD81D" w14:textId="77777777" w:rsidR="009329D3" w:rsidRPr="009329D3" w:rsidRDefault="009329D3" w:rsidP="009329D3">
            <w:pPr>
              <w:spacing w:after="0" w:line="252" w:lineRule="auto"/>
              <w:rPr>
                <w:rFonts w:ascii="&amp;quot" w:eastAsia="Times New Roman" w:hAnsi="&amp;quot" w:cs="Times New Roman"/>
                <w:color w:val="201F1E"/>
              </w:rPr>
            </w:pPr>
            <w:r w:rsidRPr="009329D3">
              <w:rPr>
                <w:rFonts w:ascii="&amp;quot" w:eastAsia="Times New Roman" w:hAnsi="&amp;quot" w:cs="Times New Roman"/>
                <w:b/>
                <w:bCs/>
                <w:color w:val="0000FF"/>
                <w:bdr w:val="none" w:sz="0" w:space="0" w:color="auto" w:frame="1"/>
              </w:rPr>
              <w:t>SUBJECT:</w:t>
            </w:r>
          </w:p>
        </w:tc>
        <w:tc>
          <w:tcPr>
            <w:tcW w:w="8096" w:type="dxa"/>
            <w:tcMar>
              <w:top w:w="0" w:type="dxa"/>
              <w:left w:w="108" w:type="dxa"/>
              <w:bottom w:w="0" w:type="dxa"/>
              <w:right w:w="108" w:type="dxa"/>
            </w:tcMar>
            <w:hideMark/>
          </w:tcPr>
          <w:p w14:paraId="08C2A6DC" w14:textId="77777777" w:rsidR="009329D3" w:rsidRPr="009329D3" w:rsidRDefault="009329D3" w:rsidP="009329D3">
            <w:pPr>
              <w:spacing w:after="0" w:line="252" w:lineRule="auto"/>
              <w:rPr>
                <w:rFonts w:ascii="&amp;quot" w:eastAsia="Times New Roman" w:hAnsi="&amp;quot" w:cs="Times New Roman"/>
                <w:color w:val="201F1E"/>
              </w:rPr>
            </w:pPr>
            <w:r w:rsidRPr="009329D3">
              <w:rPr>
                <w:rFonts w:ascii="&amp;quot" w:eastAsia="Times New Roman" w:hAnsi="&amp;quot" w:cs="Times New Roman"/>
                <w:b/>
                <w:bCs/>
                <w:color w:val="0000FF"/>
                <w:bdr w:val="none" w:sz="0" w:space="0" w:color="auto" w:frame="1"/>
              </w:rPr>
              <w:t>In-Person Visitation Contact and Re-Entry Capacity in Regional Offices</w:t>
            </w:r>
          </w:p>
        </w:tc>
      </w:tr>
    </w:tbl>
    <w:p w14:paraId="309A39B0" w14:textId="77777777" w:rsidR="009329D3" w:rsidRPr="009329D3" w:rsidRDefault="009329D3" w:rsidP="009329D3">
      <w:pPr>
        <w:spacing w:after="0" w:line="240" w:lineRule="auto"/>
        <w:jc w:val="center"/>
        <w:rPr>
          <w:rFonts w:ascii="&amp;quot" w:eastAsia="Times New Roman" w:hAnsi="&amp;quot" w:cs="Times New Roman"/>
          <w:color w:val="201F1E"/>
        </w:rPr>
      </w:pPr>
      <w:r w:rsidRPr="009329D3">
        <w:rPr>
          <w:rFonts w:ascii="&amp;quot" w:eastAsia="Times New Roman" w:hAnsi="&amp;quot" w:cs="Times New Roman"/>
          <w:color w:val="201F1E"/>
        </w:rPr>
        <w:t> </w:t>
      </w:r>
    </w:p>
    <w:p w14:paraId="27A3D261" w14:textId="77777777" w:rsidR="009329D3" w:rsidRPr="009329D3" w:rsidRDefault="009329D3" w:rsidP="009329D3">
      <w:pPr>
        <w:spacing w:after="0" w:line="240" w:lineRule="auto"/>
        <w:jc w:val="center"/>
        <w:rPr>
          <w:rFonts w:ascii="&amp;quot" w:eastAsia="Times New Roman" w:hAnsi="&amp;quot" w:cs="Times New Roman"/>
          <w:color w:val="201F1E"/>
        </w:rPr>
      </w:pPr>
      <w:r w:rsidRPr="009329D3">
        <w:rPr>
          <w:rFonts w:ascii="&amp;quot" w:eastAsia="Times New Roman" w:hAnsi="&amp;quot" w:cs="Times New Roman"/>
          <w:color w:val="201F1E"/>
        </w:rPr>
        <w:t> </w:t>
      </w:r>
    </w:p>
    <w:p w14:paraId="52CAAAFA" w14:textId="77777777" w:rsidR="009329D3" w:rsidRPr="009329D3" w:rsidRDefault="009329D3" w:rsidP="009329D3">
      <w:pPr>
        <w:spacing w:after="0" w:line="240" w:lineRule="auto"/>
        <w:jc w:val="center"/>
        <w:rPr>
          <w:rFonts w:ascii="&amp;quot" w:eastAsia="Times New Roman" w:hAnsi="&amp;quot" w:cs="Times New Roman"/>
          <w:color w:val="201F1E"/>
        </w:rPr>
      </w:pPr>
      <w:r w:rsidRPr="009329D3">
        <w:rPr>
          <w:rFonts w:ascii="&amp;quot" w:eastAsia="Times New Roman" w:hAnsi="&amp;quot" w:cs="Times New Roman"/>
          <w:color w:val="201F1E"/>
        </w:rPr>
        <w:t> </w:t>
      </w:r>
    </w:p>
    <w:p w14:paraId="440E2D8F" w14:textId="77777777" w:rsidR="009329D3" w:rsidRPr="009329D3" w:rsidRDefault="009329D3" w:rsidP="009329D3">
      <w:pPr>
        <w:spacing w:after="0" w:line="240" w:lineRule="auto"/>
        <w:jc w:val="center"/>
        <w:rPr>
          <w:rFonts w:ascii="&amp;quot" w:eastAsia="Times New Roman" w:hAnsi="&amp;quot" w:cs="Times New Roman"/>
          <w:color w:val="201F1E"/>
        </w:rPr>
      </w:pPr>
      <w:r w:rsidRPr="009329D3">
        <w:rPr>
          <w:rFonts w:ascii="&amp;quot" w:eastAsia="Times New Roman" w:hAnsi="&amp;quot" w:cs="Times New Roman"/>
          <w:color w:val="201F1E"/>
        </w:rPr>
        <w:t> </w:t>
      </w:r>
    </w:p>
    <w:p w14:paraId="6EF6A0A3" w14:textId="77777777" w:rsidR="009329D3" w:rsidRPr="009329D3" w:rsidRDefault="009329D3" w:rsidP="009329D3">
      <w:pPr>
        <w:spacing w:after="0" w:line="240" w:lineRule="auto"/>
        <w:jc w:val="center"/>
        <w:rPr>
          <w:rFonts w:ascii="&amp;quot" w:eastAsia="Times New Roman" w:hAnsi="&amp;quot" w:cs="Times New Roman"/>
          <w:color w:val="201F1E"/>
        </w:rPr>
      </w:pPr>
      <w:r w:rsidRPr="009329D3">
        <w:rPr>
          <w:rFonts w:ascii="&amp;quot" w:eastAsia="Times New Roman" w:hAnsi="&amp;quot" w:cs="Times New Roman"/>
          <w:color w:val="201F1E"/>
        </w:rPr>
        <w:t> </w:t>
      </w:r>
    </w:p>
    <w:p w14:paraId="165719B2" w14:textId="19942E89" w:rsidR="009329D3" w:rsidRPr="009329D3" w:rsidRDefault="009329D3" w:rsidP="009329D3">
      <w:pPr>
        <w:spacing w:after="0" w:line="240" w:lineRule="auto"/>
        <w:jc w:val="center"/>
        <w:rPr>
          <w:rFonts w:ascii="&amp;quot" w:eastAsia="Times New Roman" w:hAnsi="&amp;quot" w:cs="Times New Roman"/>
        </w:rPr>
      </w:pPr>
      <w:r w:rsidRPr="009329D3">
        <w:rPr>
          <w:rFonts w:ascii="&amp;quot" w:eastAsia="Times New Roman" w:hAnsi="&amp;quot" w:cs="Times New Roman"/>
          <w:color w:val="201F1E"/>
        </w:rPr>
        <w:t> </w:t>
      </w:r>
      <w:r w:rsidRPr="009329D3">
        <w:rPr>
          <w:rFonts w:ascii="&amp;quot" w:eastAsia="Times New Roman" w:hAnsi="&amp;quot" w:cs="Times New Roman"/>
        </w:rPr>
        <w:pict w14:anchorId="4D3A02A9">
          <v:rect id="_x0000_i1026" style="width:535.15pt;height:1.55pt" o:hrpct="991" o:hrstd="t" o:hrnoshade="t" o:hr="t" fillcolor="blue" stroked="f"/>
        </w:pict>
      </w:r>
    </w:p>
    <w:p w14:paraId="26818F24" w14:textId="29464926" w:rsidR="009329D3" w:rsidRDefault="009329D3" w:rsidP="009329D3">
      <w:pPr>
        <w:spacing w:after="0" w:line="240" w:lineRule="auto"/>
        <w:jc w:val="both"/>
        <w:rPr>
          <w:rFonts w:ascii="&amp;quot" w:eastAsia="Times New Roman" w:hAnsi="&amp;quot" w:cs="Times New Roman"/>
          <w:i/>
          <w:iCs/>
          <w:color w:val="201F1E"/>
        </w:rPr>
      </w:pPr>
      <w:proofErr w:type="gramStart"/>
      <w:r w:rsidRPr="009329D3">
        <w:rPr>
          <w:rFonts w:ascii="&amp;quot" w:eastAsia="Times New Roman" w:hAnsi="&amp;quot" w:cs="Times New Roman"/>
          <w:i/>
          <w:iCs/>
          <w:color w:val="201F1E"/>
        </w:rPr>
        <w:t>Each and every</w:t>
      </w:r>
      <w:proofErr w:type="gramEnd"/>
      <w:r w:rsidRPr="009329D3">
        <w:rPr>
          <w:rFonts w:ascii="&amp;quot" w:eastAsia="Times New Roman" w:hAnsi="&amp;quot" w:cs="Times New Roman"/>
          <w:i/>
          <w:iCs/>
          <w:color w:val="201F1E"/>
        </w:rPr>
        <w:t xml:space="preserve"> one of you has done a remarkable job over the past 14 months to ensure the safety and wellbeing of the children and families we serve. We have continued to conduct our mission critical work-- and then some, under extraordinary circumstances. History has been made with our unique and innovative efforts seen during the pandemic. Most importantly, families have been empowered and supported during this unprecedented time</w:t>
      </w:r>
    </w:p>
    <w:p w14:paraId="0870F6DF" w14:textId="77777777" w:rsidR="009329D3" w:rsidRPr="009329D3" w:rsidRDefault="009329D3" w:rsidP="009329D3">
      <w:pPr>
        <w:spacing w:after="0" w:line="240" w:lineRule="auto"/>
        <w:jc w:val="both"/>
        <w:rPr>
          <w:rFonts w:ascii="&amp;quot" w:eastAsia="Times New Roman" w:hAnsi="&amp;quot" w:cs="Times New Roman"/>
          <w:color w:val="201F1E"/>
        </w:rPr>
      </w:pPr>
    </w:p>
    <w:p w14:paraId="535D2ADF" w14:textId="70BB8819" w:rsidR="009329D3" w:rsidRDefault="009329D3" w:rsidP="009329D3">
      <w:pPr>
        <w:spacing w:after="0" w:line="240" w:lineRule="auto"/>
        <w:jc w:val="both"/>
        <w:rPr>
          <w:rFonts w:ascii="&amp;quot" w:eastAsia="Times New Roman" w:hAnsi="&amp;quot" w:cs="Times New Roman"/>
          <w:i/>
          <w:iCs/>
          <w:color w:val="201F1E"/>
        </w:rPr>
      </w:pPr>
      <w:r w:rsidRPr="009329D3">
        <w:rPr>
          <w:rFonts w:ascii="&amp;quot" w:eastAsia="Times New Roman" w:hAnsi="&amp;quot" w:cs="Times New Roman"/>
          <w:i/>
          <w:iCs/>
          <w:color w:val="201F1E"/>
        </w:rPr>
        <w:t>Governor Lamont's Executive Orders permitted the Agency to alter policies and practices during the COVID-19 public health crisis, through the authority vested in agency leadership.</w:t>
      </w:r>
    </w:p>
    <w:p w14:paraId="65612509" w14:textId="77777777" w:rsidR="009329D3" w:rsidRPr="009329D3" w:rsidRDefault="009329D3" w:rsidP="009329D3">
      <w:pPr>
        <w:spacing w:after="0" w:line="240" w:lineRule="auto"/>
        <w:jc w:val="both"/>
        <w:rPr>
          <w:rFonts w:ascii="&amp;quot" w:eastAsia="Times New Roman" w:hAnsi="&amp;quot" w:cs="Times New Roman"/>
          <w:color w:val="201F1E"/>
        </w:rPr>
      </w:pPr>
    </w:p>
    <w:p w14:paraId="3842A233" w14:textId="7956C156" w:rsidR="009329D3" w:rsidRDefault="009329D3" w:rsidP="009329D3">
      <w:pPr>
        <w:spacing w:after="0" w:line="240" w:lineRule="auto"/>
        <w:jc w:val="both"/>
        <w:rPr>
          <w:rFonts w:ascii="&amp;quot" w:eastAsia="Times New Roman" w:hAnsi="&amp;quot" w:cs="Times New Roman"/>
          <w:i/>
          <w:iCs/>
          <w:color w:val="201F1E"/>
        </w:rPr>
      </w:pPr>
      <w:r w:rsidRPr="009329D3">
        <w:rPr>
          <w:rFonts w:ascii="&amp;quot" w:eastAsia="Times New Roman" w:hAnsi="&amp;quot" w:cs="Times New Roman"/>
          <w:i/>
          <w:iCs/>
          <w:color w:val="201F1E"/>
        </w:rPr>
        <w:t>Connecticut is now moving closer to experiencing life and engaging in activities that occurred pre-pandemic. Schools are open for in-person learning, sports are active; restaurant capacity and other physical gathering places are less restrictive. </w:t>
      </w:r>
    </w:p>
    <w:p w14:paraId="10440BD6" w14:textId="77777777" w:rsidR="009329D3" w:rsidRPr="009329D3" w:rsidRDefault="009329D3" w:rsidP="009329D3">
      <w:pPr>
        <w:spacing w:after="0" w:line="240" w:lineRule="auto"/>
        <w:jc w:val="both"/>
        <w:rPr>
          <w:rFonts w:ascii="&amp;quot" w:eastAsia="Times New Roman" w:hAnsi="&amp;quot" w:cs="Times New Roman"/>
          <w:color w:val="201F1E"/>
        </w:rPr>
      </w:pPr>
    </w:p>
    <w:p w14:paraId="6F555BA9" w14:textId="586CCFA2" w:rsidR="009329D3" w:rsidRDefault="009329D3" w:rsidP="009329D3">
      <w:pPr>
        <w:spacing w:after="0" w:line="240" w:lineRule="auto"/>
        <w:jc w:val="both"/>
        <w:rPr>
          <w:rFonts w:ascii="&amp;quot" w:eastAsia="Times New Roman" w:hAnsi="&amp;quot" w:cs="Times New Roman"/>
          <w:i/>
          <w:iCs/>
          <w:color w:val="201F1E"/>
        </w:rPr>
      </w:pPr>
      <w:r w:rsidRPr="009329D3">
        <w:rPr>
          <w:rFonts w:ascii="&amp;quot" w:eastAsia="Times New Roman" w:hAnsi="&amp;quot" w:cs="Times New Roman"/>
          <w:i/>
          <w:iCs/>
          <w:color w:val="201F1E"/>
        </w:rPr>
        <w:t>Special Act 21-2 ratified the Governor's authority to issue COVID-19 Executive Orders thru May 20, 2021. Therefore, we will be resuming our previously existing in-person visitation contact standards as of that date.</w:t>
      </w:r>
    </w:p>
    <w:p w14:paraId="61665689" w14:textId="77777777" w:rsidR="009329D3" w:rsidRPr="009329D3" w:rsidRDefault="009329D3" w:rsidP="009329D3">
      <w:pPr>
        <w:spacing w:after="0" w:line="240" w:lineRule="auto"/>
        <w:jc w:val="both"/>
        <w:rPr>
          <w:rFonts w:ascii="&amp;quot" w:eastAsia="Times New Roman" w:hAnsi="&amp;quot" w:cs="Times New Roman"/>
          <w:color w:val="201F1E"/>
        </w:rPr>
      </w:pPr>
    </w:p>
    <w:p w14:paraId="38AA5A21" w14:textId="38E4A173" w:rsidR="009329D3" w:rsidRDefault="009329D3" w:rsidP="009329D3">
      <w:pPr>
        <w:spacing w:after="0" w:line="240" w:lineRule="auto"/>
        <w:jc w:val="both"/>
        <w:rPr>
          <w:rFonts w:ascii="&amp;quot" w:eastAsia="Times New Roman" w:hAnsi="&amp;quot" w:cs="Times New Roman"/>
          <w:i/>
          <w:iCs/>
          <w:color w:val="201F1E"/>
        </w:rPr>
      </w:pPr>
      <w:r w:rsidRPr="009329D3">
        <w:rPr>
          <w:rFonts w:ascii="&amp;quot" w:eastAsia="Times New Roman" w:hAnsi="&amp;quot" w:cs="Times New Roman"/>
          <w:i/>
          <w:iCs/>
          <w:color w:val="201F1E"/>
        </w:rPr>
        <w:t xml:space="preserve">As activities around our state continue to </w:t>
      </w:r>
      <w:proofErr w:type="gramStart"/>
      <w:r w:rsidRPr="009329D3">
        <w:rPr>
          <w:rFonts w:ascii="&amp;quot" w:eastAsia="Times New Roman" w:hAnsi="&amp;quot" w:cs="Times New Roman"/>
          <w:i/>
          <w:iCs/>
          <w:color w:val="201F1E"/>
        </w:rPr>
        <w:t>open up</w:t>
      </w:r>
      <w:proofErr w:type="gramEnd"/>
      <w:r w:rsidRPr="009329D3">
        <w:rPr>
          <w:rFonts w:ascii="&amp;quot" w:eastAsia="Times New Roman" w:hAnsi="&amp;quot" w:cs="Times New Roman"/>
          <w:i/>
          <w:iCs/>
          <w:color w:val="201F1E"/>
        </w:rPr>
        <w:t>, we remain being planful, thoughtful and leading with safety as we consider re-entry into our office spaces. We recognize it has</w:t>
      </w:r>
      <w:r w:rsidRPr="009329D3">
        <w:rPr>
          <w:rFonts w:ascii="inherit" w:eastAsia="Times New Roman" w:hAnsi="inherit" w:cs="Times New Roman"/>
          <w:i/>
          <w:iCs/>
          <w:color w:val="FF0000"/>
          <w:bdr w:val="none" w:sz="0" w:space="0" w:color="auto" w:frame="1"/>
        </w:rPr>
        <w:t xml:space="preserve"> </w:t>
      </w:r>
      <w:r w:rsidRPr="009329D3">
        <w:rPr>
          <w:rFonts w:ascii="&amp;quot" w:eastAsia="Times New Roman" w:hAnsi="&amp;quot" w:cs="Times New Roman"/>
          <w:i/>
          <w:iCs/>
          <w:color w:val="201F1E"/>
        </w:rPr>
        <w:t>been</w:t>
      </w:r>
      <w:r w:rsidRPr="009329D3">
        <w:rPr>
          <w:rFonts w:ascii="inherit" w:eastAsia="Times New Roman" w:hAnsi="inherit" w:cs="Times New Roman"/>
          <w:i/>
          <w:iCs/>
          <w:color w:val="FF0000"/>
          <w:bdr w:val="none" w:sz="0" w:space="0" w:color="auto" w:frame="1"/>
        </w:rPr>
        <w:t xml:space="preserve"> </w:t>
      </w:r>
      <w:r w:rsidRPr="009329D3">
        <w:rPr>
          <w:rFonts w:ascii="&amp;quot" w:eastAsia="Times New Roman" w:hAnsi="&amp;quot" w:cs="Times New Roman"/>
          <w:i/>
          <w:iCs/>
          <w:color w:val="201F1E"/>
        </w:rPr>
        <w:t xml:space="preserve">quite a long year and while we do not want to return to the offices all at once, we need to manage the amount of people inside of buildings while the pandemic is still among us. Setting up some guidelines allows us to hear from you and you from us. </w:t>
      </w:r>
    </w:p>
    <w:p w14:paraId="36128581" w14:textId="77777777" w:rsidR="009329D3" w:rsidRPr="009329D3" w:rsidRDefault="009329D3" w:rsidP="009329D3">
      <w:pPr>
        <w:spacing w:after="0" w:line="240" w:lineRule="auto"/>
        <w:jc w:val="both"/>
        <w:rPr>
          <w:rFonts w:ascii="&amp;quot" w:eastAsia="Times New Roman" w:hAnsi="&amp;quot" w:cs="Times New Roman"/>
          <w:color w:val="201F1E"/>
        </w:rPr>
      </w:pPr>
    </w:p>
    <w:p w14:paraId="7A508804" w14:textId="1F78A7B2" w:rsidR="009329D3" w:rsidRDefault="009329D3" w:rsidP="009329D3">
      <w:pPr>
        <w:spacing w:after="0" w:line="240" w:lineRule="auto"/>
        <w:jc w:val="both"/>
        <w:rPr>
          <w:rFonts w:ascii="&amp;quot" w:eastAsia="Times New Roman" w:hAnsi="&amp;quot" w:cs="Times New Roman"/>
          <w:i/>
          <w:iCs/>
          <w:color w:val="201F1E"/>
        </w:rPr>
      </w:pPr>
      <w:r w:rsidRPr="009329D3">
        <w:rPr>
          <w:rFonts w:ascii="&amp;quot" w:eastAsia="Times New Roman" w:hAnsi="&amp;quot" w:cs="Times New Roman"/>
          <w:i/>
          <w:iCs/>
          <w:color w:val="201F1E"/>
        </w:rPr>
        <w:t>This memorandum is to spell-out the resumption of previously modified in-person contact expectations and re-entry capacity in the Regional/Central Offices.</w:t>
      </w:r>
    </w:p>
    <w:p w14:paraId="72C60DC2" w14:textId="77777777" w:rsidR="009329D3" w:rsidRPr="009329D3" w:rsidRDefault="009329D3" w:rsidP="009329D3">
      <w:pPr>
        <w:spacing w:after="0" w:line="240" w:lineRule="auto"/>
        <w:rPr>
          <w:rFonts w:ascii="&amp;quot" w:eastAsia="Times New Roman" w:hAnsi="&amp;quot" w:cs="Times New Roman"/>
          <w:color w:val="201F1E"/>
        </w:rPr>
      </w:pPr>
    </w:p>
    <w:p w14:paraId="7E7EEE18" w14:textId="77777777" w:rsidR="009329D3" w:rsidRPr="009329D3" w:rsidRDefault="009329D3" w:rsidP="009329D3">
      <w:pPr>
        <w:shd w:val="clear" w:color="auto" w:fill="E7E6E6"/>
        <w:spacing w:after="0" w:line="240" w:lineRule="auto"/>
        <w:rPr>
          <w:rFonts w:ascii="&amp;quot" w:eastAsia="Times New Roman" w:hAnsi="&amp;quot" w:cs="Times New Roman"/>
          <w:color w:val="201F1E"/>
        </w:rPr>
      </w:pPr>
      <w:r w:rsidRPr="009329D3">
        <w:rPr>
          <w:rFonts w:ascii="inherit" w:eastAsia="Times New Roman" w:hAnsi="inherit" w:cs="Times New Roman"/>
          <w:b/>
          <w:bCs/>
          <w:color w:val="000000"/>
          <w:sz w:val="24"/>
          <w:szCs w:val="24"/>
          <w:u w:val="single"/>
          <w:bdr w:val="none" w:sz="0" w:space="0" w:color="auto" w:frame="1"/>
        </w:rPr>
        <w:t>In-Person Contact</w:t>
      </w:r>
    </w:p>
    <w:p w14:paraId="41095A63" w14:textId="77777777" w:rsidR="009329D3" w:rsidRDefault="009329D3" w:rsidP="009329D3">
      <w:pPr>
        <w:spacing w:after="0" w:line="240" w:lineRule="auto"/>
        <w:rPr>
          <w:rFonts w:ascii="&amp;quot" w:eastAsia="Times New Roman" w:hAnsi="&amp;quot" w:cs="Times New Roman"/>
          <w:color w:val="201F1E"/>
        </w:rPr>
      </w:pPr>
    </w:p>
    <w:p w14:paraId="66811D9B" w14:textId="7B433D89" w:rsidR="009329D3" w:rsidRDefault="009329D3" w:rsidP="009329D3">
      <w:pPr>
        <w:spacing w:after="0" w:line="240" w:lineRule="auto"/>
        <w:rPr>
          <w:rFonts w:ascii="&amp;quot" w:eastAsia="Times New Roman" w:hAnsi="&amp;quot" w:cs="Times New Roman"/>
          <w:color w:val="201F1E"/>
        </w:rPr>
      </w:pPr>
      <w:r w:rsidRPr="009329D3">
        <w:rPr>
          <w:rFonts w:ascii="&amp;quot" w:eastAsia="Times New Roman" w:hAnsi="&amp;quot" w:cs="Times New Roman"/>
          <w:color w:val="201F1E"/>
        </w:rPr>
        <w:t>By 5/20/21, in accordance with agency policy, our in-person visitation standards are to fully resume as they pertain to:</w:t>
      </w:r>
    </w:p>
    <w:p w14:paraId="5D9C9F36" w14:textId="77777777" w:rsidR="009329D3" w:rsidRPr="009329D3" w:rsidRDefault="009329D3" w:rsidP="009329D3">
      <w:pPr>
        <w:spacing w:after="0" w:line="240" w:lineRule="auto"/>
        <w:rPr>
          <w:rFonts w:ascii="&amp;quot" w:eastAsia="Times New Roman" w:hAnsi="&amp;quot" w:cs="Times New Roman"/>
          <w:color w:val="201F1E"/>
        </w:rPr>
      </w:pPr>
    </w:p>
    <w:p w14:paraId="0259AC23" w14:textId="5B17C6D1" w:rsidR="009329D3" w:rsidRPr="009329D3" w:rsidRDefault="009329D3" w:rsidP="009329D3">
      <w:pPr>
        <w:pStyle w:val="ListParagraph"/>
        <w:numPr>
          <w:ilvl w:val="0"/>
          <w:numId w:val="2"/>
        </w:numPr>
        <w:spacing w:after="0" w:line="240" w:lineRule="auto"/>
        <w:ind w:left="1170" w:hanging="450"/>
        <w:rPr>
          <w:rFonts w:ascii="&amp;quot" w:eastAsia="Times New Roman" w:hAnsi="&amp;quot" w:cs="Times New Roman"/>
          <w:color w:val="201F1E"/>
        </w:rPr>
      </w:pPr>
      <w:r w:rsidRPr="009329D3">
        <w:rPr>
          <w:rFonts w:ascii="&amp;quot" w:eastAsia="Times New Roman" w:hAnsi="&amp;quot" w:cs="Times New Roman"/>
          <w:color w:val="201F1E"/>
        </w:rPr>
        <w:t>Visits between youth placed into DCF facilities and their families</w:t>
      </w:r>
    </w:p>
    <w:p w14:paraId="452D729D" w14:textId="6777E742" w:rsidR="009329D3" w:rsidRPr="009329D3" w:rsidRDefault="009329D3" w:rsidP="009329D3">
      <w:pPr>
        <w:pStyle w:val="ListParagraph"/>
        <w:numPr>
          <w:ilvl w:val="0"/>
          <w:numId w:val="2"/>
        </w:numPr>
        <w:spacing w:after="0" w:line="240" w:lineRule="auto"/>
        <w:ind w:left="1170" w:hanging="450"/>
        <w:rPr>
          <w:rFonts w:ascii="&amp;quot" w:eastAsia="Times New Roman" w:hAnsi="&amp;quot" w:cs="Times New Roman"/>
          <w:color w:val="201F1E"/>
        </w:rPr>
      </w:pPr>
      <w:r w:rsidRPr="009329D3">
        <w:rPr>
          <w:rFonts w:ascii="&amp;quot" w:eastAsia="Times New Roman" w:hAnsi="&amp;quot" w:cs="Times New Roman"/>
          <w:color w:val="201F1E"/>
        </w:rPr>
        <w:t xml:space="preserve">Monthly/twice-monthly visitation on active cases </w:t>
      </w:r>
    </w:p>
    <w:p w14:paraId="7B92B7D7" w14:textId="13842B49" w:rsidR="009329D3" w:rsidRPr="009329D3" w:rsidRDefault="009329D3" w:rsidP="009329D3">
      <w:pPr>
        <w:pStyle w:val="ListParagraph"/>
        <w:numPr>
          <w:ilvl w:val="0"/>
          <w:numId w:val="2"/>
        </w:numPr>
        <w:spacing w:after="0" w:line="240" w:lineRule="auto"/>
        <w:ind w:left="1170" w:hanging="450"/>
        <w:rPr>
          <w:rFonts w:ascii="&amp;quot" w:eastAsia="Times New Roman" w:hAnsi="&amp;quot" w:cs="Times New Roman"/>
          <w:color w:val="201F1E"/>
        </w:rPr>
      </w:pPr>
      <w:r w:rsidRPr="009329D3">
        <w:rPr>
          <w:rFonts w:ascii="&amp;quot" w:eastAsia="Times New Roman" w:hAnsi="&amp;quot" w:cs="Times New Roman"/>
          <w:color w:val="201F1E"/>
        </w:rPr>
        <w:t>Parent/child visitation for youth in DCF care and custody</w:t>
      </w:r>
    </w:p>
    <w:p w14:paraId="46A3BCE6" w14:textId="7A006075" w:rsidR="009329D3" w:rsidRPr="009329D3" w:rsidRDefault="009329D3" w:rsidP="009329D3">
      <w:pPr>
        <w:pStyle w:val="ListParagraph"/>
        <w:numPr>
          <w:ilvl w:val="0"/>
          <w:numId w:val="2"/>
        </w:numPr>
        <w:spacing w:after="0" w:line="240" w:lineRule="auto"/>
        <w:ind w:left="1170" w:hanging="450"/>
        <w:rPr>
          <w:rFonts w:ascii="&amp;quot" w:eastAsia="Times New Roman" w:hAnsi="&amp;quot" w:cs="Times New Roman"/>
          <w:color w:val="201F1E"/>
        </w:rPr>
      </w:pPr>
      <w:r w:rsidRPr="009329D3">
        <w:rPr>
          <w:rFonts w:ascii="&amp;quot" w:eastAsia="Times New Roman" w:hAnsi="&amp;quot" w:cs="Times New Roman"/>
          <w:color w:val="201F1E"/>
        </w:rPr>
        <w:t xml:space="preserve">Foster home/facility licensing activities </w:t>
      </w:r>
    </w:p>
    <w:p w14:paraId="1867EE11" w14:textId="77777777" w:rsidR="009329D3" w:rsidRDefault="009329D3" w:rsidP="009329D3">
      <w:pPr>
        <w:spacing w:after="0" w:line="240" w:lineRule="auto"/>
        <w:rPr>
          <w:rFonts w:ascii="&amp;quot" w:eastAsia="Times New Roman" w:hAnsi="&amp;quot" w:cs="Times New Roman"/>
          <w:color w:val="201F1E"/>
        </w:rPr>
      </w:pPr>
    </w:p>
    <w:p w14:paraId="12929EE5" w14:textId="00CDBE54" w:rsidR="009329D3" w:rsidRDefault="009329D3" w:rsidP="009329D3">
      <w:pPr>
        <w:spacing w:after="0" w:line="240" w:lineRule="auto"/>
        <w:rPr>
          <w:rFonts w:ascii="&amp;quot" w:eastAsia="Times New Roman" w:hAnsi="&amp;quot" w:cs="Times New Roman"/>
          <w:color w:val="201F1E"/>
        </w:rPr>
      </w:pPr>
      <w:r w:rsidRPr="009329D3">
        <w:rPr>
          <w:rFonts w:ascii="&amp;quot" w:eastAsia="Times New Roman" w:hAnsi="&amp;quot" w:cs="Times New Roman"/>
          <w:color w:val="201F1E"/>
        </w:rPr>
        <w:t>Effective 5/20/21, the current in-person visitation triage process will no longer be utilized.</w:t>
      </w:r>
    </w:p>
    <w:p w14:paraId="700B4A98" w14:textId="77777777" w:rsidR="009329D3" w:rsidRPr="009329D3" w:rsidRDefault="009329D3" w:rsidP="009329D3">
      <w:pPr>
        <w:spacing w:after="0" w:line="240" w:lineRule="auto"/>
        <w:rPr>
          <w:rFonts w:ascii="&amp;quot" w:eastAsia="Times New Roman" w:hAnsi="&amp;quot" w:cs="Times New Roman"/>
          <w:color w:val="201F1E"/>
        </w:rPr>
      </w:pPr>
    </w:p>
    <w:p w14:paraId="1DE67AC7" w14:textId="7C39A9C1" w:rsidR="009329D3" w:rsidRDefault="009329D3" w:rsidP="009329D3">
      <w:pPr>
        <w:spacing w:after="0" w:line="240" w:lineRule="auto"/>
        <w:jc w:val="both"/>
        <w:rPr>
          <w:rFonts w:ascii="&amp;quot" w:eastAsia="Times New Roman" w:hAnsi="&amp;quot" w:cs="Times New Roman"/>
          <w:color w:val="201F1E"/>
        </w:rPr>
      </w:pPr>
      <w:r w:rsidRPr="009329D3">
        <w:rPr>
          <w:rFonts w:ascii="&amp;quot" w:eastAsia="Times New Roman" w:hAnsi="&amp;quot" w:cs="Times New Roman"/>
          <w:color w:val="201F1E"/>
        </w:rPr>
        <w:t>Consistent with pre-pandemic protocols, Managerial discretion will determine any exceptions to in-person visitation and this determination will be documented in LINK</w:t>
      </w:r>
    </w:p>
    <w:p w14:paraId="4B323E6F" w14:textId="77777777" w:rsidR="009329D3" w:rsidRPr="009329D3" w:rsidRDefault="009329D3" w:rsidP="009329D3">
      <w:pPr>
        <w:spacing w:after="0" w:line="240" w:lineRule="auto"/>
        <w:jc w:val="both"/>
        <w:rPr>
          <w:rFonts w:ascii="&amp;quot" w:eastAsia="Times New Roman" w:hAnsi="&amp;quot" w:cs="Times New Roman"/>
          <w:color w:val="201F1E"/>
        </w:rPr>
      </w:pPr>
    </w:p>
    <w:p w14:paraId="2E00F7FD" w14:textId="77777777" w:rsidR="009329D3" w:rsidRPr="009329D3" w:rsidRDefault="009329D3" w:rsidP="009329D3">
      <w:pPr>
        <w:spacing w:after="0" w:line="240" w:lineRule="auto"/>
        <w:jc w:val="both"/>
        <w:rPr>
          <w:rFonts w:ascii="&amp;quot" w:eastAsia="Times New Roman" w:hAnsi="&amp;quot" w:cs="Times New Roman"/>
          <w:color w:val="201F1E"/>
        </w:rPr>
      </w:pPr>
      <w:r w:rsidRPr="009329D3">
        <w:rPr>
          <w:rFonts w:ascii="&amp;quot" w:eastAsia="Times New Roman" w:hAnsi="&amp;quot" w:cs="Times New Roman"/>
          <w:color w:val="201F1E"/>
          <w:u w:val="single"/>
        </w:rPr>
        <w:t>Supervision, Meetings and Consults</w:t>
      </w:r>
      <w:r w:rsidRPr="009329D3">
        <w:rPr>
          <w:rFonts w:ascii="&amp;quot" w:eastAsia="Times New Roman" w:hAnsi="&amp;quot" w:cs="Times New Roman"/>
          <w:color w:val="201F1E"/>
        </w:rPr>
        <w:t xml:space="preserve"> </w:t>
      </w:r>
    </w:p>
    <w:p w14:paraId="76367AA0" w14:textId="77777777" w:rsidR="009329D3" w:rsidRPr="009329D3" w:rsidRDefault="009329D3" w:rsidP="009329D3">
      <w:pPr>
        <w:spacing w:after="0" w:line="240" w:lineRule="auto"/>
        <w:jc w:val="both"/>
        <w:rPr>
          <w:rFonts w:ascii="&amp;quot" w:eastAsia="Times New Roman" w:hAnsi="&amp;quot" w:cs="Times New Roman"/>
          <w:color w:val="201F1E"/>
        </w:rPr>
      </w:pPr>
      <w:r w:rsidRPr="009329D3">
        <w:rPr>
          <w:rFonts w:ascii="&amp;quot" w:eastAsia="Times New Roman" w:hAnsi="&amp;quot" w:cs="Times New Roman"/>
          <w:color w:val="201F1E"/>
        </w:rPr>
        <w:t xml:space="preserve">Further guidance will be provided pertaining to in-person contact during Court proceedings, Considered Removal meetings, Administrative Case Reviews, Regional Resource Group consults, supervision, internal </w:t>
      </w:r>
      <w:proofErr w:type="gramStart"/>
      <w:r w:rsidRPr="009329D3">
        <w:rPr>
          <w:rFonts w:ascii="&amp;quot" w:eastAsia="Times New Roman" w:hAnsi="&amp;quot" w:cs="Times New Roman"/>
          <w:color w:val="201F1E"/>
        </w:rPr>
        <w:t>consults</w:t>
      </w:r>
      <w:proofErr w:type="gramEnd"/>
      <w:r w:rsidRPr="009329D3">
        <w:rPr>
          <w:rFonts w:ascii="&amp;quot" w:eastAsia="Times New Roman" w:hAnsi="&amp;quot" w:cs="Times New Roman"/>
          <w:color w:val="201F1E"/>
        </w:rPr>
        <w:t xml:space="preserve"> and other aspects of our work. </w:t>
      </w:r>
    </w:p>
    <w:p w14:paraId="230B4489" w14:textId="77777777" w:rsidR="009329D3" w:rsidRPr="009329D3" w:rsidRDefault="009329D3" w:rsidP="009329D3">
      <w:pPr>
        <w:shd w:val="clear" w:color="auto" w:fill="E7E6E6"/>
        <w:spacing w:after="0" w:line="240" w:lineRule="auto"/>
        <w:rPr>
          <w:rFonts w:ascii="&amp;quot" w:eastAsia="Times New Roman" w:hAnsi="&amp;quot" w:cs="Times New Roman"/>
          <w:color w:val="201F1E"/>
        </w:rPr>
      </w:pPr>
      <w:r w:rsidRPr="009329D3">
        <w:rPr>
          <w:rFonts w:ascii="inherit" w:eastAsia="Times New Roman" w:hAnsi="inherit" w:cs="Times New Roman"/>
          <w:b/>
          <w:bCs/>
          <w:color w:val="000000"/>
          <w:sz w:val="24"/>
          <w:szCs w:val="24"/>
          <w:u w:val="single"/>
          <w:bdr w:val="none" w:sz="0" w:space="0" w:color="auto" w:frame="1"/>
        </w:rPr>
        <w:lastRenderedPageBreak/>
        <w:t>Increasing Re-Entry Capacity in Regional/Central Offices</w:t>
      </w:r>
    </w:p>
    <w:p w14:paraId="025111B7" w14:textId="729DD6E4" w:rsidR="009329D3" w:rsidRDefault="009329D3" w:rsidP="009329D3">
      <w:pPr>
        <w:spacing w:after="0" w:line="240" w:lineRule="auto"/>
        <w:jc w:val="both"/>
        <w:rPr>
          <w:rFonts w:ascii="&amp;quot" w:eastAsia="Times New Roman" w:hAnsi="&amp;quot" w:cs="Times New Roman"/>
          <w:color w:val="201F1E"/>
        </w:rPr>
      </w:pPr>
      <w:r w:rsidRPr="009329D3">
        <w:rPr>
          <w:rFonts w:ascii="&amp;quot" w:eastAsia="Times New Roman" w:hAnsi="&amp;quot" w:cs="Times New Roman"/>
          <w:color w:val="201F1E"/>
        </w:rPr>
        <w:t>We have been operating at a capacity of no more than 10% in our Offices.</w:t>
      </w:r>
      <w:r>
        <w:rPr>
          <w:rFonts w:ascii="&amp;quot" w:eastAsia="Times New Roman" w:hAnsi="&amp;quot" w:cs="Times New Roman"/>
          <w:color w:val="201F1E"/>
        </w:rPr>
        <w:t xml:space="preserve"> </w:t>
      </w:r>
      <w:r w:rsidRPr="009329D3">
        <w:rPr>
          <w:rFonts w:ascii="&amp;quot" w:eastAsia="Times New Roman" w:hAnsi="&amp;quot" w:cs="Times New Roman"/>
          <w:color w:val="201F1E"/>
        </w:rPr>
        <w:t xml:space="preserve"> By 7/1/21, our goal is to gradually increase the allowable capacity of staff in our Regional/Central Offices to </w:t>
      </w:r>
      <w:r w:rsidRPr="009329D3">
        <w:rPr>
          <w:rFonts w:ascii="&amp;quot" w:eastAsia="Times New Roman" w:hAnsi="&amp;quot" w:cs="Times New Roman"/>
          <w:b/>
          <w:bCs/>
          <w:color w:val="201F1E"/>
        </w:rPr>
        <w:t>up to and no more than 50%</w:t>
      </w:r>
      <w:r w:rsidRPr="009329D3">
        <w:rPr>
          <w:rFonts w:ascii="&amp;quot" w:eastAsia="Times New Roman" w:hAnsi="&amp;quot" w:cs="Times New Roman"/>
          <w:color w:val="201F1E"/>
        </w:rPr>
        <w:t xml:space="preserve">. </w:t>
      </w:r>
    </w:p>
    <w:p w14:paraId="2C49D6D3" w14:textId="77777777" w:rsidR="009329D3" w:rsidRPr="009329D3" w:rsidRDefault="009329D3" w:rsidP="009329D3">
      <w:pPr>
        <w:spacing w:after="0" w:line="240" w:lineRule="auto"/>
        <w:jc w:val="both"/>
        <w:rPr>
          <w:rFonts w:ascii="&amp;quot" w:eastAsia="Times New Roman" w:hAnsi="&amp;quot" w:cs="Times New Roman"/>
          <w:color w:val="201F1E"/>
        </w:rPr>
      </w:pPr>
    </w:p>
    <w:p w14:paraId="7B215A11" w14:textId="5F7CF29B" w:rsidR="009329D3" w:rsidRDefault="009329D3" w:rsidP="009329D3">
      <w:pPr>
        <w:spacing w:after="0" w:line="240" w:lineRule="auto"/>
        <w:jc w:val="both"/>
        <w:rPr>
          <w:rFonts w:ascii="&amp;quot" w:eastAsia="Times New Roman" w:hAnsi="&amp;quot" w:cs="Times New Roman"/>
          <w:color w:val="201F1E"/>
        </w:rPr>
      </w:pPr>
      <w:proofErr w:type="gramStart"/>
      <w:r w:rsidRPr="009329D3">
        <w:rPr>
          <w:rFonts w:ascii="&amp;quot" w:eastAsia="Times New Roman" w:hAnsi="&amp;quot" w:cs="Times New Roman"/>
          <w:color w:val="201F1E"/>
        </w:rPr>
        <w:t>In order to</w:t>
      </w:r>
      <w:proofErr w:type="gramEnd"/>
      <w:r w:rsidRPr="009329D3">
        <w:rPr>
          <w:rFonts w:ascii="&amp;quot" w:eastAsia="Times New Roman" w:hAnsi="&amp;quot" w:cs="Times New Roman"/>
          <w:color w:val="201F1E"/>
        </w:rPr>
        <w:t xml:space="preserve"> achieve this goal, we are establishing the following timeframes: </w:t>
      </w:r>
    </w:p>
    <w:p w14:paraId="57741B98" w14:textId="77777777" w:rsidR="009329D3" w:rsidRPr="009329D3" w:rsidRDefault="009329D3" w:rsidP="009329D3">
      <w:pPr>
        <w:spacing w:after="0" w:line="240" w:lineRule="auto"/>
        <w:rPr>
          <w:rFonts w:ascii="&amp;quot" w:eastAsia="Times New Roman" w:hAnsi="&amp;quot" w:cs="Times New Roman"/>
          <w:color w:val="201F1E"/>
        </w:rPr>
      </w:pPr>
    </w:p>
    <w:p w14:paraId="49892E0C" w14:textId="06ADB3F1" w:rsidR="009329D3" w:rsidRPr="009329D3" w:rsidRDefault="009329D3" w:rsidP="009329D3">
      <w:pPr>
        <w:pStyle w:val="ListParagraph"/>
        <w:numPr>
          <w:ilvl w:val="0"/>
          <w:numId w:val="6"/>
        </w:numPr>
        <w:spacing w:after="0" w:line="240" w:lineRule="auto"/>
        <w:ind w:left="1260"/>
        <w:rPr>
          <w:rFonts w:ascii="&amp;quot" w:eastAsia="Times New Roman" w:hAnsi="&amp;quot" w:cs="Times New Roman"/>
          <w:color w:val="201F1E"/>
        </w:rPr>
      </w:pPr>
      <w:r w:rsidRPr="009329D3">
        <w:rPr>
          <w:rFonts w:ascii="&amp;quot" w:eastAsia="Times New Roman" w:hAnsi="&amp;quot" w:cs="Times New Roman"/>
          <w:color w:val="201F1E"/>
        </w:rPr>
        <w:t>Up to and no more than 30% of staff by the end of April</w:t>
      </w:r>
    </w:p>
    <w:p w14:paraId="2EB8541C" w14:textId="0E4D5AFE" w:rsidR="009329D3" w:rsidRPr="009329D3" w:rsidRDefault="009329D3" w:rsidP="009329D3">
      <w:pPr>
        <w:pStyle w:val="ListParagraph"/>
        <w:numPr>
          <w:ilvl w:val="0"/>
          <w:numId w:val="6"/>
        </w:numPr>
        <w:spacing w:after="0" w:line="240" w:lineRule="auto"/>
        <w:ind w:left="1260"/>
        <w:rPr>
          <w:rFonts w:ascii="&amp;quot" w:eastAsia="Times New Roman" w:hAnsi="&amp;quot" w:cs="Times New Roman"/>
          <w:color w:val="201F1E"/>
        </w:rPr>
      </w:pPr>
      <w:r w:rsidRPr="009329D3">
        <w:rPr>
          <w:rFonts w:ascii="&amp;quot" w:eastAsia="Times New Roman" w:hAnsi="&amp;quot" w:cs="Times New Roman"/>
          <w:color w:val="201F1E"/>
        </w:rPr>
        <w:t>Up to</w:t>
      </w:r>
      <w:r w:rsidRPr="009329D3">
        <w:rPr>
          <w:rFonts w:ascii="inherit" w:eastAsia="Times New Roman" w:hAnsi="inherit" w:cs="Times New Roman"/>
          <w:color w:val="FF0000"/>
          <w:bdr w:val="none" w:sz="0" w:space="0" w:color="auto" w:frame="1"/>
        </w:rPr>
        <w:t xml:space="preserve"> </w:t>
      </w:r>
      <w:r w:rsidRPr="009329D3">
        <w:rPr>
          <w:rFonts w:ascii="&amp;quot" w:eastAsia="Times New Roman" w:hAnsi="&amp;quot" w:cs="Times New Roman"/>
          <w:color w:val="201F1E"/>
        </w:rPr>
        <w:t>and no more than 40% of staff by the end of May</w:t>
      </w:r>
    </w:p>
    <w:p w14:paraId="707F702A" w14:textId="69380406" w:rsidR="009329D3" w:rsidRPr="009329D3" w:rsidRDefault="009329D3" w:rsidP="009329D3">
      <w:pPr>
        <w:pStyle w:val="ListParagraph"/>
        <w:numPr>
          <w:ilvl w:val="0"/>
          <w:numId w:val="6"/>
        </w:numPr>
        <w:spacing w:after="0" w:line="240" w:lineRule="auto"/>
        <w:ind w:left="1260"/>
        <w:rPr>
          <w:rFonts w:ascii="&amp;quot" w:eastAsia="Times New Roman" w:hAnsi="&amp;quot" w:cs="Times New Roman"/>
          <w:color w:val="201F1E"/>
        </w:rPr>
      </w:pPr>
      <w:r w:rsidRPr="009329D3">
        <w:rPr>
          <w:rFonts w:ascii="&amp;quot" w:eastAsia="Times New Roman" w:hAnsi="&amp;quot" w:cs="Times New Roman"/>
          <w:color w:val="201F1E"/>
        </w:rPr>
        <w:t>Up to</w:t>
      </w:r>
      <w:r w:rsidRPr="009329D3">
        <w:rPr>
          <w:rFonts w:ascii="inherit" w:eastAsia="Times New Roman" w:hAnsi="inherit" w:cs="Times New Roman"/>
          <w:color w:val="FF0000"/>
          <w:bdr w:val="none" w:sz="0" w:space="0" w:color="auto" w:frame="1"/>
        </w:rPr>
        <w:t xml:space="preserve"> </w:t>
      </w:r>
      <w:r w:rsidRPr="009329D3">
        <w:rPr>
          <w:rFonts w:ascii="&amp;quot" w:eastAsia="Times New Roman" w:hAnsi="&amp;quot" w:cs="Times New Roman"/>
          <w:color w:val="201F1E"/>
        </w:rPr>
        <w:t>and no more than 50% of staff by the end of June</w:t>
      </w:r>
    </w:p>
    <w:p w14:paraId="294E19DC" w14:textId="77777777" w:rsidR="009329D3" w:rsidRDefault="009329D3" w:rsidP="009329D3">
      <w:pPr>
        <w:spacing w:after="0" w:line="240" w:lineRule="auto"/>
        <w:rPr>
          <w:rFonts w:ascii="&amp;quot" w:eastAsia="Times New Roman" w:hAnsi="&amp;quot" w:cs="Times New Roman"/>
          <w:color w:val="201F1E"/>
        </w:rPr>
      </w:pPr>
    </w:p>
    <w:p w14:paraId="63FEEBB9" w14:textId="48FBB5BD" w:rsidR="009329D3" w:rsidRDefault="009329D3" w:rsidP="009329D3">
      <w:pPr>
        <w:spacing w:after="0" w:line="240" w:lineRule="auto"/>
        <w:jc w:val="both"/>
        <w:rPr>
          <w:rFonts w:ascii="&amp;quot" w:eastAsia="Times New Roman" w:hAnsi="&amp;quot" w:cs="Times New Roman"/>
          <w:color w:val="201F1E"/>
        </w:rPr>
      </w:pPr>
      <w:r w:rsidRPr="009329D3">
        <w:rPr>
          <w:rFonts w:ascii="&amp;quot" w:eastAsia="Times New Roman" w:hAnsi="&amp;quot" w:cs="Times New Roman"/>
          <w:color w:val="201F1E"/>
        </w:rPr>
        <w:t>Again, the goal here is to control for the number of employees physically in an office at any given time while not exceeding 50% of capacity.</w:t>
      </w:r>
    </w:p>
    <w:p w14:paraId="7B780207" w14:textId="77777777" w:rsidR="009329D3" w:rsidRPr="009329D3" w:rsidRDefault="009329D3" w:rsidP="009329D3">
      <w:pPr>
        <w:spacing w:after="0" w:line="240" w:lineRule="auto"/>
        <w:jc w:val="both"/>
        <w:rPr>
          <w:rFonts w:ascii="&amp;quot" w:eastAsia="Times New Roman" w:hAnsi="&amp;quot" w:cs="Times New Roman"/>
          <w:color w:val="201F1E"/>
        </w:rPr>
      </w:pPr>
    </w:p>
    <w:p w14:paraId="45A60AC6" w14:textId="77777777" w:rsidR="009329D3" w:rsidRPr="009329D3" w:rsidRDefault="009329D3" w:rsidP="009329D3">
      <w:pPr>
        <w:spacing w:after="0" w:line="240" w:lineRule="auto"/>
        <w:jc w:val="both"/>
        <w:rPr>
          <w:rFonts w:ascii="&amp;quot" w:eastAsia="Times New Roman" w:hAnsi="&amp;quot" w:cs="Times New Roman"/>
          <w:color w:val="201F1E"/>
        </w:rPr>
      </w:pPr>
      <w:r w:rsidRPr="009329D3">
        <w:rPr>
          <w:rFonts w:ascii="&amp;quot" w:eastAsia="Times New Roman" w:hAnsi="&amp;quot" w:cs="Times New Roman"/>
          <w:color w:val="201F1E"/>
        </w:rPr>
        <w:t xml:space="preserve">Please understand these expectations may change according to our authorizing agents and virus transmission rates. Connecticut remains a leader in the country. We will continue to be vigilant in our planning and actions. </w:t>
      </w:r>
    </w:p>
    <w:p w14:paraId="0DF81D5B" w14:textId="77777777" w:rsidR="009329D3" w:rsidRPr="009329D3" w:rsidRDefault="009329D3" w:rsidP="009329D3">
      <w:pPr>
        <w:spacing w:after="0" w:line="240" w:lineRule="auto"/>
        <w:jc w:val="both"/>
        <w:rPr>
          <w:rFonts w:ascii="&amp;quot" w:eastAsia="Times New Roman" w:hAnsi="&amp;quot" w:cs="Times New Roman"/>
          <w:color w:val="201F1E"/>
        </w:rPr>
      </w:pPr>
      <w:r w:rsidRPr="009329D3">
        <w:rPr>
          <w:rFonts w:ascii="&amp;quot" w:eastAsia="Times New Roman" w:hAnsi="&amp;quot" w:cs="Times New Roman"/>
          <w:color w:val="201F1E"/>
        </w:rPr>
        <w:t xml:space="preserve">Thank you for all you have done during these very difficult times.  </w:t>
      </w:r>
    </w:p>
    <w:p w14:paraId="2339A9E8" w14:textId="77777777" w:rsidR="00ED4359" w:rsidRDefault="00ED4359" w:rsidP="009329D3">
      <w:pPr>
        <w:jc w:val="both"/>
      </w:pPr>
    </w:p>
    <w:sectPr w:rsidR="00ED4359" w:rsidSect="009329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142E7"/>
    <w:multiLevelType w:val="hybridMultilevel"/>
    <w:tmpl w:val="CF240F6C"/>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23D17"/>
    <w:multiLevelType w:val="hybridMultilevel"/>
    <w:tmpl w:val="B3FAEB34"/>
    <w:lvl w:ilvl="0" w:tplc="67BC043C">
      <w:numFmt w:val="bullet"/>
      <w:lvlText w:val="·"/>
      <w:lvlJc w:val="left"/>
      <w:pPr>
        <w:ind w:left="720" w:hanging="360"/>
      </w:pPr>
      <w:rPr>
        <w:rFonts w:ascii="inherit" w:eastAsia="Times New Roman" w:hAnsi="inherit"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11E62"/>
    <w:multiLevelType w:val="hybridMultilevel"/>
    <w:tmpl w:val="8652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25569"/>
    <w:multiLevelType w:val="hybridMultilevel"/>
    <w:tmpl w:val="4150F80E"/>
    <w:lvl w:ilvl="0" w:tplc="04090001">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C454E"/>
    <w:multiLevelType w:val="hybridMultilevel"/>
    <w:tmpl w:val="E77629DE"/>
    <w:lvl w:ilvl="0" w:tplc="67BC043C">
      <w:numFmt w:val="bullet"/>
      <w:lvlText w:val="·"/>
      <w:lvlJc w:val="left"/>
      <w:pPr>
        <w:ind w:left="720" w:hanging="360"/>
      </w:pPr>
      <w:rPr>
        <w:rFonts w:ascii="inherit" w:eastAsia="Times New Roman" w:hAnsi="inherit"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913980"/>
    <w:multiLevelType w:val="hybridMultilevel"/>
    <w:tmpl w:val="3D34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9D3"/>
    <w:rsid w:val="009329D3"/>
    <w:rsid w:val="00ED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9E7C"/>
  <w15:chartTrackingRefBased/>
  <w15:docId w15:val="{B5264736-605D-43F0-A32C-E67413D6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329D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32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34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1</cp:revision>
  <dcterms:created xsi:type="dcterms:W3CDTF">2021-04-26T12:26:00Z</dcterms:created>
  <dcterms:modified xsi:type="dcterms:W3CDTF">2021-04-26T12:31:00Z</dcterms:modified>
</cp:coreProperties>
</file>