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780"/>
      </w:tblGrid>
      <w:tr w:rsidR="004B02B9" w14:paraId="45398355" w14:textId="77777777" w:rsidTr="004B02B9">
        <w:trPr>
          <w:trHeight w:val="1240"/>
          <w:jc w:val="center"/>
        </w:trPr>
        <w:tc>
          <w:tcPr>
            <w:tcW w:w="1078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1851DA54" w14:textId="14860404" w:rsidR="004B02B9" w:rsidRPr="004B02B9" w:rsidRDefault="004B02B9">
            <w:pPr>
              <w:pStyle w:val="xmsonormal"/>
              <w:spacing w:line="252" w:lineRule="auto"/>
              <w:jc w:val="center"/>
              <w:rPr>
                <w:sz w:val="8"/>
                <w:szCs w:val="8"/>
              </w:rPr>
            </w:pPr>
            <w:bookmarkStart w:id="0" w:name="x_x_x__Hlk37668588"/>
            <w:bookmarkStart w:id="1" w:name="_GoBack"/>
            <w:bookmarkEnd w:id="0"/>
            <w:bookmarkEnd w:id="1"/>
          </w:p>
          <w:p w14:paraId="173194A5" w14:textId="3916BACE" w:rsidR="004B02B9" w:rsidRDefault="004B02B9">
            <w:pPr>
              <w:pStyle w:val="xmsonormal"/>
              <w:spacing w:line="252" w:lineRule="auto"/>
              <w:jc w:val="center"/>
            </w:pPr>
            <w:r>
              <w:rPr>
                <w:noProof/>
              </w:rPr>
              <w:drawing>
                <wp:inline distT="0" distB="0" distL="0" distR="0" wp14:anchorId="1BBA275E" wp14:editId="584C1E0D">
                  <wp:extent cx="914400" cy="633461"/>
                  <wp:effectExtent l="0" t="0" r="0" b="0"/>
                  <wp:docPr id="2" name="Picture 2"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70" descr="9BCFE5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8538" cy="636328"/>
                          </a:xfrm>
                          <a:prstGeom prst="rect">
                            <a:avLst/>
                          </a:prstGeom>
                          <a:noFill/>
                          <a:ln>
                            <a:noFill/>
                          </a:ln>
                        </pic:spPr>
                      </pic:pic>
                    </a:graphicData>
                  </a:graphic>
                </wp:inline>
              </w:drawing>
            </w:r>
          </w:p>
          <w:p w14:paraId="64204665" w14:textId="5B95CA73" w:rsidR="004B02B9" w:rsidRPr="004B02B9" w:rsidRDefault="004B02B9">
            <w:pPr>
              <w:pStyle w:val="xmsonormal"/>
              <w:spacing w:line="252" w:lineRule="auto"/>
              <w:jc w:val="center"/>
              <w:rPr>
                <w:sz w:val="24"/>
                <w:szCs w:val="24"/>
              </w:rPr>
            </w:pPr>
            <w:r w:rsidRPr="004B02B9">
              <w:rPr>
                <w:rStyle w:val="xnormaltextrun"/>
                <w:b/>
                <w:bCs/>
                <w:sz w:val="24"/>
                <w:szCs w:val="24"/>
              </w:rPr>
              <w:t>Lt. Governor </w:t>
            </w:r>
            <w:r w:rsidRPr="004B02B9">
              <w:rPr>
                <w:rStyle w:val="xspellingerror"/>
                <w:b/>
                <w:bCs/>
                <w:sz w:val="24"/>
                <w:szCs w:val="24"/>
              </w:rPr>
              <w:t>Bysiewicz</w:t>
            </w:r>
            <w:r w:rsidRPr="004B02B9">
              <w:rPr>
                <w:rStyle w:val="xnormaltextrun"/>
                <w:b/>
                <w:bCs/>
                <w:sz w:val="24"/>
                <w:szCs w:val="24"/>
              </w:rPr>
              <w:t> encourages remaining households to complete the 2020 U.S. Census</w:t>
            </w:r>
          </w:p>
        </w:tc>
      </w:tr>
      <w:tr w:rsidR="004B02B9" w14:paraId="4C128377" w14:textId="77777777" w:rsidTr="004B02B9">
        <w:trPr>
          <w:trHeight w:val="57"/>
          <w:jc w:val="center"/>
        </w:trPr>
        <w:tc>
          <w:tcPr>
            <w:tcW w:w="1078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A702A45" w14:textId="77777777" w:rsidR="004B02B9" w:rsidRPr="004B02B9" w:rsidRDefault="004B02B9">
            <w:pPr>
              <w:pStyle w:val="xmsonormal"/>
              <w:spacing w:line="252" w:lineRule="auto"/>
              <w:jc w:val="center"/>
              <w:rPr>
                <w:sz w:val="24"/>
                <w:szCs w:val="24"/>
              </w:rPr>
            </w:pPr>
            <w:r w:rsidRPr="004B02B9">
              <w:rPr>
                <w:b/>
                <w:bCs/>
                <w:color w:val="000000"/>
                <w:sz w:val="24"/>
                <w:szCs w:val="24"/>
                <w:bdr w:val="none" w:sz="0" w:space="0" w:color="auto" w:frame="1"/>
              </w:rPr>
              <w:t>September 3, 2020</w:t>
            </w:r>
          </w:p>
        </w:tc>
      </w:tr>
      <w:tr w:rsidR="004B02B9" w14:paraId="0E74D72A" w14:textId="77777777" w:rsidTr="004B02B9">
        <w:trPr>
          <w:trHeight w:val="5884"/>
          <w:jc w:val="center"/>
        </w:trPr>
        <w:tc>
          <w:tcPr>
            <w:tcW w:w="107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4A435E" w14:textId="031BDA8A" w:rsidR="004B02B9" w:rsidRPr="004B02B9" w:rsidRDefault="004B02B9">
            <w:pPr>
              <w:pStyle w:val="NoSpacing"/>
              <w:jc w:val="both"/>
              <w:rPr>
                <w:rStyle w:val="normaltextrun"/>
                <w:color w:val="000000"/>
                <w:sz w:val="20"/>
                <w:szCs w:val="20"/>
              </w:rPr>
            </w:pPr>
            <w:r w:rsidRPr="004B02B9">
              <w:rPr>
                <w:noProof/>
                <w:sz w:val="20"/>
                <w:szCs w:val="20"/>
              </w:rPr>
              <w:drawing>
                <wp:anchor distT="0" distB="0" distL="114300" distR="114300" simplePos="0" relativeHeight="251659264" behindDoc="1" locked="0" layoutInCell="1" allowOverlap="1" wp14:anchorId="51052643" wp14:editId="5FB3951B">
                  <wp:simplePos x="0" y="0"/>
                  <wp:positionH relativeFrom="column">
                    <wp:posOffset>5758180</wp:posOffset>
                  </wp:positionH>
                  <wp:positionV relativeFrom="paragraph">
                    <wp:posOffset>8890</wp:posOffset>
                  </wp:positionV>
                  <wp:extent cx="1013460" cy="1013460"/>
                  <wp:effectExtent l="0" t="0" r="0" b="0"/>
                  <wp:wrapTight wrapText="bothSides">
                    <wp:wrapPolygon edited="0">
                      <wp:start x="0" y="0"/>
                      <wp:lineTo x="0" y="21113"/>
                      <wp:lineTo x="21113" y="21113"/>
                      <wp:lineTo x="21113" y="0"/>
                      <wp:lineTo x="0" y="0"/>
                    </wp:wrapPolygon>
                  </wp:wrapTight>
                  <wp:docPr id="4" name="Picture 4" descr="Connecticut Lt. Governor Susan Bysiewi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icut Lt. Governor Susan Bysiewic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pic:spPr>
                      </pic:pic>
                    </a:graphicData>
                  </a:graphic>
                  <wp14:sizeRelH relativeFrom="margin">
                    <wp14:pctWidth>0</wp14:pctWidth>
                  </wp14:sizeRelH>
                  <wp14:sizeRelV relativeFrom="margin">
                    <wp14:pctHeight>0</wp14:pctHeight>
                  </wp14:sizeRelV>
                </wp:anchor>
              </w:drawing>
            </w:r>
          </w:p>
          <w:p w14:paraId="250776DE" w14:textId="217791AA" w:rsidR="004B02B9" w:rsidRPr="004B02B9" w:rsidRDefault="004B02B9">
            <w:pPr>
              <w:pStyle w:val="NoSpacing"/>
              <w:jc w:val="both"/>
              <w:rPr>
                <w:rStyle w:val="normaltextrun"/>
                <w:sz w:val="20"/>
                <w:szCs w:val="20"/>
              </w:rPr>
            </w:pPr>
            <w:r w:rsidRPr="004B02B9">
              <w:rPr>
                <w:rStyle w:val="normaltextrun"/>
                <w:sz w:val="20"/>
                <w:szCs w:val="20"/>
              </w:rPr>
              <w:t>Less than a month remains for households to respond to the 2020 U.S. Census.</w:t>
            </w:r>
            <w:r w:rsidRPr="004B02B9">
              <w:rPr>
                <w:sz w:val="20"/>
                <w:szCs w:val="20"/>
              </w:rPr>
              <w:t xml:space="preserve"> </w:t>
            </w:r>
          </w:p>
          <w:p w14:paraId="2A67F718" w14:textId="5C893774" w:rsidR="004B02B9" w:rsidRPr="004B02B9" w:rsidRDefault="004B02B9">
            <w:pPr>
              <w:pStyle w:val="NoSpacing"/>
              <w:jc w:val="both"/>
              <w:rPr>
                <w:rStyle w:val="normaltextrun"/>
                <w:sz w:val="20"/>
                <w:szCs w:val="20"/>
              </w:rPr>
            </w:pPr>
          </w:p>
          <w:p w14:paraId="717F2264" w14:textId="0ABE5C44" w:rsidR="004B02B9" w:rsidRPr="004B02B9" w:rsidRDefault="004B02B9">
            <w:pPr>
              <w:pStyle w:val="NoSpacing"/>
              <w:jc w:val="both"/>
              <w:rPr>
                <w:rStyle w:val="eop"/>
                <w:sz w:val="20"/>
                <w:szCs w:val="20"/>
              </w:rPr>
            </w:pPr>
            <w:r w:rsidRPr="004B02B9">
              <w:rPr>
                <w:rStyle w:val="normaltextrun"/>
                <w:sz w:val="20"/>
                <w:szCs w:val="20"/>
              </w:rPr>
              <w:t>Lt. Governor Susan </w:t>
            </w:r>
            <w:r w:rsidRPr="004B02B9">
              <w:rPr>
                <w:rStyle w:val="spellingerror"/>
                <w:sz w:val="20"/>
                <w:szCs w:val="20"/>
              </w:rPr>
              <w:t>Bysiewicz</w:t>
            </w:r>
            <w:r w:rsidRPr="004B02B9">
              <w:rPr>
                <w:rStyle w:val="normaltextrun"/>
                <w:sz w:val="20"/>
                <w:szCs w:val="20"/>
              </w:rPr>
              <w:t> announced that </w:t>
            </w:r>
            <w:hyperlink r:id="rId6" w:tgtFrame="_blank" w:history="1">
              <w:r w:rsidRPr="004B02B9">
                <w:rPr>
                  <w:rStyle w:val="normaltextrun"/>
                  <w:color w:val="4471C4"/>
                  <w:sz w:val="20"/>
                  <w:szCs w:val="20"/>
                  <w:u w:val="single"/>
                </w:rPr>
                <w:t>Connecticut’s total enumeration rate</w:t>
              </w:r>
            </w:hyperlink>
            <w:r w:rsidRPr="004B02B9">
              <w:rPr>
                <w:rStyle w:val="normaltextrun"/>
                <w:sz w:val="20"/>
                <w:szCs w:val="20"/>
              </w:rPr>
              <w:t> – the self-response rate plus those enumerated in nonresponse follow-up – is 91.2 percent, and encouraged the remaining nine percent of households to complete the decennial questionnaire.</w:t>
            </w:r>
            <w:r w:rsidRPr="004B02B9">
              <w:rPr>
                <w:rStyle w:val="eop"/>
                <w:sz w:val="20"/>
                <w:szCs w:val="20"/>
              </w:rPr>
              <w:t> </w:t>
            </w:r>
          </w:p>
          <w:p w14:paraId="35574BE4" w14:textId="53F86441" w:rsidR="004B02B9" w:rsidRPr="004B02B9" w:rsidRDefault="004B02B9">
            <w:pPr>
              <w:pStyle w:val="NoSpacing"/>
              <w:jc w:val="both"/>
              <w:rPr>
                <w:sz w:val="20"/>
                <w:szCs w:val="20"/>
              </w:rPr>
            </w:pPr>
            <w:r w:rsidRPr="004B02B9">
              <w:rPr>
                <w:noProof/>
                <w:sz w:val="20"/>
                <w:szCs w:val="20"/>
              </w:rPr>
              <w:drawing>
                <wp:anchor distT="0" distB="0" distL="114300" distR="114300" simplePos="0" relativeHeight="251660288" behindDoc="1" locked="0" layoutInCell="1" allowOverlap="1" wp14:anchorId="44CEB140" wp14:editId="32D3843D">
                  <wp:simplePos x="0" y="0"/>
                  <wp:positionH relativeFrom="column">
                    <wp:posOffset>-914400</wp:posOffset>
                  </wp:positionH>
                  <wp:positionV relativeFrom="paragraph">
                    <wp:posOffset>153035</wp:posOffset>
                  </wp:positionV>
                  <wp:extent cx="814705" cy="1029970"/>
                  <wp:effectExtent l="0" t="0" r="4445" b="0"/>
                  <wp:wrapTight wrapText="bothSides">
                    <wp:wrapPolygon edited="0">
                      <wp:start x="0" y="0"/>
                      <wp:lineTo x="0" y="21174"/>
                      <wp:lineTo x="21213" y="21174"/>
                      <wp:lineTo x="21213" y="0"/>
                      <wp:lineTo x="0" y="0"/>
                    </wp:wrapPolygon>
                  </wp:wrapTight>
                  <wp:docPr id="3" name="Picture 3" descr="8DFC2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DFC24C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4705" cy="1029970"/>
                          </a:xfrm>
                          <a:prstGeom prst="rect">
                            <a:avLst/>
                          </a:prstGeom>
                          <a:noFill/>
                        </pic:spPr>
                      </pic:pic>
                    </a:graphicData>
                  </a:graphic>
                  <wp14:sizeRelH relativeFrom="margin">
                    <wp14:pctWidth>0</wp14:pctWidth>
                  </wp14:sizeRelH>
                  <wp14:sizeRelV relativeFrom="margin">
                    <wp14:pctHeight>0</wp14:pctHeight>
                  </wp14:sizeRelV>
                </wp:anchor>
              </w:drawing>
            </w:r>
          </w:p>
          <w:p w14:paraId="71074384" w14:textId="6174AC07" w:rsidR="004B02B9" w:rsidRPr="004B02B9" w:rsidRDefault="004B02B9">
            <w:pPr>
              <w:pStyle w:val="NoSpacing"/>
              <w:jc w:val="both"/>
              <w:rPr>
                <w:sz w:val="20"/>
                <w:szCs w:val="20"/>
              </w:rPr>
            </w:pPr>
            <w:r w:rsidRPr="004B02B9">
              <w:rPr>
                <w:rStyle w:val="normaltextrun"/>
                <w:sz w:val="20"/>
                <w:szCs w:val="20"/>
              </w:rPr>
              <w:t>“</w:t>
            </w:r>
            <w:r w:rsidRPr="004B02B9">
              <w:rPr>
                <w:rStyle w:val="normaltextrun"/>
                <w:i/>
                <w:iCs/>
                <w:sz w:val="20"/>
                <w:szCs w:val="20"/>
              </w:rPr>
              <w:t>Over the past year-and-a-half, I have crisscrossed the state to encourage households to respond to the 2020 U.S. Census. Despite continued efforts to discourage communities of color – particularly our immigrant population – from responding to the Census, Connecticut is one of the best counted states in the country. With less than a month to respond to the decennial count and nine percent of Connecticut households still uncounted, we need to double down on efforts to make sure we achieve a complete count. This is about receiving critical federal funding for programs households rely on every day for basic needs: food, healthcare, childcare and so much more,”</w:t>
            </w:r>
            <w:r w:rsidRPr="004B02B9">
              <w:rPr>
                <w:rStyle w:val="normaltextrun"/>
                <w:b/>
                <w:bCs/>
                <w:sz w:val="20"/>
                <w:szCs w:val="20"/>
              </w:rPr>
              <w:t> said Lt. Governor </w:t>
            </w:r>
            <w:r w:rsidRPr="004B02B9">
              <w:rPr>
                <w:rStyle w:val="spellingerror"/>
                <w:b/>
                <w:bCs/>
                <w:sz w:val="20"/>
                <w:szCs w:val="20"/>
              </w:rPr>
              <w:t>Bysiewicz</w:t>
            </w:r>
            <w:r w:rsidRPr="004B02B9">
              <w:rPr>
                <w:rStyle w:val="normaltextrun"/>
                <w:b/>
                <w:bCs/>
                <w:sz w:val="20"/>
                <w:szCs w:val="20"/>
              </w:rPr>
              <w:t>.</w:t>
            </w:r>
            <w:r w:rsidRPr="004B02B9">
              <w:rPr>
                <w:rStyle w:val="eop"/>
                <w:sz w:val="20"/>
                <w:szCs w:val="20"/>
              </w:rPr>
              <w:t> </w:t>
            </w:r>
          </w:p>
          <w:p w14:paraId="3EB6090D" w14:textId="77777777" w:rsidR="004B02B9" w:rsidRPr="004B02B9" w:rsidRDefault="004B02B9">
            <w:pPr>
              <w:pStyle w:val="NoSpacing"/>
              <w:jc w:val="both"/>
              <w:rPr>
                <w:sz w:val="20"/>
                <w:szCs w:val="20"/>
              </w:rPr>
            </w:pPr>
          </w:p>
          <w:p w14:paraId="6886195A" w14:textId="77777777" w:rsidR="004B02B9" w:rsidRPr="004B02B9" w:rsidRDefault="004B02B9">
            <w:pPr>
              <w:pStyle w:val="NoSpacing"/>
              <w:jc w:val="both"/>
              <w:rPr>
                <w:rStyle w:val="eop"/>
                <w:sz w:val="20"/>
                <w:szCs w:val="20"/>
              </w:rPr>
            </w:pPr>
            <w:r w:rsidRPr="004B02B9">
              <w:rPr>
                <w:rStyle w:val="normaltextrun"/>
                <w:sz w:val="20"/>
                <w:szCs w:val="20"/>
              </w:rPr>
              <w:t>Connecticut’s </w:t>
            </w:r>
            <w:hyperlink r:id="rId8" w:tgtFrame="_blank" w:history="1">
              <w:r w:rsidRPr="004B02B9">
                <w:rPr>
                  <w:rStyle w:val="normaltextrun"/>
                  <w:color w:val="4471C4"/>
                  <w:sz w:val="20"/>
                  <w:szCs w:val="20"/>
                  <w:u w:val="single"/>
                </w:rPr>
                <w:t>self-response rate</w:t>
              </w:r>
            </w:hyperlink>
            <w:r w:rsidRPr="004B02B9">
              <w:rPr>
                <w:rStyle w:val="normaltextrun"/>
                <w:sz w:val="20"/>
                <w:szCs w:val="20"/>
              </w:rPr>
              <w:t> – 69.2 percent – exceeds the national response rate of 65 percent.</w:t>
            </w:r>
            <w:r w:rsidRPr="004B02B9">
              <w:rPr>
                <w:rStyle w:val="eop"/>
                <w:sz w:val="20"/>
                <w:szCs w:val="20"/>
              </w:rPr>
              <w:t> </w:t>
            </w:r>
          </w:p>
          <w:p w14:paraId="7B878588" w14:textId="77777777" w:rsidR="004B02B9" w:rsidRPr="004B02B9" w:rsidRDefault="004B02B9">
            <w:pPr>
              <w:pStyle w:val="NoSpacing"/>
              <w:jc w:val="both"/>
              <w:rPr>
                <w:rStyle w:val="eop"/>
                <w:sz w:val="20"/>
                <w:szCs w:val="20"/>
              </w:rPr>
            </w:pPr>
          </w:p>
          <w:p w14:paraId="191AAB91" w14:textId="77777777" w:rsidR="004B02B9" w:rsidRPr="004B02B9" w:rsidRDefault="004B02B9">
            <w:pPr>
              <w:pStyle w:val="NoSpacing"/>
              <w:jc w:val="both"/>
              <w:rPr>
                <w:sz w:val="20"/>
                <w:szCs w:val="20"/>
              </w:rPr>
            </w:pPr>
            <w:r w:rsidRPr="004B02B9">
              <w:rPr>
                <w:rStyle w:val="normaltextrun"/>
                <w:sz w:val="20"/>
                <w:szCs w:val="20"/>
              </w:rPr>
              <w:t>In August, the U.S. Census Bureau announced it would end all counting efforts for the 2020 U.S. Census on Sept. 30 – a month earlier than the previous Oct. 31 deadline. This includes critical door-knocking, collecting responses online, over the phone and by mail.</w:t>
            </w:r>
            <w:r w:rsidRPr="004B02B9">
              <w:rPr>
                <w:rStyle w:val="eop"/>
                <w:sz w:val="20"/>
                <w:szCs w:val="20"/>
              </w:rPr>
              <w:t> </w:t>
            </w:r>
          </w:p>
          <w:p w14:paraId="2F34A894" w14:textId="77777777" w:rsidR="004B02B9" w:rsidRPr="004B02B9" w:rsidRDefault="004B02B9">
            <w:pPr>
              <w:pStyle w:val="NoSpacing"/>
              <w:jc w:val="both"/>
              <w:rPr>
                <w:sz w:val="20"/>
                <w:szCs w:val="20"/>
              </w:rPr>
            </w:pPr>
          </w:p>
          <w:p w14:paraId="1233F382" w14:textId="77777777" w:rsidR="004B02B9" w:rsidRPr="004B02B9" w:rsidRDefault="004B02B9">
            <w:pPr>
              <w:pStyle w:val="NoSpacing"/>
              <w:jc w:val="both"/>
              <w:rPr>
                <w:rStyle w:val="eop"/>
                <w:sz w:val="20"/>
                <w:szCs w:val="20"/>
              </w:rPr>
            </w:pPr>
            <w:r w:rsidRPr="004B02B9">
              <w:rPr>
                <w:rStyle w:val="normaltextrun"/>
                <w:sz w:val="20"/>
                <w:szCs w:val="20"/>
              </w:rPr>
              <w:t>Beginning in early September, the U.S. Census Bureau will begin re-sending paper questionnaires by mail to households in low-responding areas that have yet to respond to the 2020 U.S. Census.</w:t>
            </w:r>
            <w:r w:rsidRPr="004B02B9">
              <w:rPr>
                <w:rStyle w:val="eop"/>
                <w:sz w:val="20"/>
                <w:szCs w:val="20"/>
              </w:rPr>
              <w:t> </w:t>
            </w:r>
          </w:p>
          <w:p w14:paraId="6E118F7A" w14:textId="77777777" w:rsidR="004B02B9" w:rsidRPr="004B02B9" w:rsidRDefault="004B02B9">
            <w:pPr>
              <w:pStyle w:val="NoSpacing"/>
              <w:jc w:val="both"/>
              <w:rPr>
                <w:rStyle w:val="eop"/>
                <w:sz w:val="20"/>
                <w:szCs w:val="20"/>
              </w:rPr>
            </w:pPr>
          </w:p>
          <w:p w14:paraId="32BA1F93" w14:textId="7209BA52" w:rsidR="004B02B9" w:rsidRPr="004B02B9" w:rsidRDefault="004B02B9">
            <w:pPr>
              <w:jc w:val="both"/>
              <w:rPr>
                <w:sz w:val="20"/>
                <w:szCs w:val="20"/>
              </w:rPr>
            </w:pPr>
            <w:r w:rsidRPr="004B02B9">
              <w:rPr>
                <w:sz w:val="20"/>
                <w:szCs w:val="20"/>
              </w:rPr>
              <w:t xml:space="preserve">Commissioner Dorantes strongly urges all of our staff to respond for their own households and to make an effort to include this in their conversations with the families with whom we serve. </w:t>
            </w:r>
            <w:r w:rsidR="00844BF5">
              <w:rPr>
                <w:sz w:val="20"/>
                <w:szCs w:val="20"/>
              </w:rPr>
              <w:t xml:space="preserve"> </w:t>
            </w:r>
            <w:r w:rsidRPr="004B02B9">
              <w:rPr>
                <w:sz w:val="20"/>
                <w:szCs w:val="20"/>
              </w:rPr>
              <w:t xml:space="preserve">Given that census numbers drive federal resources to states so it's critical every citizen is counted. </w:t>
            </w:r>
          </w:p>
          <w:p w14:paraId="295A25BE" w14:textId="77777777" w:rsidR="004B02B9" w:rsidRPr="004B02B9" w:rsidRDefault="004B02B9">
            <w:pPr>
              <w:jc w:val="both"/>
              <w:rPr>
                <w:rFonts w:ascii="Times New Roman" w:eastAsia="Times New Roman" w:hAnsi="Times New Roman" w:cs="Times New Roman"/>
                <w:color w:val="000000"/>
                <w:sz w:val="20"/>
                <w:szCs w:val="20"/>
              </w:rPr>
            </w:pPr>
          </w:p>
          <w:p w14:paraId="0266AD9D" w14:textId="77777777" w:rsidR="004B02B9" w:rsidRPr="004B02B9" w:rsidRDefault="004B02B9">
            <w:pPr>
              <w:jc w:val="both"/>
              <w:rPr>
                <w:sz w:val="20"/>
                <w:szCs w:val="20"/>
              </w:rPr>
            </w:pPr>
            <w:r w:rsidRPr="004B02B9">
              <w:rPr>
                <w:sz w:val="20"/>
                <w:szCs w:val="20"/>
              </w:rPr>
              <w:t>The work of our agency is very much connected to resource allocation. Our racial justice efforts are an example of the need to have an accurate baseline accounting of who makes up the citizenry of our state.</w:t>
            </w:r>
          </w:p>
          <w:p w14:paraId="381F0D5E" w14:textId="77777777" w:rsidR="004B02B9" w:rsidRPr="004B02B9" w:rsidRDefault="004B02B9">
            <w:pPr>
              <w:jc w:val="both"/>
              <w:rPr>
                <w:rFonts w:ascii="Times New Roman" w:eastAsia="Times New Roman" w:hAnsi="Times New Roman" w:cs="Times New Roman"/>
                <w:color w:val="000000"/>
                <w:sz w:val="20"/>
                <w:szCs w:val="20"/>
              </w:rPr>
            </w:pPr>
          </w:p>
          <w:p w14:paraId="1A50A4DF" w14:textId="77777777" w:rsidR="004B02B9" w:rsidRPr="004B02B9" w:rsidRDefault="004B02B9">
            <w:pPr>
              <w:pStyle w:val="NoSpacing"/>
              <w:jc w:val="both"/>
              <w:rPr>
                <w:sz w:val="20"/>
                <w:szCs w:val="20"/>
              </w:rPr>
            </w:pPr>
            <w:r w:rsidRPr="004B02B9">
              <w:rPr>
                <w:rStyle w:val="normaltextrun"/>
                <w:sz w:val="20"/>
                <w:szCs w:val="20"/>
              </w:rPr>
              <w:t>Responses from the 2020 U.S. Census helps to determine nearly $11 billion in federal funding allocations to Connecticut including Medicaid, Medicare, Supplemental Nutrition Assistance Program (SNAP), community block grants, transportation and highway projects, energy assistance for seniors, and many other programs that families across the state rely on every day.</w:t>
            </w:r>
            <w:r w:rsidRPr="004B02B9">
              <w:rPr>
                <w:rStyle w:val="eop"/>
                <w:sz w:val="20"/>
                <w:szCs w:val="20"/>
              </w:rPr>
              <w:t> </w:t>
            </w:r>
          </w:p>
          <w:p w14:paraId="22D1C1B3" w14:textId="77777777" w:rsidR="004B02B9" w:rsidRPr="004B02B9" w:rsidRDefault="004B02B9">
            <w:pPr>
              <w:pStyle w:val="NoSpacing"/>
              <w:jc w:val="both"/>
              <w:rPr>
                <w:sz w:val="20"/>
                <w:szCs w:val="20"/>
              </w:rPr>
            </w:pPr>
          </w:p>
          <w:p w14:paraId="6400BCD4" w14:textId="77777777" w:rsidR="004B02B9" w:rsidRPr="004B02B9" w:rsidRDefault="004B02B9">
            <w:pPr>
              <w:pStyle w:val="NoSpacing"/>
              <w:jc w:val="both"/>
              <w:rPr>
                <w:sz w:val="20"/>
                <w:szCs w:val="20"/>
              </w:rPr>
            </w:pPr>
            <w:r w:rsidRPr="004B02B9">
              <w:rPr>
                <w:rStyle w:val="normaltextrun"/>
                <w:sz w:val="20"/>
                <w:szCs w:val="20"/>
              </w:rPr>
              <w:t>The Census counts every person living in the country </w:t>
            </w:r>
            <w:r w:rsidRPr="004B02B9">
              <w:rPr>
                <w:rStyle w:val="normaltextrun"/>
                <w:color w:val="212121"/>
                <w:sz w:val="20"/>
                <w:szCs w:val="20"/>
              </w:rPr>
              <w:t>–</w:t>
            </w:r>
            <w:r w:rsidRPr="004B02B9">
              <w:rPr>
                <w:rStyle w:val="normaltextrun"/>
                <w:sz w:val="20"/>
                <w:szCs w:val="20"/>
              </w:rPr>
              <w:t> citizens, noncitizens and green-card holders. Connecticut stands to lose approximately $2,900 for every person undercounted. </w:t>
            </w:r>
            <w:r w:rsidRPr="004B02B9">
              <w:rPr>
                <w:rStyle w:val="eop"/>
                <w:sz w:val="20"/>
                <w:szCs w:val="20"/>
              </w:rPr>
              <w:t> </w:t>
            </w:r>
          </w:p>
          <w:p w14:paraId="0B58F1D4" w14:textId="77777777" w:rsidR="004B02B9" w:rsidRPr="004B02B9" w:rsidRDefault="004B02B9">
            <w:pPr>
              <w:pStyle w:val="NoSpacing"/>
              <w:jc w:val="both"/>
              <w:rPr>
                <w:sz w:val="20"/>
                <w:szCs w:val="20"/>
              </w:rPr>
            </w:pPr>
          </w:p>
          <w:p w14:paraId="6E41F933" w14:textId="77777777" w:rsidR="004B02B9" w:rsidRPr="004B02B9" w:rsidRDefault="004B02B9">
            <w:pPr>
              <w:pStyle w:val="NoSpacing"/>
              <w:jc w:val="both"/>
              <w:rPr>
                <w:rStyle w:val="eop"/>
                <w:color w:val="212121"/>
                <w:sz w:val="20"/>
                <w:szCs w:val="20"/>
              </w:rPr>
            </w:pPr>
            <w:r w:rsidRPr="004B02B9">
              <w:rPr>
                <w:rStyle w:val="normaltextrun"/>
                <w:color w:val="212121"/>
                <w:sz w:val="20"/>
                <w:szCs w:val="20"/>
              </w:rPr>
              <w:t>The 2020 Census is open for self-response online at </w:t>
            </w:r>
            <w:hyperlink r:id="rId9" w:tgtFrame="_blank" w:history="1">
              <w:r w:rsidRPr="004B02B9">
                <w:rPr>
                  <w:rStyle w:val="normaltextrun"/>
                  <w:color w:val="1155CC"/>
                  <w:sz w:val="20"/>
                  <w:szCs w:val="20"/>
                  <w:u w:val="single"/>
                </w:rPr>
                <w:t>2020Census.gov</w:t>
              </w:r>
            </w:hyperlink>
            <w:r w:rsidRPr="004B02B9">
              <w:rPr>
                <w:rStyle w:val="normaltextrun"/>
                <w:color w:val="212121"/>
                <w:sz w:val="20"/>
                <w:szCs w:val="20"/>
              </w:rPr>
              <w:t>, over the phone by calling the number provided in the mailed invitation, and by paper through the mail. </w:t>
            </w:r>
            <w:r w:rsidRPr="004B02B9">
              <w:rPr>
                <w:rStyle w:val="eop"/>
                <w:color w:val="212121"/>
                <w:sz w:val="20"/>
                <w:szCs w:val="20"/>
              </w:rPr>
              <w:t> </w:t>
            </w:r>
          </w:p>
          <w:p w14:paraId="740219A7" w14:textId="77777777" w:rsidR="004B02B9" w:rsidRPr="004B02B9" w:rsidRDefault="004B02B9">
            <w:pPr>
              <w:pStyle w:val="NoSpacing"/>
              <w:jc w:val="both"/>
              <w:rPr>
                <w:sz w:val="20"/>
                <w:szCs w:val="20"/>
              </w:rPr>
            </w:pPr>
          </w:p>
          <w:p w14:paraId="0F9F0CE3" w14:textId="77777777" w:rsidR="004B02B9" w:rsidRPr="004B02B9" w:rsidRDefault="004B02B9">
            <w:pPr>
              <w:pStyle w:val="NoSpacing"/>
              <w:jc w:val="both"/>
              <w:rPr>
                <w:rStyle w:val="normaltextrun"/>
                <w:sz w:val="20"/>
                <w:szCs w:val="20"/>
              </w:rPr>
            </w:pPr>
            <w:r w:rsidRPr="004B02B9">
              <w:rPr>
                <w:rStyle w:val="normaltextrun"/>
                <w:color w:val="212121"/>
                <w:sz w:val="20"/>
                <w:szCs w:val="20"/>
              </w:rPr>
              <w:t>The U.S. Census Bureau is also providing the Internet Self-Response Instrument and Census Questionnaire Assistance in</w:t>
            </w:r>
            <w:hyperlink r:id="rId10" w:tgtFrame="_blank" w:history="1">
              <w:r w:rsidRPr="004B02B9">
                <w:rPr>
                  <w:rStyle w:val="normaltextrun"/>
                  <w:color w:val="1155CC"/>
                  <w:sz w:val="20"/>
                  <w:szCs w:val="20"/>
                  <w:u w:val="single"/>
                </w:rPr>
                <w:t> 12 non-English languages</w:t>
              </w:r>
            </w:hyperlink>
            <w:r w:rsidRPr="004B02B9">
              <w:rPr>
                <w:rStyle w:val="normaltextrun"/>
                <w:color w:val="212121"/>
                <w:sz w:val="20"/>
                <w:szCs w:val="20"/>
              </w:rPr>
              <w:t>; enumerator instrument, bilingual paper questionnaire, bilingual mailing, and field enumeration materials in Spanish; and language guides, language glossaries, and language identification card in</w:t>
            </w:r>
            <w:r w:rsidRPr="004B02B9">
              <w:rPr>
                <w:rStyle w:val="normaltextrun"/>
                <w:color w:val="000000"/>
                <w:sz w:val="20"/>
                <w:szCs w:val="20"/>
              </w:rPr>
              <w:t xml:space="preserve"> </w:t>
            </w:r>
            <w:hyperlink r:id="rId11" w:tgtFrame="_blank" w:history="1">
              <w:r w:rsidRPr="004B02B9">
                <w:rPr>
                  <w:rStyle w:val="normaltextrun"/>
                  <w:color w:val="1155CC"/>
                  <w:sz w:val="20"/>
                  <w:szCs w:val="20"/>
                  <w:u w:val="single"/>
                </w:rPr>
                <w:t>59 non-English languages</w:t>
              </w:r>
            </w:hyperlink>
            <w:r w:rsidRPr="004B02B9">
              <w:rPr>
                <w:rStyle w:val="normaltextrun"/>
                <w:color w:val="212121"/>
                <w:sz w:val="20"/>
                <w:szCs w:val="20"/>
              </w:rPr>
              <w:t>.</w:t>
            </w:r>
          </w:p>
          <w:p w14:paraId="63BE259F" w14:textId="77777777" w:rsidR="004B02B9" w:rsidRPr="004B02B9" w:rsidRDefault="004B02B9">
            <w:pPr>
              <w:pStyle w:val="NoSpacing"/>
              <w:jc w:val="both"/>
              <w:rPr>
                <w:rFonts w:ascii="Times New Roman" w:eastAsia="Times New Roman" w:hAnsi="Times New Roman" w:cs="Times New Roman"/>
                <w:color w:val="000000"/>
                <w:sz w:val="20"/>
                <w:szCs w:val="20"/>
              </w:rPr>
            </w:pPr>
          </w:p>
          <w:p w14:paraId="10B637B4" w14:textId="77777777" w:rsidR="004B02B9" w:rsidRPr="004B02B9" w:rsidRDefault="004B02B9">
            <w:pPr>
              <w:pStyle w:val="NoSpacing"/>
              <w:jc w:val="both"/>
              <w:rPr>
                <w:sz w:val="20"/>
                <w:szCs w:val="20"/>
              </w:rPr>
            </w:pPr>
            <w:r w:rsidRPr="004B02B9">
              <w:rPr>
                <w:rStyle w:val="normaltextrun"/>
                <w:color w:val="212121"/>
                <w:sz w:val="20"/>
                <w:szCs w:val="20"/>
              </w:rPr>
              <w:t>Residents who do not have their unique 12-digit number can still complete the Census online or by phone at </w:t>
            </w:r>
            <w:hyperlink r:id="rId12" w:tgtFrame="_blank" w:history="1">
              <w:r w:rsidRPr="004B02B9">
                <w:rPr>
                  <w:rStyle w:val="normaltextrun"/>
                  <w:color w:val="1155CC"/>
                  <w:sz w:val="20"/>
                  <w:szCs w:val="20"/>
                  <w:u w:val="single"/>
                </w:rPr>
                <w:t>2020Census.gov</w:t>
              </w:r>
            </w:hyperlink>
            <w:r w:rsidRPr="004B02B9">
              <w:rPr>
                <w:rStyle w:val="normaltextrun"/>
                <w:color w:val="212121"/>
                <w:sz w:val="20"/>
                <w:szCs w:val="20"/>
              </w:rPr>
              <w:t>.</w:t>
            </w:r>
            <w:r w:rsidRPr="004B02B9">
              <w:rPr>
                <w:rStyle w:val="eop"/>
                <w:color w:val="212121"/>
                <w:sz w:val="20"/>
                <w:szCs w:val="20"/>
              </w:rPr>
              <w:t> </w:t>
            </w:r>
          </w:p>
          <w:p w14:paraId="3983C04B" w14:textId="73F82900" w:rsidR="004B02B9" w:rsidRPr="004B02B9" w:rsidRDefault="004B02B9">
            <w:pPr>
              <w:pStyle w:val="NoSpacing"/>
              <w:jc w:val="center"/>
              <w:rPr>
                <w:sz w:val="20"/>
                <w:szCs w:val="20"/>
              </w:rPr>
            </w:pPr>
            <w:r w:rsidRPr="004B02B9">
              <w:rPr>
                <w:noProof/>
                <w:sz w:val="20"/>
                <w:szCs w:val="20"/>
              </w:rPr>
              <w:drawing>
                <wp:inline distT="0" distB="0" distL="0" distR="0" wp14:anchorId="4F8512E5" wp14:editId="499C8423">
                  <wp:extent cx="1847643" cy="533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75578" cy="541465"/>
                          </a:xfrm>
                          <a:prstGeom prst="rect">
                            <a:avLst/>
                          </a:prstGeom>
                          <a:noFill/>
                          <a:ln>
                            <a:noFill/>
                          </a:ln>
                        </pic:spPr>
                      </pic:pic>
                    </a:graphicData>
                  </a:graphic>
                </wp:inline>
              </w:drawing>
            </w:r>
          </w:p>
        </w:tc>
      </w:tr>
    </w:tbl>
    <w:p w14:paraId="6AAD772C" w14:textId="7E75885A" w:rsidR="00F83A05" w:rsidRDefault="004B02B9" w:rsidP="004B02B9">
      <w:pPr>
        <w:pStyle w:val="xmsonospacing"/>
      </w:pPr>
      <w:r>
        <w:rPr>
          <w:sz w:val="2"/>
          <w:szCs w:val="2"/>
        </w:rPr>
        <w:t> </w:t>
      </w:r>
    </w:p>
    <w:sectPr w:rsidR="00F83A05" w:rsidSect="004B02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B9"/>
    <w:rsid w:val="003B0E85"/>
    <w:rsid w:val="004B02B9"/>
    <w:rsid w:val="00844BF5"/>
    <w:rsid w:val="00F8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BDC4"/>
  <w15:chartTrackingRefBased/>
  <w15:docId w15:val="{2CD0023D-9F84-4F19-A75A-679AC375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02B9"/>
  </w:style>
  <w:style w:type="paragraph" w:customStyle="1" w:styleId="xmsonormal">
    <w:name w:val="x_msonormal"/>
    <w:basedOn w:val="Normal"/>
    <w:rsid w:val="004B02B9"/>
  </w:style>
  <w:style w:type="paragraph" w:customStyle="1" w:styleId="xmsonospacing">
    <w:name w:val="x_msonospacing"/>
    <w:basedOn w:val="Normal"/>
    <w:rsid w:val="004B02B9"/>
  </w:style>
  <w:style w:type="character" w:customStyle="1" w:styleId="xnormaltextrun">
    <w:name w:val="x_normaltextrun"/>
    <w:basedOn w:val="DefaultParagraphFont"/>
    <w:rsid w:val="004B02B9"/>
  </w:style>
  <w:style w:type="character" w:customStyle="1" w:styleId="xspellingerror">
    <w:name w:val="x_spellingerror"/>
    <w:basedOn w:val="DefaultParagraphFont"/>
    <w:rsid w:val="004B02B9"/>
  </w:style>
  <w:style w:type="character" w:customStyle="1" w:styleId="xeop">
    <w:name w:val="x_eop"/>
    <w:basedOn w:val="DefaultParagraphFont"/>
    <w:rsid w:val="004B02B9"/>
  </w:style>
  <w:style w:type="character" w:customStyle="1" w:styleId="normaltextrun">
    <w:name w:val="normaltextrun"/>
    <w:basedOn w:val="DefaultParagraphFont"/>
    <w:rsid w:val="004B02B9"/>
  </w:style>
  <w:style w:type="character" w:customStyle="1" w:styleId="eop">
    <w:name w:val="eop"/>
    <w:basedOn w:val="DefaultParagraphFont"/>
    <w:rsid w:val="004B02B9"/>
  </w:style>
  <w:style w:type="character" w:customStyle="1" w:styleId="spellingerror">
    <w:name w:val="spellingerror"/>
    <w:basedOn w:val="DefaultParagraphFont"/>
    <w:rsid w:val="004B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2020census.gov%2Fen%2Fresponse-rates%2Fself-response.html&amp;data=01%7C01%7CCVD.DCF%40ct.gov%7C3be0a039838a4335c15808d84f52d557%7C118b7cfaa3dd48b9b02631ff69bb738b%7C0&amp;sdata=L8fMEJs96rf8MK8%2BVJHKwoSWM3mAmoKVuJRhAlztE98%3D&amp;reserved=0"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gcc02.safelinks.protection.outlook.com/?url=http%3A%2F%2F2020census.gov.%2F&amp;data=01%7C01%7CCVD.DCF%40ct.gov%7C3be0a039838a4335c15808d84f52d557%7C118b7cfaa3dd48b9b02631ff69bb738b%7C0&amp;sdata=Ec0kt7CqGHGi4bg29n98Sy0pKOzcN2rLJHmC1jKh6Y0%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cc02.safelinks.protection.outlook.com/?url=https%3A%2F%2F2020census.gov%2Fen%2Fresponse-rates%2Fnrfu.html&amp;data=01%7C01%7CCVD.DCF%40ct.gov%7C3be0a039838a4335c15808d84f52d557%7C118b7cfaa3dd48b9b02631ff69bb738b%7C0&amp;sdata=au6i7ZayXk6bb65yzH359isPsk5fU9VnIzDTOCqy8GE%3D&amp;reserved=0" TargetMode="External"/><Relationship Id="rId11" Type="http://schemas.openxmlformats.org/officeDocument/2006/relationships/hyperlink" Target="https://gcc02.safelinks.protection.outlook.com/?url=https%3A%2F%2Fwww.census.gov%2Fprograms-surveys%2Fdecennial-census%2F2020-census%2Fplanning-management%2Flanguage-resources%2Flanguage-guides.html&amp;data=01%7C01%7CCVD.DCF%40ct.gov%7C3be0a039838a4335c15808d84f52d557%7C118b7cfaa3dd48b9b02631ff69bb738b%7C0&amp;sdata=0LEU9NBP7aIwWavNBs2gXZl%2FjqA756OKHZS04EhHtSc%3D&amp;reserved=0"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gcc02.safelinks.protection.outlook.com/?url=https%3A%2F%2Fwww.census.gov%2Fprograms-surveys%2Fdecennial-census%2F2020-census%2Fplanning-management%2Fmemo-series%2F2020-memo-2018_06.html&amp;data=01%7C01%7CCVD.DCF%40ct.gov%7C3be0a039838a4335c15808d84f52d557%7C118b7cfaa3dd48b9b02631ff69bb738b%7C0&amp;sdata=O55FXZQMDxm%2B3nGfzM1grk7K%2B0Pdgg0MVFQJklwz%2FgY%3D&amp;reserved=0" TargetMode="External"/><Relationship Id="rId4" Type="http://schemas.openxmlformats.org/officeDocument/2006/relationships/image" Target="media/image1.png"/><Relationship Id="rId9" Type="http://schemas.openxmlformats.org/officeDocument/2006/relationships/hyperlink" Target="https://gcc02.safelinks.protection.outlook.com/?url=http%3A%2F%2F2020census.gov%2F&amp;data=01%7C01%7CCVD.DCF%40ct.gov%7C3be0a039838a4335c15808d84f52d557%7C118b7cfaa3dd48b9b02631ff69bb738b%7C0&amp;sdata=9Qb%2F25A056BZ6MHPrEro3ZLOnQ0ZIze4hInna1BQH2w%3D&amp;reserved=0" TargetMode="External"/><Relationship Id="rId14" Type="http://schemas.openxmlformats.org/officeDocument/2006/relationships/image" Target="cid:image010.jpg@01D6812A.6B443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dcterms:created xsi:type="dcterms:W3CDTF">2020-09-02T19:07:00Z</dcterms:created>
  <dcterms:modified xsi:type="dcterms:W3CDTF">2020-09-02T19:07:00Z</dcterms:modified>
</cp:coreProperties>
</file>